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124" w:beforeLines="40" w:beforeAutospacing="0" w:after="93"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国网南浔供电局新大楼</w:t>
      </w:r>
      <w:r>
        <w:rPr>
          <w:rFonts w:hint="eastAsia" w:ascii="Arial" w:hAnsi="Arial" w:eastAsia="仿宋" w:cs="Arial"/>
          <w:b/>
          <w:sz w:val="36"/>
          <w:szCs w:val="36"/>
          <w:lang w:val="en-US" w:eastAsia="zh-CN"/>
        </w:rPr>
        <w:t>弱电系统</w:t>
      </w:r>
      <w:r>
        <w:rPr>
          <w:rFonts w:hint="eastAsia" w:ascii="Arial" w:hAnsi="Arial" w:eastAsia="仿宋" w:cs="Arial"/>
          <w:b/>
          <w:sz w:val="36"/>
          <w:szCs w:val="36"/>
        </w:rPr>
        <w:t>采购公告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我公司本次采购弱电系统，用于国网浙江湖州供电公司南浔供电局新大楼</w:t>
      </w:r>
      <w:r>
        <w:rPr>
          <w:rFonts w:hint="eastAsia" w:ascii="仿宋" w:hAnsi="仿宋" w:eastAsia="仿宋" w:cs="Arial"/>
          <w:sz w:val="28"/>
          <w:szCs w:val="28"/>
          <w:lang w:val="en-US" w:eastAsia="zh-CN"/>
        </w:rPr>
        <w:t>信息机房</w:t>
      </w:r>
      <w:r>
        <w:rPr>
          <w:rFonts w:hint="eastAsia" w:ascii="仿宋" w:hAnsi="仿宋" w:eastAsia="仿宋" w:cs="Arial"/>
          <w:sz w:val="28"/>
          <w:szCs w:val="28"/>
        </w:rPr>
        <w:t>装修。</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ascii="仿宋" w:hAnsi="仿宋" w:eastAsia="仿宋" w:cs="Arial"/>
          <w:sz w:val="28"/>
          <w:szCs w:val="28"/>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800</w:t>
      </w:r>
      <w:r>
        <w:rPr>
          <w:rFonts w:hint="eastAsia" w:ascii="仿宋" w:hAnsi="仿宋" w:eastAsia="仿宋"/>
          <w:sz w:val="28"/>
          <w:szCs w:val="28"/>
          <w:lang w:val="en-US" w:eastAsia="zh-CN"/>
        </w:rPr>
        <w:t>9</w:t>
      </w:r>
      <w:r>
        <w:rPr>
          <w:rFonts w:ascii="仿宋" w:hAnsi="仿宋" w:eastAsia="仿宋" w:cs="Arial"/>
          <w:sz w:val="28"/>
          <w:szCs w:val="28"/>
        </w:rPr>
        <w:t xml:space="preserve"> </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rPr>
        <w:t>中标后</w:t>
      </w:r>
      <w:r>
        <w:rPr>
          <w:rFonts w:hint="eastAsia" w:ascii="仿宋" w:hAnsi="仿宋" w:eastAsia="仿宋" w:cs="Arial"/>
          <w:sz w:val="28"/>
          <w:szCs w:val="28"/>
          <w:lang w:val="en-US" w:eastAsia="zh-CN"/>
        </w:rPr>
        <w:t>15</w:t>
      </w:r>
      <w:r>
        <w:rPr>
          <w:rFonts w:hint="eastAsia" w:ascii="仿宋" w:hAnsi="仿宋" w:eastAsia="仿宋" w:cs="Arial"/>
          <w:sz w:val="28"/>
          <w:szCs w:val="28"/>
        </w:rPr>
        <w:t>天内完成供货</w:t>
      </w:r>
      <w:r>
        <w:rPr>
          <w:rFonts w:hint="eastAsia" w:ascii="仿宋" w:hAnsi="仿宋" w:eastAsia="仿宋" w:cs="Arial"/>
          <w:sz w:val="28"/>
          <w:szCs w:val="28"/>
          <w:lang w:eastAsia="zh-CN"/>
        </w:rPr>
        <w:t>、</w:t>
      </w:r>
      <w:r>
        <w:rPr>
          <w:rFonts w:hint="eastAsia" w:ascii="仿宋" w:hAnsi="仿宋" w:eastAsia="仿宋" w:cs="Arial"/>
          <w:sz w:val="28"/>
          <w:szCs w:val="28"/>
        </w:rPr>
        <w:t>安装、系统调试等全部工作并交付使用。</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硬件设备</w:t>
      </w:r>
      <w:r>
        <w:rPr>
          <w:rFonts w:hint="eastAsia" w:ascii="仿宋" w:hAnsi="仿宋" w:eastAsia="仿宋" w:cs="Arial"/>
          <w:kern w:val="0"/>
          <w:sz w:val="28"/>
          <w:szCs w:val="28"/>
        </w:rPr>
        <w:t>到现场且安装调试完成并经业主及采购人书面验收合格确认后支付至合同总价的80%；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（4）余款在一年后一次性付清。</w:t>
      </w:r>
    </w:p>
    <w:p>
      <w:pPr>
        <w:pStyle w:val="13"/>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3"/>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bCs/>
          <w:sz w:val="28"/>
          <w:szCs w:val="28"/>
          <w:u w:val="single"/>
          <w:lang w:val="en-US" w:eastAsia="zh-CN"/>
        </w:rPr>
        <w:t>45</w:t>
      </w:r>
      <w:r>
        <w:rPr>
          <w:rFonts w:hint="eastAsia" w:ascii="仿宋" w:hAnsi="仿宋" w:eastAsia="仿宋" w:cs="Arial"/>
          <w:b/>
          <w:bCs/>
          <w:sz w:val="28"/>
          <w:szCs w:val="28"/>
          <w:u w:val="single"/>
        </w:rPr>
        <w:t>0000</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3</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月3日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3</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ascii="仿宋" w:hAnsi="仿宋" w:eastAsia="仿宋" w:cs="Arial"/>
          <w:sz w:val="28"/>
          <w:szCs w:val="28"/>
        </w:rPr>
        <w:t>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9"/>
          <w:rFonts w:ascii="仿宋" w:hAnsi="仿宋" w:eastAsia="仿宋" w:cs="Arial"/>
          <w:color w:val="auto"/>
          <w:sz w:val="28"/>
          <w:szCs w:val="28"/>
        </w:rPr>
        <w:t>nxctsy001@163.com</w:t>
      </w:r>
      <w:r>
        <w:rPr>
          <w:rStyle w:val="19"/>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800</w:t>
      </w:r>
      <w:r>
        <w:rPr>
          <w:rFonts w:hint="eastAsia" w:ascii="仿宋" w:hAnsi="仿宋" w:eastAsia="仿宋" w:cs="Arial"/>
          <w:sz w:val="28"/>
          <w:szCs w:val="28"/>
          <w:lang w:val="en-US" w:eastAsia="zh-CN"/>
        </w:rPr>
        <w:t>9</w:t>
      </w:r>
      <w:r>
        <w:rPr>
          <w:rFonts w:hint="eastAsia" w:ascii="仿宋" w:hAnsi="仿宋" w:eastAsia="仿宋" w:cs="Arial"/>
          <w:sz w:val="28"/>
          <w:szCs w:val="28"/>
        </w:rPr>
        <w:t>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4、采购货物证明材料</w:t>
      </w:r>
    </w:p>
    <w:p>
      <w:pPr>
        <w:pStyle w:val="13"/>
        <w:shd w:val="clear" w:color="auto" w:fill="FFFFFF"/>
        <w:spacing w:before="0" w:beforeAutospacing="0" w:after="0" w:afterAutospacing="0" w:line="400" w:lineRule="exact"/>
        <w:jc w:val="right"/>
        <w:rPr>
          <w:rFonts w:ascii="仿宋" w:hAnsi="仿宋" w:eastAsia="仿宋" w:cs="Arial"/>
          <w:sz w:val="28"/>
          <w:szCs w:val="28"/>
        </w:rPr>
      </w:pPr>
      <w:bookmarkStart w:id="1" w:name="_GoBack"/>
      <w:bookmarkEnd w:id="1"/>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2021年8月</w:t>
      </w:r>
      <w:r>
        <w:rPr>
          <w:rFonts w:hint="eastAsia" w:ascii="仿宋" w:hAnsi="仿宋" w:eastAsia="仿宋" w:cs="Arial"/>
          <w:sz w:val="28"/>
          <w:szCs w:val="28"/>
          <w:lang w:val="en-US" w:eastAsia="zh-CN"/>
        </w:rPr>
        <w:t>31</w:t>
      </w:r>
      <w:r>
        <w:rPr>
          <w:rFonts w:hint="eastAsia" w:ascii="仿宋" w:hAnsi="仿宋" w:eastAsia="仿宋" w:cs="Arial"/>
          <w:sz w:val="28"/>
          <w:szCs w:val="28"/>
        </w:rPr>
        <w:t>日</w:t>
      </w:r>
    </w:p>
    <w:p>
      <w:pPr>
        <w:pStyle w:val="8"/>
        <w:jc w:val="left"/>
        <w:outlineLvl w:val="1"/>
        <w:rPr>
          <w:rFonts w:ascii="仿宋" w:hAnsi="仿宋" w:eastAsia="仿宋" w:cs="Arial"/>
          <w:sz w:val="28"/>
          <w:szCs w:val="28"/>
        </w:rPr>
      </w:pP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r>
        <w:rPr>
          <w:rFonts w:hint="eastAsia" w:ascii="仿宋" w:hAnsi="仿宋" w:eastAsia="仿宋" w:cs="Arial"/>
          <w:sz w:val="28"/>
          <w:szCs w:val="28"/>
        </w:rPr>
        <w:br w:type="page"/>
      </w:r>
    </w:p>
    <w:p>
      <w:pPr>
        <w:rPr>
          <w:rFonts w:hint="eastAsia" w:ascii="仿宋" w:hAnsi="仿宋" w:eastAsia="仿宋" w:cs="Arial"/>
          <w:sz w:val="28"/>
          <w:szCs w:val="28"/>
        </w:rPr>
      </w:pPr>
    </w:p>
    <w:tbl>
      <w:tblPr>
        <w:tblStyle w:val="16"/>
        <w:tblW w:w="14540" w:type="dxa"/>
        <w:jc w:val="right"/>
        <w:shd w:val="clear" w:color="auto" w:fill="auto"/>
        <w:tblLayout w:type="fixed"/>
        <w:tblCellMar>
          <w:top w:w="0" w:type="dxa"/>
          <w:left w:w="108" w:type="dxa"/>
          <w:bottom w:w="0" w:type="dxa"/>
          <w:right w:w="108" w:type="dxa"/>
        </w:tblCellMar>
      </w:tblPr>
      <w:tblGrid>
        <w:gridCol w:w="638"/>
        <w:gridCol w:w="1417"/>
        <w:gridCol w:w="1545"/>
        <w:gridCol w:w="5622"/>
        <w:gridCol w:w="960"/>
        <w:gridCol w:w="838"/>
        <w:gridCol w:w="1124"/>
        <w:gridCol w:w="1124"/>
        <w:gridCol w:w="1272"/>
      </w:tblGrid>
      <w:tr>
        <w:tblPrEx>
          <w:shd w:val="clear" w:color="auto" w:fill="auto"/>
          <w:tblCellMar>
            <w:top w:w="0" w:type="dxa"/>
            <w:left w:w="108" w:type="dxa"/>
            <w:bottom w:w="0" w:type="dxa"/>
            <w:right w:w="108" w:type="dxa"/>
          </w:tblCellMar>
        </w:tblPrEx>
        <w:trPr>
          <w:trHeight w:val="540" w:hRule="atLeast"/>
          <w:jc w:val="right"/>
        </w:trPr>
        <w:tc>
          <w:tcPr>
            <w:tcW w:w="14540"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lang w:val="en-US" w:eastAsia="zh-CN" w:bidi="ar"/>
              </w:rPr>
              <w:t>弱电系统清单</w:t>
            </w:r>
          </w:p>
        </w:tc>
      </w:tr>
      <w:tr>
        <w:tblPrEx>
          <w:shd w:val="clear" w:color="auto" w:fill="auto"/>
          <w:tblCellMar>
            <w:top w:w="0" w:type="dxa"/>
            <w:left w:w="108" w:type="dxa"/>
            <w:bottom w:w="0" w:type="dxa"/>
            <w:right w:w="108" w:type="dxa"/>
          </w:tblCellMar>
        </w:tblPrEx>
        <w:trPr>
          <w:trHeight w:val="570"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硬件名称</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网络机柜</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800mm*1000mm*2000mm，前后网格门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20"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PDU</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1.二路25A交流输入, 经STS（双电源自动切换，切换时间≤6ms）输出,7路标准输出插口。输出分路带独立的隔离保护装置，起到故障隔离的作用。当某一个分路输出过流或短路时，本分路的保护装置动作，自动解列故障，因此不会引起上游开关跳闸，确保母线不失电，保证其余输出分路的正常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2.铝型材外壳，19英寸水平安装。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3.实时检测2路进线电压及7路出线电流，温湿度检测。配置电源防雷模块，防雷模块失效检测告警，浪涌检测并计录。可远程控制STS切换模式。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4.配置超薄液晶显示模块，各检测参数及记录可就地查询，也可当地设置报警参数。具备声光报警功能。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5.具备TCP/IP网络接口及RS485接口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UPS电源主机</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相位 单相接地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容量 3000VA/2700W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2000VA/1600W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3000VA/2400W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6000VA/4800W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10000VA/8000W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输入电压范围 110-300VAC±3%于50%负载 176-300VAC±3%于100%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频率范围 46Hz ~ 64 Hz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功率因数 ≧ 0.99 @ 100% 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输出电压 200/208/220/230/240VAC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电压范围 ( 电池模式 ) ± 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频率范围 (同步校正范围) 46Hz ~ 54 Hz 或 56Hz ~ 64 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频率范围 (电池模式) 50 Hz ± 0.1 Hz 或 60 Hz ± 0.1 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峰值系数 3:1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谐波失真 ≦ 3 % THD  ( 线性负载 )；≦ 6 % THD ( 非线性负载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转换时间 0ms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波形 (电池模式) 纯正弦波效率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市电模式 90%89%90%93%93%电池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电池型号 铅酸蓄电池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数量 6;8颗（可调整）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最大充电电流 1A/2A/4A/6A（可选）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显示说明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LCD 显示 负载大小, 电池容量,市电模式,电池模式, 旁路模式, 故障指示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警告声音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电池模式 每4秒响一声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电池电量低 每1秒响一声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过载 每1秒响一声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错误 连续鸣响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物理性能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 深 x 宽 x 高 (mm) 410*438*88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410 x 438 x 88[2U]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500 x 438 x 88 [2U]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净重 (公斤) 14.2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使用环境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湿度 相对湿度 20-95 %  且 溫度 0- 40° C ( 不结露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噪音  少于50dBA @ 1 米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控制管理：智能 RS-232 / USB 支持 Windows®  2000/2003/XP/Vista/2008, Windows®  7/8, Linux, Unix 和 MAC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可选 SNMP 电源管理支持SNMP管理与网络管理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10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1、电荷周期 充电电流≤15A，电压14.40-14.80V 时间14-16H, 浮动电压13.60-13.80V, 端子M8L.25℃ 自放电率存放3个月91%,存放6个月82%存放12个月64%,不同温度下的容量, 40℃, 102%,  25℃, 100%   0℃, 85%，-15℃, 65 %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2、正常浮充状态下，电池寿命可达10年以上。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3、正常使用下无电解液漏出，无电池膨胀及破裂；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蓄电池在使用前一般应进行补充充电，蓄电池最大充电电流不大于 0.25C 10 ，最大补充充电电压不大于 2.40V/单体。蓄电池均衡充电单体电压为 2.30V～2.40V。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5、环境温度为 25℃时，蓄电池浮充充电电压为（2.20V～2.27V）/单体。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蓄电池充电温度补偿系数宜为（-3mV～-7mV）/℃·单体。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6、安全阀应具有自动开启和自动关闭的功能，其开阀压力应在 10kPa～35kPa 范围内，闭阀压力应在3kPa～30kPa 范围内。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7、蓄电池应能承受 50kPa 的正压或负压而不破裂、不开胶，压力释放后壳体无残余变形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8、蓄电池以 30I 10 放电 3min，极柱应不熔断、内部汇流排应不熔断，其外观应不出现异常。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9、蓄电池进入浮充状态 24h 后各蓄电池之间的端电压差应不大于 90mV(蓄电池组由不多于 24 只2V 蓄电池组成时)、200mV(蓄电池组由多于 24 只 2V 蓄电池组成时)、240mV(6V)、480mV(12V)。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10、蓄电池壳、盖的阻燃性能应符合GB/T2408－1996中的要求，壳子/盖子  符含UL94HB与UL94V-0标准的ABS材料。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11、正负极板，采用铅钙板栅。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12、隔板采用AGM隔板；端子采用铜端子。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13、蓄电池的容量及其他性能应符合《通信用阀控密封式铅酸蓄电池（YD/T799－2002）》中的规定。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UPS主干电源</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ZR-YJV3*4.0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IAD</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见附件一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60" w:hRule="atLeast"/>
          <w:jc w:val="righ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机房环境监控及视频监控系统（含设备安装、软件开发及硬件采购）</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机房图像</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具有400万像素 CMOS传感器。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内置GPU芯片。（公安部检验报告证明）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内置红外与白光补光灯。（公安部检验报告证明）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支持白光报警功能，当报警产生时，可触发联动白光闪烁。（公安部检验报告证明）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最低照度彩色：0.001 lx ，亮度等级不小于11级。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白光补光距离不小于15米。（公安部检验报告证明）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需支持双码流技术，主码流最高2688x1520@25fps，子码流704x576@25fps。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在2688x1520 @ 30fps下，清晰度不小于1500TVL。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支持H.264、H.265视频编码格式，且具有High Profile编码能力。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需具备区域入侵检测、越界检测、进入区域、离开区域等功能。</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10"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机房温湿度监控</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有效面积 10-20m²，产品尺寸 86*86*30mm，温度测量 -20℃～70℃，湿度测量 0～100%RH，温度精度 误差&lt;±0.3℃，在 25℃时测试。湿度精度 误差&lt;±3%RH， 在 25℃时测试。供电电压 DC 12V（9~32V），RS485 通信输出，MODBUS-RTU 协议，默认 9600；可选 2400、4800、9600、19200bit/s，N,8,1，温湿度正负差±2℃，±5%RH。EFT(脉冲群 ) 差模±2KV。ESD(静 电 ) 接触放电±8KV，空气放电±12KV。大屏LCD显示，0.01显示精度，外形美观，操作简单</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40"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门禁系统</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支持双门控制，双向读卡，自带门磁转态磁力锁 、IC读卡器，出门按钮、模块箱，门禁电源，★支持现有国网湖州供电分公司信息机房集中动环监控平台实现管理功能（提供相关软件或平台截图）</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20"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漏水控制器</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 容 性 既可以和检测线缆配套使用，也可以连接其他检测探头。检测距离 500米  通信方式 全双工 485。存储温度 -40摄氏度 至 60摄氏度 ， 工作温度 -20摄氏度至 50摄氏度。湿 度 5%到 95%（无冷凝）。电源要求 12VDC 3W 网络配置 RS-485双线网络，波特率可选，出厂默认为9600，可选地址为0到255，出厂默认地址01 通讯协议 MODBUS RTU</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530"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壁挂式空调自启模块</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1.支持市面大部分品牌空调来电自启。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2.网络配置 RS-485双线网络，波特率可选，出厂默认为9600，可选地址为0到255，出厂默认地址00 通讯协议 MODBUS RTU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3.可支持远程开关机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4.可支持远程实时监控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5.★以上功能提供厂家证明文件</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0"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串口服务器</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 点：标准的19英寸，便于机架安装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网口：10/100M模式自适应，亦可手动设置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串口：可实现RS-232/RS-422/485串口自由组合共存于同一台设备中支持Windows系统 Real COM驱动程序，可最多允许6台PC 同时打开同时打开NC608机架设备的同一串口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支持TCP和UDP Socket，每串口可支持6个会话，且会话模式可不同（TCP SERVER、TCP CLIENT和UDP）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完善的安全机制：可通过IP地址、MAC地址和用户三种方 式设置读、写和控制等不同权限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TCP方式可符合RFC2217标准，为用户提供标准化编程接口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友好的中文或英文菜单配置界面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支持串口终端连接到UNIX主机上，实现多屏切换（最多可达6屏）；支持RADIUS用户验证功能的PPP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可实现同时8口的PPP拨入、拨出和回拨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支持SNMP MIB-II网络管理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特殊和复杂网络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提供8个RS-232/422/485串口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能够实现RS 232和RS-422/485两种类型串口的共存。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标准的19寸机架安装方式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网口设置： IO-Server的网口可设置为10/100M自动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适应模式和手动调整模式。用户可根据网络实际状况调整IO Server网口的工作模式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IO-Server提供了包括通过MAC地址限制，IP地址限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制和用户限制在内的一系列安全机制。权限包括：读、写和控制。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规 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处理器 32bit，100MHz；内 存 8M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网 口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速度：10/100M自适应，也可支持手动设置。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参数包括：10M半双工，10M全双工，100M半双工，100M全双工。保护：2KV电磁隔离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串 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接口：8个串口；形式：RJ45；保护：15KV ESD保护，短路保护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串行通讯参数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数据位：5，6，7，8； 校 验：None/Even/Odd/Space/Mark</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停止位：1，1.5，2； 流 控：RTS/CTS，Xon/Xoff</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速度：50-460.800bp</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电源模块</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220V转12V 10A</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75" w:hRule="atLeast"/>
          <w:jc w:val="righ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机房环境监控系统</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★1.集成各类环境监控、门禁系统、UPS监控一体化，视频监控。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★2.具备各个传感器在平台上具有打点显示功能，显示相关实时数据及相关告警信息。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★3.平台具有门禁管理功能，可对门禁系统进行远程加卡，删卡、复位、远程开门及超时未关门告警。需满足接入国网湖州供电分公司信息机房环境监控平台功能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★4.投标方所投动环系统应为自有开发，并提供相关证明（如软件著作权）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★5.动环软件应具备满足接入国网湖州供电分公司信息机房的UPS要求。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（以上要求需提供证明文件或软件平台截图证明材料)</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通信子管</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40#（含预埋）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桥架</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200mm*100mm *2mm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暗盒</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光缆</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满足ITU-T G.652 的标准要求；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支持传统基于1310nm和1550nm波长的传输应用；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支持未来基于扩展E波段1360nm到1460nm的传输应用；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支持16信道粗波分复用；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零水峰技术，带宽扩展50% 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兼容传统单模光纤；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支持CWDM粗波分复用；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低烟无卤IEC 60332-3，IEC 60754-2，IEC 61034-2；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六类，23线规，外径≤6mm，中心为线对隔离设计；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支持最高达6次连接的任意长度链路；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阻燃低烟无卤IEC 60332-3；IEC 60754-2和IEC 61034-2；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线缆外护套喷码可在线查询检测报告；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网络模块</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Cat6；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支持近1.2Gbps应用；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大于750次重复插拨；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在标准面板上以90度(垂直)或45度角的倾斜度安装；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阻燃；UL94V-0；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243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网络面板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86型，材料符合UL94-V0；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90度或者45度安装非屏蔽模块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122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理线架</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光纤配线架</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支持最多48芯光纤的端接；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1U 高度,集成了前部理线器，固定式；</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网络配线架</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六类，高2U，24口；自带前置理线器；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内部集成Cat.6铜缆模块；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六个一组的嵌入式模块可拆卸翻转，实现前端维护管理；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系统性能的保证值超越了TIA/EIA568B.2-1和ISO/IEC11801对Cat6/ClassE标准的规定；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支持超过1Gbps速率的网络传输应用；</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音频配线架</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符合TIA/EIA568-A Cat5e，ISO/IEC11801 /ClassD 超5类标准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100对，高度1U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支持导体范围：22-26AWG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标签盖板材料：聚卤乙烯，透明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110端子材料：磷青铜底层镀1.27µm镍，再镀3.81µm锡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配线架及110接线块材料：丙烯腈和聚碳酸酯混合物，符合UL94V-0防火等级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110接线块端接次数：200次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光纤跳线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零水峰单模双工光跳线；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最小弯曲半径:5.1cm；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最大衰减：0.50dB/km@1310nm，0.50dB/km@1385nm，0.50dB/km@1490nm，0.50dB/km@1550nm，0.50dB/km@1575nm，0.70dB/km@1270nm，0.70dB/km@1625nm，1.00dB/km@1650nm；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网络跳线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6类RJ45-RJ45跳线；24AWG多股软铜丝；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采用专利设计的防松脱插头,提供良好电气性能和连接稳定性；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插拔次数:大于750 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LED灯</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600mm*600mm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墙壁配电箱</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450*415*90（含8路空开、连接电缆）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电源插座</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86型（含模块）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电源防雷</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电源防雷</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接地扁钢</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接地导线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BVR-25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汇流铜排</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静电释放</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BVR-23、BVR-10、BVR-6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防静电地板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600mm*600mm*35mm无边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出入口档板</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根据现场制定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防火泥</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10KG盒</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国网标签</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槽钢</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空调</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1.5P带自启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熔接费</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附件</w:t>
            </w:r>
          </w:p>
        </w:tc>
        <w:tc>
          <w:tcPr>
            <w:tcW w:w="71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85" w:hRule="atLeast"/>
          <w:jc w:val="right"/>
        </w:trPr>
        <w:tc>
          <w:tcPr>
            <w:tcW w:w="9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 计（元）</w:t>
            </w:r>
          </w:p>
        </w:tc>
        <w:tc>
          <w:tcPr>
            <w:tcW w:w="40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0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r>
        <w:tblPrEx>
          <w:shd w:val="clear" w:color="auto" w:fill="auto"/>
          <w:tblCellMar>
            <w:top w:w="0" w:type="dxa"/>
            <w:left w:w="108" w:type="dxa"/>
            <w:bottom w:w="0" w:type="dxa"/>
            <w:right w:w="108" w:type="dxa"/>
          </w:tblCellMar>
        </w:tblPrEx>
        <w:trPr>
          <w:trHeight w:val="3900" w:hRule="atLeast"/>
          <w:jc w:val="right"/>
        </w:trPr>
        <w:tc>
          <w:tcPr>
            <w:tcW w:w="14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1、报价含税、含运费、含装卸费、含安装费；申请收款前须统一开具13%税率的增值税专用发票，否则采购人有权不予支付。                                                                                                     2、报价单由供应商盖章确认后，具有法律效应，报价产品如不能供货，将追究对我公司项目造成的损失责任。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3、所有产品要求符合上述各产品规格型号要求。                                                                                                                                                                                                   4、到货时间、地址以我公司要求为准。                                                                                                                                                                                                                  5、所有产品应提供1年的售后服务期，请供应商报价时综合考虑；若提供更久售后服务期，报价时请注明，采购人将综合考虑。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6、杜绝不均匀报价、乱报、虚报。不得涂改。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7、中标原则：按照合理最低总价者中标。择优择廉，具体价格以协商价为准。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8、工期：中标后15天内完成供货、安装、系统调试等全部工作并交付使用。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9、供应商应根据自身特点合理报价，报价时须考虑货物安装时可能发生的其他相关费用，实际发生时不再另计费用，由中标单位自行承担。                                                                                                                                                                                                      10、质量：材料符合业主、采购人要求及通过业主、采购人现场验收合格认可。满足相关法律法规要求及满足采购人、业主要求，检测及验收合格。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11、供应商请根据自身产品填写品牌、型号，若没有，请填“/”。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12、供应商认为其他需要提供的材料可作为本报价单的附件，与本报价单一并提交。</w:t>
            </w:r>
          </w:p>
        </w:tc>
      </w:tr>
      <w:tr>
        <w:tblPrEx>
          <w:shd w:val="clear" w:color="auto" w:fill="auto"/>
          <w:tblCellMar>
            <w:top w:w="0" w:type="dxa"/>
            <w:left w:w="108" w:type="dxa"/>
            <w:bottom w:w="0" w:type="dxa"/>
            <w:right w:w="108" w:type="dxa"/>
          </w:tblCellMar>
        </w:tblPrEx>
        <w:trPr>
          <w:trHeight w:val="558" w:hRule="atLeast"/>
          <w:jc w:val="right"/>
        </w:trPr>
        <w:tc>
          <w:tcPr>
            <w:tcW w:w="1454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 xml:space="preserve">单位名称（盖章）：                    联系人：                   电话：                 日期：                                       </w:t>
            </w:r>
          </w:p>
        </w:tc>
      </w:tr>
    </w:tbl>
    <w:p>
      <w:pPr>
        <w:pStyle w:val="8"/>
        <w:jc w:val="left"/>
        <w:outlineLvl w:val="1"/>
        <w:rPr>
          <w:rFonts w:hint="eastAsia" w:ascii="仿宋" w:hAnsi="仿宋" w:eastAsia="仿宋"/>
          <w:b/>
          <w:sz w:val="40"/>
        </w:rPr>
      </w:pPr>
      <w:bookmarkStart w:id="0" w:name="_Toc152043788"/>
    </w:p>
    <w:p>
      <w:pPr>
        <w:pStyle w:val="8"/>
        <w:jc w:val="left"/>
        <w:outlineLvl w:val="1"/>
        <w:rPr>
          <w:rFonts w:hint="eastAsia" w:ascii="仿宋" w:hAnsi="仿宋" w:eastAsia="仿宋"/>
          <w:b/>
          <w:sz w:val="40"/>
        </w:rPr>
      </w:pPr>
    </w:p>
    <w:p>
      <w:pPr>
        <w:pStyle w:val="8"/>
        <w:tabs>
          <w:tab w:val="left" w:pos="10080"/>
        </w:tabs>
        <w:jc w:val="left"/>
        <w:outlineLvl w:val="1"/>
        <w:rPr>
          <w:rFonts w:hint="eastAsia" w:ascii="仿宋" w:hAnsi="仿宋" w:eastAsia="仿宋"/>
          <w:b/>
          <w:sz w:val="40"/>
        </w:rPr>
        <w:sectPr>
          <w:pgSz w:w="16838" w:h="11906" w:orient="landscape"/>
          <w:pgMar w:top="1644" w:right="1247" w:bottom="1644" w:left="1247" w:header="851" w:footer="992" w:gutter="0"/>
          <w:cols w:space="0" w:num="1"/>
          <w:rtlGutter w:val="0"/>
          <w:docGrid w:type="lines" w:linePitch="319" w:charSpace="0"/>
        </w:sectPr>
      </w:pPr>
    </w:p>
    <w:p>
      <w:pPr>
        <w:pStyle w:val="8"/>
        <w:jc w:val="left"/>
        <w:outlineLvl w:val="1"/>
        <w:rPr>
          <w:rFonts w:ascii="仿宋" w:hAnsi="仿宋" w:eastAsia="仿宋"/>
          <w:b/>
          <w:sz w:val="40"/>
        </w:rPr>
      </w:pPr>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6"/>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31"/>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Pr>
        <w:pStyle w:val="8"/>
        <w:jc w:val="both"/>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致：湖州南浔城投城市建设集团有限公司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pPr>
    </w:p>
    <w:p>
      <w:pPr>
        <w:pStyle w:val="13"/>
        <w:shd w:val="clear" w:color="auto" w:fill="FFFFFF"/>
        <w:spacing w:before="0" w:beforeAutospacing="0" w:after="0" w:afterAutospacing="0" w:line="400" w:lineRule="exact"/>
        <w:rPr>
          <w:rFonts w:cs="Arial"/>
          <w:sz w:val="28"/>
          <w:szCs w:val="28"/>
        </w:rPr>
      </w:pPr>
    </w:p>
    <w:p>
      <w:pPr>
        <w:pStyle w:val="13"/>
        <w:shd w:val="clear" w:color="auto" w:fill="FFFFFF"/>
        <w:spacing w:before="0" w:beforeAutospacing="0" w:after="0" w:afterAutospacing="0" w:line="400" w:lineRule="exact"/>
        <w:rPr>
          <w:rFonts w:cs="Arial"/>
          <w:sz w:val="28"/>
          <w:szCs w:val="28"/>
        </w:rPr>
      </w:pPr>
    </w:p>
    <w:p>
      <w:pPr>
        <w:jc w:val="center"/>
        <w:rPr>
          <w:rFonts w:ascii="黑体" w:hAnsi="黑体" w:eastAsia="黑体"/>
          <w:sz w:val="44"/>
          <w:szCs w:val="44"/>
        </w:rPr>
      </w:pPr>
      <w:r>
        <w:rPr>
          <w:rFonts w:hint="eastAsia" w:ascii="黑体" w:hAnsi="黑体" w:eastAsia="黑体"/>
          <w:sz w:val="44"/>
          <w:szCs w:val="44"/>
          <w:lang w:val="en-US" w:eastAsia="zh-CN"/>
        </w:rPr>
        <w:t>采购</w:t>
      </w:r>
      <w:r>
        <w:rPr>
          <w:rFonts w:hint="eastAsia" w:ascii="黑体" w:hAnsi="黑体" w:eastAsia="黑体"/>
          <w:sz w:val="44"/>
          <w:szCs w:val="44"/>
        </w:rPr>
        <w:t>货物证明材料</w:t>
      </w:r>
    </w:p>
    <w:p>
      <w:pPr>
        <w:rPr>
          <w:rFonts w:ascii="仿宋" w:hAnsi="仿宋" w:eastAsia="仿宋"/>
          <w:sz w:val="32"/>
          <w:szCs w:val="32"/>
        </w:rPr>
      </w:pPr>
      <w:r>
        <w:rPr>
          <w:rFonts w:hint="eastAsia" w:ascii="仿宋" w:hAnsi="仿宋" w:eastAsia="仿宋"/>
          <w:sz w:val="32"/>
          <w:szCs w:val="32"/>
        </w:rPr>
        <w:t>致：</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 xml:space="preserve">我司（ </w:t>
      </w:r>
      <w:r>
        <w:rPr>
          <w:rFonts w:ascii="仿宋" w:hAnsi="仿宋" w:eastAsia="仿宋"/>
          <w:sz w:val="32"/>
          <w:szCs w:val="32"/>
        </w:rPr>
        <w:t xml:space="preserve">          </w:t>
      </w:r>
      <w:r>
        <w:rPr>
          <w:rFonts w:hint="eastAsia" w:ascii="仿宋" w:hAnsi="仿宋" w:eastAsia="仿宋"/>
          <w:sz w:val="32"/>
          <w:szCs w:val="32"/>
        </w:rPr>
        <w:t>）所投机房环境监控及视频监控系统（含设备安装、软件开发及硬件采购）产品符合国网浙江省电力公司湖州供电分公司使用要求，并且承担后续平台对接开发。与现有国网浙江省电力公司湖州供电分公司所使用信息机房环境监控平台可实现对接。已获得国网浙江省电力公司湖州供电分公司相关负责部门证明认可</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货物名称：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hint="eastAsia" w:ascii="仿宋" w:hAnsi="仿宋" w:eastAsia="仿宋"/>
          <w:sz w:val="32"/>
          <w:szCs w:val="32"/>
          <w:u w:val="single"/>
        </w:rPr>
      </w:pPr>
      <w:r>
        <w:rPr>
          <w:rFonts w:hint="eastAsia" w:ascii="仿宋" w:hAnsi="仿宋" w:eastAsia="仿宋"/>
          <w:sz w:val="32"/>
          <w:szCs w:val="32"/>
        </w:rPr>
        <w:t>货物型号：</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
    <w:p/>
    <w:p/>
    <w:p/>
    <w:p/>
    <w:p/>
    <w:p>
      <w:pPr>
        <w:rPr>
          <w:rFonts w:hint="eastAsia"/>
        </w:rPr>
      </w:pPr>
    </w:p>
    <w:p/>
    <w:p>
      <w:pPr>
        <w:rPr>
          <w:rFonts w:ascii="仿宋" w:hAnsi="仿宋" w:eastAsia="仿宋"/>
          <w:sz w:val="32"/>
          <w:szCs w:val="32"/>
        </w:rPr>
      </w:pPr>
      <w:r>
        <w:rPr>
          <w:rFonts w:hint="eastAsia"/>
          <w:sz w:val="32"/>
          <w:szCs w:val="32"/>
        </w:rPr>
        <w:t xml:space="preserve"> </w:t>
      </w:r>
      <w:r>
        <w:rPr>
          <w:sz w:val="32"/>
          <w:szCs w:val="32"/>
        </w:rPr>
        <w:t xml:space="preserve">                                </w:t>
      </w:r>
      <w:r>
        <w:rPr>
          <w:rFonts w:hint="eastAsia" w:ascii="仿宋" w:hAnsi="仿宋" w:eastAsia="仿宋"/>
          <w:sz w:val="32"/>
          <w:szCs w:val="32"/>
        </w:rPr>
        <w:t>投标单位（盖章）</w:t>
      </w:r>
    </w:p>
    <w:p>
      <w:pPr>
        <w:rPr>
          <w:rFonts w:hint="eastAsia"/>
          <w:sz w:val="32"/>
          <w:szCs w:val="32"/>
        </w:rPr>
      </w:pPr>
    </w:p>
    <w:p>
      <w:pPr>
        <w:rPr>
          <w:rFonts w:hint="eastAsia"/>
        </w:rPr>
      </w:pPr>
      <w:r>
        <w:rPr>
          <w:rFonts w:hint="eastAsia"/>
          <w:sz w:val="32"/>
          <w:szCs w:val="32"/>
        </w:rPr>
        <w:t xml:space="preserve"> </w:t>
      </w:r>
      <w:r>
        <w:rPr>
          <w:sz w:val="32"/>
          <w:szCs w:val="32"/>
        </w:rPr>
        <w:t xml:space="preserve">                                </w:t>
      </w:r>
      <w:r>
        <w:rPr>
          <w:rFonts w:hint="eastAsia" w:ascii="仿宋" w:hAnsi="仿宋" w:eastAsia="仿宋"/>
          <w:sz w:val="32"/>
          <w:szCs w:val="32"/>
        </w:rPr>
        <w:t>证明单位（盖章</w:t>
      </w:r>
      <w:r>
        <w:rPr>
          <w:rFonts w:hint="eastAsia"/>
        </w:rPr>
        <w:t>）</w:t>
      </w:r>
    </w:p>
    <w:p>
      <w:pPr>
        <w:pStyle w:val="13"/>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BD4D4A"/>
    <w:rsid w:val="0BA9653C"/>
    <w:rsid w:val="0D184A9B"/>
    <w:rsid w:val="0DE14135"/>
    <w:rsid w:val="10DF7756"/>
    <w:rsid w:val="11081A53"/>
    <w:rsid w:val="115F4425"/>
    <w:rsid w:val="15464EC0"/>
    <w:rsid w:val="1566388A"/>
    <w:rsid w:val="16022EBC"/>
    <w:rsid w:val="163E14B4"/>
    <w:rsid w:val="186A54DE"/>
    <w:rsid w:val="1AC051EE"/>
    <w:rsid w:val="1C054082"/>
    <w:rsid w:val="1CD520F1"/>
    <w:rsid w:val="1D4E2A11"/>
    <w:rsid w:val="1E7A31CA"/>
    <w:rsid w:val="205B1A09"/>
    <w:rsid w:val="21FF1362"/>
    <w:rsid w:val="24526A5C"/>
    <w:rsid w:val="266876F2"/>
    <w:rsid w:val="27DE5804"/>
    <w:rsid w:val="2AEF64C2"/>
    <w:rsid w:val="2BBC6C05"/>
    <w:rsid w:val="305449ED"/>
    <w:rsid w:val="306548BB"/>
    <w:rsid w:val="335D5C5A"/>
    <w:rsid w:val="33B65C73"/>
    <w:rsid w:val="34926253"/>
    <w:rsid w:val="350E51FC"/>
    <w:rsid w:val="35F008D8"/>
    <w:rsid w:val="3B057A89"/>
    <w:rsid w:val="3B327023"/>
    <w:rsid w:val="3BD840DF"/>
    <w:rsid w:val="40EE2EF1"/>
    <w:rsid w:val="41195871"/>
    <w:rsid w:val="411E2837"/>
    <w:rsid w:val="4460739E"/>
    <w:rsid w:val="47870E72"/>
    <w:rsid w:val="4CA3367D"/>
    <w:rsid w:val="50875639"/>
    <w:rsid w:val="52EA6277"/>
    <w:rsid w:val="553A2110"/>
    <w:rsid w:val="55964E68"/>
    <w:rsid w:val="559E5E41"/>
    <w:rsid w:val="59923C50"/>
    <w:rsid w:val="59FE74D5"/>
    <w:rsid w:val="64A804AF"/>
    <w:rsid w:val="67174C1E"/>
    <w:rsid w:val="68FA3959"/>
    <w:rsid w:val="6AF15208"/>
    <w:rsid w:val="6CF57563"/>
    <w:rsid w:val="6D221FF0"/>
    <w:rsid w:val="6E9A166C"/>
    <w:rsid w:val="6F8A153A"/>
    <w:rsid w:val="70B054B2"/>
    <w:rsid w:val="70D77935"/>
    <w:rsid w:val="71985604"/>
    <w:rsid w:val="72560CC7"/>
    <w:rsid w:val="73146E80"/>
    <w:rsid w:val="74325A78"/>
    <w:rsid w:val="74E8158C"/>
    <w:rsid w:val="763637E6"/>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szCs w:val="20"/>
    </w:rPr>
  </w:style>
  <w:style w:type="paragraph" w:styleId="4">
    <w:name w:val="annotation text"/>
    <w:basedOn w:val="1"/>
    <w:link w:val="33"/>
    <w:semiHidden/>
    <w:unhideWhenUsed/>
    <w:qFormat/>
    <w:uiPriority w:val="99"/>
    <w:pPr>
      <w:jc w:val="left"/>
    </w:pPr>
  </w:style>
  <w:style w:type="paragraph" w:styleId="5">
    <w:name w:val="Body Text"/>
    <w:basedOn w:val="1"/>
    <w:link w:val="28"/>
    <w:semiHidden/>
    <w:unhideWhenUsed/>
    <w:qFormat/>
    <w:uiPriority w:val="99"/>
    <w:pPr>
      <w:spacing w:after="120"/>
    </w:pPr>
  </w:style>
  <w:style w:type="paragraph" w:styleId="6">
    <w:name w:val="Body Text Indent"/>
    <w:basedOn w:val="1"/>
    <w:link w:val="27"/>
    <w:qFormat/>
    <w:uiPriority w:val="0"/>
    <w:pPr>
      <w:spacing w:line="360" w:lineRule="auto"/>
      <w:ind w:firstLine="600" w:firstLineChars="200"/>
    </w:pPr>
    <w:rPr>
      <w:rFonts w:ascii="仿宋_GB2312" w:hAnsi="宋体" w:eastAsia="仿宋_GB2312"/>
      <w:sz w:val="30"/>
      <w:szCs w:val="24"/>
    </w:r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2"/>
    <w:qFormat/>
    <w:uiPriority w:val="0"/>
    <w:rPr>
      <w:rFonts w:ascii="宋体" w:hAnsi="Courier New" w:eastAsia="宋体" w:cs="Courier New"/>
      <w:szCs w:val="21"/>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4"/>
    <w:next w:val="4"/>
    <w:link w:val="34"/>
    <w:semiHidden/>
    <w:unhideWhenUsed/>
    <w:qFormat/>
    <w:uiPriority w:val="99"/>
    <w:rPr>
      <w:b/>
      <w:bCs/>
    </w:rPr>
  </w:style>
  <w:style w:type="paragraph" w:styleId="15">
    <w:name w:val="Body Text First Indent"/>
    <w:basedOn w:val="5"/>
    <w:link w:val="29"/>
    <w:qFormat/>
    <w:uiPriority w:val="0"/>
    <w:pPr>
      <w:ind w:firstLine="420" w:firstLineChars="100"/>
      <w:jc w:val="center"/>
    </w:pPr>
    <w:rPr>
      <w:rFonts w:ascii="Times New Roman" w:hAnsi="Times New Roman" w:eastAsia="黑体" w:cs="Times New Roman"/>
      <w:color w:val="FF0000"/>
      <w:sz w:val="28"/>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批注框文本 字符"/>
    <w:basedOn w:val="18"/>
    <w:link w:val="10"/>
    <w:semiHidden/>
    <w:qFormat/>
    <w:uiPriority w:val="99"/>
    <w:rPr>
      <w:kern w:val="2"/>
      <w:sz w:val="18"/>
      <w:szCs w:val="18"/>
    </w:rPr>
  </w:style>
  <w:style w:type="character" w:customStyle="1" w:styleId="24">
    <w:name w:val="日期 字符"/>
    <w:basedOn w:val="18"/>
    <w:link w:val="9"/>
    <w:semiHidden/>
    <w:qFormat/>
    <w:uiPriority w:val="99"/>
    <w:rPr>
      <w:kern w:val="2"/>
      <w:sz w:val="21"/>
      <w:szCs w:val="22"/>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character" w:customStyle="1" w:styleId="26">
    <w:name w:val="正文缩进 字符"/>
    <w:link w:val="3"/>
    <w:qFormat/>
    <w:uiPriority w:val="0"/>
    <w:rPr>
      <w:rFonts w:eastAsia="宋体"/>
      <w:kern w:val="2"/>
      <w:sz w:val="21"/>
    </w:rPr>
  </w:style>
  <w:style w:type="character" w:customStyle="1" w:styleId="27">
    <w:name w:val="正文文本缩进 字符"/>
    <w:link w:val="6"/>
    <w:qFormat/>
    <w:locked/>
    <w:uiPriority w:val="0"/>
    <w:rPr>
      <w:rFonts w:ascii="仿宋_GB2312" w:hAnsi="宋体" w:eastAsia="仿宋_GB2312"/>
      <w:kern w:val="2"/>
      <w:sz w:val="30"/>
      <w:szCs w:val="24"/>
    </w:rPr>
  </w:style>
  <w:style w:type="character" w:customStyle="1" w:styleId="28">
    <w:name w:val="正文文本 字符"/>
    <w:basedOn w:val="18"/>
    <w:link w:val="5"/>
    <w:semiHidden/>
    <w:qFormat/>
    <w:uiPriority w:val="99"/>
    <w:rPr>
      <w:kern w:val="2"/>
      <w:sz w:val="21"/>
      <w:szCs w:val="22"/>
    </w:rPr>
  </w:style>
  <w:style w:type="character" w:customStyle="1" w:styleId="29">
    <w:name w:val="正文文本首行缩进 字符"/>
    <w:basedOn w:val="28"/>
    <w:link w:val="15"/>
    <w:qFormat/>
    <w:uiPriority w:val="0"/>
    <w:rPr>
      <w:rFonts w:ascii="Times New Roman" w:hAnsi="Times New Roman" w:eastAsia="黑体" w:cs="Times New Roman"/>
      <w:color w:val="FF0000"/>
      <w:kern w:val="2"/>
      <w:sz w:val="28"/>
      <w:szCs w:val="24"/>
    </w:rPr>
  </w:style>
  <w:style w:type="character" w:customStyle="1" w:styleId="30">
    <w:name w:val="正文文本缩进 Char1"/>
    <w:basedOn w:val="18"/>
    <w:semiHidden/>
    <w:qFormat/>
    <w:uiPriority w:val="99"/>
    <w:rPr>
      <w:kern w:val="2"/>
      <w:sz w:val="21"/>
      <w:szCs w:val="22"/>
    </w:rPr>
  </w:style>
  <w:style w:type="paragraph" w:customStyle="1" w:styleId="3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2">
    <w:name w:val="纯文本 字符"/>
    <w:basedOn w:val="18"/>
    <w:link w:val="8"/>
    <w:qFormat/>
    <w:uiPriority w:val="0"/>
    <w:rPr>
      <w:rFonts w:ascii="宋体" w:hAnsi="Courier New" w:cs="Courier New"/>
      <w:kern w:val="2"/>
      <w:sz w:val="21"/>
      <w:szCs w:val="21"/>
    </w:rPr>
  </w:style>
  <w:style w:type="character" w:customStyle="1" w:styleId="33">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01"/>
    <w:basedOn w:val="18"/>
    <w:qFormat/>
    <w:uiPriority w:val="0"/>
    <w:rPr>
      <w:rFonts w:hint="eastAsia" w:ascii="宋体" w:hAnsi="宋体" w:eastAsia="宋体" w:cs="宋体"/>
      <w:color w:val="000000"/>
      <w:sz w:val="22"/>
      <w:szCs w:val="22"/>
      <w:u w:val="none"/>
    </w:rPr>
  </w:style>
  <w:style w:type="character" w:customStyle="1" w:styleId="37">
    <w:name w:val="font41"/>
    <w:basedOn w:val="18"/>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13</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2021-08-27T08:47:00Z</cp:lastPrinted>
  <dcterms:modified xsi:type="dcterms:W3CDTF">2021-09-01T03:09:59Z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