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7445" cy="8820150"/>
            <wp:effectExtent l="0" t="0" r="1905" b="0"/>
            <wp:docPr id="2" name="图片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0001"/>
                    <pic:cNvPicPr>
                      <a:picLocks noChangeAspect="1"/>
                    </pic:cNvPicPr>
                  </pic:nvPicPr>
                  <pic:blipFill>
                    <a:blip r:embed="rId9"/>
                    <a:stretch>
                      <a:fillRect/>
                    </a:stretch>
                  </pic:blipFill>
                  <pic:spPr>
                    <a:xfrm>
                      <a:off x="0" y="0"/>
                      <a:ext cx="6227445"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bookmarkStart w:id="45" w:name="_GoBack"/>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bookmarkEnd w:id="45"/>
    </w:p>
    <w:p>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集装箱</w:t>
      </w:r>
      <w:r>
        <w:rPr>
          <w:rFonts w:hint="eastAsia" w:ascii="仿宋" w:hAnsi="仿宋" w:eastAsia="仿宋" w:cs="Times New Roman"/>
          <w:b/>
          <w:bCs w:val="0"/>
          <w:color w:val="auto"/>
          <w:sz w:val="44"/>
          <w:szCs w:val="44"/>
          <w:highlight w:val="none"/>
          <w:u w:val="none"/>
          <w:lang w:val="en-US" w:eastAsia="zh-CN"/>
        </w:rPr>
        <w:t>采购询价公告</w:t>
      </w:r>
    </w:p>
    <w:p>
      <w:pPr>
        <w:pStyle w:val="20"/>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b/>
          <w:bCs/>
          <w:color w:val="auto"/>
          <w:sz w:val="28"/>
          <w:szCs w:val="28"/>
          <w:highlight w:val="none"/>
          <w:lang w:val="en-US" w:eastAsia="zh-CN"/>
        </w:rPr>
        <w:t>租赁或</w:t>
      </w:r>
      <w:r>
        <w:rPr>
          <w:rFonts w:hint="eastAsia" w:ascii="仿宋" w:hAnsi="仿宋" w:eastAsia="仿宋" w:cs="Arial"/>
          <w:b/>
          <w:bCs/>
          <w:color w:val="auto"/>
          <w:sz w:val="28"/>
          <w:szCs w:val="28"/>
          <w:highlight w:val="none"/>
        </w:rPr>
        <w:t>采购</w:t>
      </w:r>
      <w:r>
        <w:rPr>
          <w:rFonts w:hint="eastAsia" w:ascii="仿宋" w:hAnsi="仿宋" w:eastAsia="仿宋" w:cs="Arial"/>
          <w:color w:val="auto"/>
          <w:sz w:val="28"/>
          <w:szCs w:val="28"/>
          <w:highlight w:val="none"/>
          <w:u w:val="single"/>
          <w:lang w:val="en-US" w:eastAsia="zh-CN"/>
        </w:rPr>
        <w:t>集装箱</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shd w:val="clear" w:color="auto" w:fill="auto"/>
          <w:lang w:val="en-US" w:eastAsia="zh-CN"/>
        </w:rPr>
        <w:t>南浔直播电商产业基地项目中集装箱的</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CTCJ-202403012集装箱采购项目</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根据图纸要求，最终满足采购人要求，包括但不限于标箱、楼梯箱、走道箱、男女卫生间、传达室（含电动卷闸门）</w:t>
      </w:r>
      <w:r>
        <w:rPr>
          <w:rFonts w:hint="eastAsia" w:ascii="仿宋" w:hAnsi="仿宋" w:eastAsia="仿宋" w:cs="Arial"/>
          <w:b w:val="0"/>
          <w:bCs/>
          <w:color w:val="auto"/>
          <w:sz w:val="28"/>
          <w:szCs w:val="28"/>
          <w:highlight w:val="none"/>
          <w:u w:val="single"/>
          <w:lang w:val="en-US" w:eastAsia="zh-CN"/>
        </w:rPr>
        <w:t>等，具体</w:t>
      </w:r>
      <w:r>
        <w:rPr>
          <w:rFonts w:hint="eastAsia" w:ascii="仿宋" w:hAnsi="仿宋" w:eastAsia="仿宋" w:cs="Arial"/>
          <w:color w:val="auto"/>
          <w:kern w:val="0"/>
          <w:sz w:val="28"/>
          <w:szCs w:val="28"/>
          <w:highlight w:val="none"/>
          <w:u w:val="single"/>
          <w:lang w:val="en-US" w:eastAsia="zh-CN" w:bidi="ar-SA"/>
        </w:rPr>
        <w:t>请下载附件《材料报价表》进行查看，具体供货数量以采购人下单为准，以供应商最终的中标单价按实结算。</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约30万元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合格，按最新颁发的国家标准执行，满足采购人要求。</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8"/>
        <w:gridCol w:w="74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 w:lineRule="atLeas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合同签订后10个工作日内供货完成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0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 w:lineRule="atLeas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0" w:lineRule="atLeast"/>
              <w:jc w:val="both"/>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1.</w:t>
            </w:r>
            <w:r>
              <w:rPr>
                <w:rFonts w:hint="eastAsia" w:ascii="仿宋" w:hAnsi="仿宋" w:eastAsia="仿宋" w:cs="仿宋"/>
                <w:b/>
                <w:bCs/>
                <w:color w:val="auto"/>
                <w:sz w:val="28"/>
                <w:szCs w:val="28"/>
                <w:highlight w:val="none"/>
                <w:lang w:val="en-US" w:eastAsia="zh-CN"/>
              </w:rPr>
              <w:t>租赁合同付款方式：</w:t>
            </w:r>
            <w:r>
              <w:rPr>
                <w:rFonts w:hint="eastAsia" w:ascii="仿宋" w:hAnsi="仿宋" w:eastAsia="仿宋" w:cs="仿宋"/>
                <w:color w:val="auto"/>
                <w:sz w:val="28"/>
                <w:szCs w:val="28"/>
                <w:highlight w:val="none"/>
                <w:lang w:val="en-US" w:eastAsia="zh-CN"/>
              </w:rPr>
              <w:t>合同签订后采购人支付集装箱押金，租赁期结束后，采购人根据租赁数量与租赁时间按实结算，最终以采购人的指定人员签字盖章的单据为准。从押金中扣除该笔费用，多退少补，供应商收款前须提供支付金额准确的13%增值税专用发票，否则采购人有权不予支付。</w:t>
            </w:r>
          </w:p>
          <w:p>
            <w:pPr>
              <w:pStyle w:val="20"/>
              <w:keepNext w:val="0"/>
              <w:keepLines w:val="0"/>
              <w:pageBreakBefore w:val="0"/>
              <w:widowControl/>
              <w:numPr>
                <w:ilvl w:val="0"/>
                <w:numId w:val="0"/>
              </w:numPr>
              <w:kinsoku/>
              <w:wordWrap/>
              <w:overflowPunct/>
              <w:topLinePunct w:val="0"/>
              <w:autoSpaceDE/>
              <w:autoSpaceDN/>
              <w:bidi w:val="0"/>
              <w:adjustRightInd/>
              <w:snapToGrid/>
              <w:spacing w:line="30" w:lineRule="atLeas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kern w:val="2"/>
                <w:sz w:val="28"/>
                <w:szCs w:val="28"/>
                <w:lang w:val="en-US" w:eastAsia="zh-CN" w:bidi="ar-SA"/>
              </w:rPr>
              <w:t>2.</w:t>
            </w:r>
            <w:r>
              <w:rPr>
                <w:rFonts w:hint="eastAsia" w:ascii="仿宋" w:hAnsi="仿宋" w:eastAsia="仿宋" w:cs="仿宋"/>
                <w:b/>
                <w:bCs/>
                <w:color w:val="auto"/>
                <w:kern w:val="2"/>
                <w:sz w:val="28"/>
                <w:szCs w:val="28"/>
                <w:highlight w:val="none"/>
                <w:lang w:val="en-US" w:eastAsia="zh-CN" w:bidi="ar-SA"/>
              </w:rPr>
              <w:t>采购合同付款方式：</w:t>
            </w:r>
            <w:r>
              <w:rPr>
                <w:rFonts w:hint="eastAsia" w:ascii="仿宋" w:hAnsi="仿宋" w:eastAsia="仿宋" w:cs="仿宋"/>
                <w:color w:val="auto"/>
                <w:kern w:val="2"/>
                <w:sz w:val="28"/>
                <w:szCs w:val="28"/>
                <w:highlight w:val="none"/>
                <w:lang w:val="en-US" w:eastAsia="zh-CN" w:bidi="ar-SA"/>
              </w:rPr>
              <w:t>合同签订后支付合同价的30%；集装箱全部到场安装完成并经验收合格后支付至合同价的95%；剩余合同价的5%作为质保金待保修期一年半满后付清（无息）。供应商收款前须提供支付金额准确的13%增值税专用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0" w:lineRule="atLeas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none"/>
                <w:lang w:val="en-US" w:eastAsia="zh-CN"/>
              </w:rPr>
              <w:t>根据实际租赁数量或采购数量按实结算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0" w:lineRule="atLeas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是，若采购人选择租赁合同的形式，租赁期结束后需由供应商负责集装箱的拆除及退场。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 w:lineRule="atLeas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 w:lineRule="atLeast"/>
              <w:jc w:val="center"/>
              <w:textAlignment w:val="auto"/>
              <w:rPr>
                <w:rFonts w:hint="default"/>
                <w:lang w:val="en-US" w:eastAsia="zh-CN"/>
              </w:rPr>
            </w:pPr>
            <w:r>
              <w:rPr>
                <w:rFonts w:hint="eastAsia" w:ascii="仿宋" w:hAnsi="仿宋" w:eastAsia="仿宋" w:cs="仿宋"/>
                <w:color w:val="auto"/>
                <w:sz w:val="28"/>
                <w:szCs w:val="28"/>
                <w:highlight w:val="none"/>
                <w:u w:val="single"/>
                <w:lang w:val="en-US" w:eastAsia="zh-CN"/>
              </w:rPr>
              <w:t>一年半</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3</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22</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13时0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18757290915。</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Excel</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①报价人应严格按照本询价文件关于报价文件要求的文件格式、内容打印，并在每一页上加盖公司公章，不得擅自涂抹更改（如需增减项的应另附报价清单），否则视为无效报价。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报价人的谈判人员前往谈判时，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0"/>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3月19日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工程资料、结算送审资料等由采购人委托的第三方单位进行编制，第三方单位编制资料所产生的相关费用从中标供应商的结算款中直接扣除(按照采购人与第三方的协议价进行扣除)，供应商在投标报价时应充分考虑。</w:t>
      </w:r>
    </w:p>
    <w:bookmarkEnd w:id="13"/>
    <w:bookmarkEnd w:id="14"/>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1"/>
      <w:bookmarkStart w:id="30" w:name="_Toc173572834"/>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安装、调试直至正常运行（含水质检测满足要求）、</w:t>
      </w:r>
      <w:r>
        <w:rPr>
          <w:rFonts w:hint="default" w:ascii="仿宋" w:hAnsi="仿宋" w:eastAsia="仿宋" w:cs="仿宋"/>
          <w:b w:val="0"/>
          <w:bCs/>
          <w:color w:val="auto"/>
          <w:sz w:val="28"/>
          <w:szCs w:val="28"/>
          <w:highlight w:val="none"/>
          <w:lang w:val="en-US"/>
        </w:rPr>
        <w:t>税金（要求中标人提供13%增值税专用发票）等等，以及为完成</w:t>
      </w:r>
      <w:r>
        <w:rPr>
          <w:rFonts w:hint="eastAsia" w:ascii="仿宋" w:hAnsi="仿宋" w:eastAsia="仿宋" w:cs="仿宋"/>
          <w:b w:val="0"/>
          <w:bCs/>
          <w:color w:val="auto"/>
          <w:sz w:val="28"/>
          <w:szCs w:val="28"/>
          <w:highlight w:val="none"/>
          <w:lang w:val="en-US" w:eastAsia="zh-CN"/>
        </w:rPr>
        <w:t>竣工验收</w:t>
      </w:r>
      <w:r>
        <w:rPr>
          <w:rFonts w:hint="default" w:ascii="仿宋" w:hAnsi="仿宋" w:eastAsia="仿宋" w:cs="仿宋"/>
          <w:b w:val="0"/>
          <w:bCs/>
          <w:color w:val="auto"/>
          <w:sz w:val="28"/>
          <w:szCs w:val="28"/>
          <w:highlight w:val="none"/>
          <w:lang w:val="en-US"/>
        </w:rPr>
        <w:t>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2"/>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53233055"/>
      <w:bookmarkStart w:id="44" w:name="_Toc173558759"/>
    </w:p>
    <w:p>
      <w:pPr>
        <w:pStyle w:val="2"/>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bookmarkEnd w:id="41"/>
    <w:p>
      <w:pPr>
        <w:pStyle w:val="11"/>
        <w:rPr>
          <w:rFonts w:hint="eastAsia" w:ascii="仿宋" w:hAnsi="仿宋" w:eastAsia="仿宋" w:cs="仿宋"/>
          <w:b/>
          <w:bCs/>
          <w:color w:val="auto"/>
          <w:sz w:val="30"/>
          <w:highlight w:val="none"/>
        </w:rPr>
      </w:pPr>
    </w:p>
    <w:p>
      <w:pPr>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采购、租赁合同</w:t>
      </w:r>
    </w:p>
    <w:p>
      <w:pPr>
        <w:numPr>
          <w:ilvl w:val="0"/>
          <w:numId w:val="0"/>
        </w:numPr>
        <w:rPr>
          <w:rFonts w:hint="eastAsia"/>
          <w:color w:val="auto"/>
          <w:highlight w:val="none"/>
        </w:rPr>
      </w:pPr>
    </w:p>
    <w:p>
      <w:pPr>
        <w:pStyle w:val="2"/>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pPr>
        <w:pStyle w:val="7"/>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，遵循平等自愿、公正和诚实信用的原则，双方就建设材料购买事项协商一致，同意按以下条款签订本合同。</w:t>
      </w:r>
    </w:p>
    <w:p>
      <w:pPr>
        <w:pStyle w:val="7"/>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bl>
    <w:p>
      <w:pPr>
        <w:pStyle w:val="7"/>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合同价：</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元。</w:t>
      </w:r>
    </w:p>
    <w:p>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总价</w:t>
      </w:r>
      <w:r>
        <w:rPr>
          <w:rFonts w:hint="eastAsia" w:ascii="仿宋" w:hAnsi="仿宋" w:eastAsia="仿宋" w:cs="仿宋"/>
          <w:b w:val="0"/>
          <w:bCs w:val="0"/>
          <w:color w:val="auto"/>
          <w:sz w:val="22"/>
          <w:szCs w:val="22"/>
          <w:highlight w:val="none"/>
        </w:rPr>
        <w:t>不因原材料价格变动等任何因素而变动。</w:t>
      </w:r>
    </w:p>
    <w:p>
      <w:pPr>
        <w:pStyle w:val="7"/>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w:t>
      </w:r>
      <w:r>
        <w:rPr>
          <w:rFonts w:hint="eastAsia" w:ascii="仿宋" w:hAnsi="仿宋" w:eastAsia="仿宋" w:cs="仿宋"/>
          <w:b w:val="0"/>
          <w:bCs w:val="0"/>
          <w:color w:val="auto"/>
          <w:sz w:val="22"/>
          <w:szCs w:val="22"/>
          <w:highlight w:val="none"/>
          <w:lang w:val="en-US" w:eastAsia="zh-CN"/>
        </w:rPr>
        <w:t>价格</w:t>
      </w:r>
      <w:r>
        <w:rPr>
          <w:rFonts w:hint="eastAsia" w:ascii="仿宋" w:hAnsi="仿宋" w:eastAsia="仿宋" w:cs="仿宋"/>
          <w:b w:val="0"/>
          <w:bCs w:val="0"/>
          <w:color w:val="auto"/>
          <w:sz w:val="22"/>
          <w:szCs w:val="22"/>
          <w:highlight w:val="none"/>
        </w:rPr>
        <w:t>包括材料价款、人工费、包装费、运输费、装卸费、损耗费、检测费、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验收费（含第三方验收）、技术服务（包括技术资料的提供）、培训、售后服务、服务期保障、保险费、利润、税金、以及完成本次采购项目所需的所有费用</w:t>
      </w:r>
      <w:r>
        <w:rPr>
          <w:rFonts w:hint="eastAsia" w:ascii="仿宋" w:hAnsi="仿宋" w:eastAsia="仿宋" w:cs="仿宋"/>
          <w:b w:val="0"/>
          <w:bCs w:val="0"/>
          <w:color w:val="auto"/>
          <w:sz w:val="22"/>
          <w:szCs w:val="22"/>
          <w:highlight w:val="none"/>
          <w:lang w:eastAsia="zh-CN"/>
        </w:rPr>
        <w:t>。</w:t>
      </w:r>
    </w:p>
    <w:p>
      <w:pPr>
        <w:pStyle w:val="7"/>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二、供货时间、地点、方式</w:t>
      </w:r>
    </w:p>
    <w:p>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w:t>
      </w:r>
    </w:p>
    <w:p>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2、材料交货地点和方式：</w:t>
      </w:r>
      <w:r>
        <w:rPr>
          <w:rFonts w:hint="eastAsia" w:ascii="仿宋" w:hAnsi="仿宋" w:eastAsia="仿宋" w:cs="仿宋"/>
          <w:b w:val="0"/>
          <w:bCs w:val="0"/>
          <w:color w:val="auto"/>
          <w:sz w:val="22"/>
          <w:szCs w:val="22"/>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2"/>
          <w:szCs w:val="22"/>
          <w:highlight w:val="none"/>
          <w:lang w:val="en-US" w:eastAsia="zh-CN"/>
        </w:rPr>
        <w:t>。</w:t>
      </w:r>
    </w:p>
    <w:p>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3、在乙方将货物运送到指定地点后，乙方应负责材料的保管与维护避免盗窃、损坏及其他情况，如有损失的则由乙方自行承担相应责任。</w:t>
      </w:r>
    </w:p>
    <w:p>
      <w:pPr>
        <w:pStyle w:val="7"/>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、知识产权</w:t>
      </w:r>
    </w:p>
    <w:p>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、产权担保</w:t>
      </w:r>
    </w:p>
    <w:p>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7"/>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、履约保证金</w:t>
      </w:r>
    </w:p>
    <w:p>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w:t>
      </w:r>
      <w:r>
        <w:rPr>
          <w:rFonts w:hint="eastAsia" w:ascii="仿宋" w:hAnsi="仿宋" w:eastAsia="仿宋" w:cs="仿宋"/>
          <w:b w:val="0"/>
          <w:bCs w:val="0"/>
          <w:color w:val="auto"/>
          <w:sz w:val="22"/>
          <w:szCs w:val="22"/>
          <w:highlight w:val="none"/>
          <w:lang w:val="en-US" w:eastAsia="zh-CN"/>
        </w:rPr>
        <w:t>本项目竣工验收通过并</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、转包或分包</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合同价为</w:t>
      </w:r>
      <w:r>
        <w:rPr>
          <w:rFonts w:hint="eastAsia" w:ascii="仿宋" w:hAnsi="仿宋" w:eastAsia="仿宋" w:cs="仿宋"/>
          <w:b w:val="0"/>
          <w:bCs w:val="0"/>
          <w:color w:val="auto"/>
          <w:sz w:val="22"/>
          <w:szCs w:val="22"/>
          <w:highlight w:val="none"/>
        </w:rPr>
        <w:t>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税金等各项</w:t>
      </w:r>
      <w:r>
        <w:rPr>
          <w:rFonts w:hint="eastAsia" w:ascii="仿宋" w:hAnsi="仿宋" w:eastAsia="仿宋" w:cs="仿宋"/>
          <w:b w:val="0"/>
          <w:bCs w:val="0"/>
          <w:color w:val="auto"/>
          <w:sz w:val="22"/>
          <w:szCs w:val="22"/>
          <w:highlight w:val="none"/>
          <w:lang w:val="en-US" w:eastAsia="zh-CN"/>
        </w:rPr>
        <w:t>直至竣工验收通过</w:t>
      </w:r>
      <w:r>
        <w:rPr>
          <w:rFonts w:hint="eastAsia" w:ascii="仿宋" w:hAnsi="仿宋" w:eastAsia="仿宋" w:cs="仿宋"/>
          <w:b w:val="0"/>
          <w:bCs w:val="0"/>
          <w:color w:val="auto"/>
          <w:sz w:val="22"/>
          <w:szCs w:val="22"/>
          <w:highlight w:val="none"/>
        </w:rPr>
        <w:t>的一切费用。</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pPr>
        <w:spacing w:line="440" w:lineRule="exact"/>
        <w:ind w:firstLine="440" w:firstLineChars="200"/>
        <w:jc w:val="lef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w:t>
      </w:r>
      <w:r>
        <w:rPr>
          <w:rFonts w:hint="eastAsia" w:ascii="仿宋" w:hAnsi="仿宋" w:eastAsia="仿宋" w:cs="仿宋"/>
          <w:b w:val="0"/>
          <w:bCs w:val="0"/>
          <w:color w:val="auto"/>
          <w:sz w:val="22"/>
          <w:szCs w:val="22"/>
          <w:highlight w:val="none"/>
        </w:rPr>
        <w:t>、税费</w:t>
      </w:r>
    </w:p>
    <w:p>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、售后服务及承诺</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、技术质量保证</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、验收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、货物包装、发运及运输</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 xml:space="preserve">5. </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7.乙方应按期完成各项工作，否则每延期一天</w:t>
      </w:r>
      <w:r>
        <w:rPr>
          <w:rFonts w:hint="eastAsia" w:ascii="仿宋" w:hAnsi="仿宋" w:eastAsia="仿宋" w:cs="仿宋"/>
          <w:b w:val="0"/>
          <w:bCs w:val="0"/>
          <w:color w:val="auto"/>
          <w:sz w:val="22"/>
          <w:szCs w:val="22"/>
          <w:highlight w:val="none"/>
        </w:rPr>
        <w:t>按</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pPr>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、不可抗力事件处理</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pPr>
        <w:spacing w:line="440" w:lineRule="exact"/>
        <w:ind w:firstLine="440" w:firstLineChars="200"/>
        <w:jc w:val="both"/>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4.一方违约后发生不可抗力的，违约方不可主张免责</w:t>
      </w:r>
      <w:r>
        <w:rPr>
          <w:rFonts w:hint="eastAsia" w:ascii="仿宋" w:hAnsi="仿宋" w:eastAsia="仿宋" w:cs="仿宋"/>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、售后服务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一年半</w:t>
      </w:r>
      <w:r>
        <w:rPr>
          <w:rFonts w:hint="eastAsia" w:ascii="仿宋" w:hAnsi="仿宋" w:eastAsia="仿宋" w:cs="仿宋"/>
          <w:b w:val="0"/>
          <w:bCs w:val="0"/>
          <w:color w:val="auto"/>
          <w:sz w:val="22"/>
          <w:szCs w:val="22"/>
          <w:highlight w:val="none"/>
        </w:rPr>
        <w:t>，按甲方验收合格之日起算，质保期内维修免费；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、纠纷解决</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十九</w:t>
      </w:r>
      <w:r>
        <w:rPr>
          <w:rFonts w:hint="eastAsia" w:ascii="仿宋" w:hAnsi="仿宋" w:eastAsia="仿宋" w:cs="仿宋"/>
          <w:b w:val="0"/>
          <w:bCs w:val="0"/>
          <w:color w:val="auto"/>
          <w:sz w:val="22"/>
          <w:szCs w:val="22"/>
          <w:highlight w:val="none"/>
        </w:rPr>
        <w:t>、合同生效及其他</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pPr>
        <w:pStyle w:val="7"/>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spacing w:line="276" w:lineRule="auto"/>
        <w:jc w:val="center"/>
        <w:rPr>
          <w:rFonts w:ascii="宋体"/>
          <w:szCs w:val="21"/>
        </w:rPr>
      </w:pPr>
      <w:r>
        <w:rPr>
          <w:rFonts w:hint="eastAsia" w:ascii="宋体" w:hAnsi="宋体"/>
          <w:b/>
          <w:sz w:val="36"/>
          <w:szCs w:val="36"/>
        </w:rPr>
        <w:t>租赁合同</w:t>
      </w:r>
    </w:p>
    <w:p>
      <w:pPr>
        <w:spacing w:line="320" w:lineRule="exact"/>
        <w:jc w:val="center"/>
        <w:rPr>
          <w:rFonts w:ascii="宋体" w:hAnsi="宋体"/>
          <w:szCs w:val="21"/>
        </w:rPr>
      </w:pPr>
    </w:p>
    <w:p>
      <w:pPr>
        <w:spacing w:line="440" w:lineRule="exact"/>
        <w:ind w:left="1"/>
        <w:jc w:val="left"/>
        <w:rPr>
          <w:rFonts w:ascii="宋体"/>
          <w:szCs w:val="21"/>
        </w:rPr>
      </w:pPr>
      <w:r>
        <w:rPr>
          <w:rFonts w:hint="eastAsia" w:ascii="宋体" w:hAnsi="宋体"/>
          <w:szCs w:val="21"/>
        </w:rPr>
        <w:t>甲方（承租方）：</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p>
    <w:p>
      <w:pPr>
        <w:spacing w:line="440" w:lineRule="exact"/>
        <w:ind w:left="1"/>
        <w:jc w:val="left"/>
        <w:rPr>
          <w:rFonts w:ascii="宋体"/>
          <w:szCs w:val="21"/>
        </w:rPr>
      </w:pPr>
      <w:r>
        <w:rPr>
          <w:rFonts w:hint="eastAsia" w:ascii="宋体" w:hAnsi="宋体"/>
          <w:szCs w:val="21"/>
        </w:rPr>
        <w:t>乙方（出租方）：</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p>
    <w:p>
      <w:pPr>
        <w:spacing w:line="440" w:lineRule="exact"/>
        <w:ind w:left="1"/>
        <w:rPr>
          <w:rFonts w:ascii="宋体"/>
          <w:szCs w:val="21"/>
        </w:rPr>
      </w:pPr>
      <w:r>
        <w:rPr>
          <w:rFonts w:hint="eastAsia" w:ascii="宋体" w:hAnsi="宋体"/>
          <w:szCs w:val="21"/>
        </w:rPr>
        <w:t>依据《中华人民共和国民法典》及我国其他相关法律法规，甲乙双方本着合作、互惠互利的原则友好协商，达成如下协议，并承诺自觉履行相关义务和责任。</w:t>
      </w:r>
    </w:p>
    <w:p>
      <w:pPr>
        <w:spacing w:line="440" w:lineRule="exact"/>
        <w:ind w:left="1"/>
        <w:rPr>
          <w:rFonts w:ascii="宋体" w:cs="宋体"/>
          <w:kern w:val="11"/>
          <w:sz w:val="23"/>
          <w:szCs w:val="23"/>
          <w:u w:val="single"/>
          <w:shd w:val="clear" w:color="auto" w:fill="FFFFFF"/>
        </w:rPr>
      </w:pPr>
      <w:r>
        <w:rPr>
          <w:rFonts w:hint="eastAsia" w:ascii="宋体" w:hAnsi="宋体" w:cs="宋体"/>
          <w:bCs/>
          <w:sz w:val="22"/>
        </w:rPr>
        <w:t>项目名称：</w:t>
      </w:r>
      <w:r>
        <w:rPr>
          <w:rStyle w:val="23"/>
          <w:rFonts w:hint="eastAsia"/>
          <w:kern w:val="1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Style w:val="23"/>
          <w:rFonts w:hint="eastAsia"/>
          <w:kern w:val="11"/>
          <w:u w:val="single"/>
        </w:rPr>
        <w:t xml:space="preserve">     </w:t>
      </w:r>
    </w:p>
    <w:p>
      <w:pPr>
        <w:pStyle w:val="25"/>
        <w:spacing w:line="440" w:lineRule="exact"/>
        <w:ind w:left="1"/>
        <w:rPr>
          <w:rFonts w:hAnsi="宋体" w:cs="宋体"/>
          <w:bCs/>
          <w:sz w:val="22"/>
          <w:szCs w:val="22"/>
          <w:u w:val="single"/>
        </w:rPr>
      </w:pPr>
      <w:r>
        <w:rPr>
          <w:rFonts w:hint="eastAsia" w:hAnsi="宋体" w:cs="宋体"/>
          <w:bCs/>
          <w:sz w:val="22"/>
          <w:szCs w:val="22"/>
        </w:rPr>
        <w:t>工程地址：</w:t>
      </w:r>
      <w:r>
        <w:rPr>
          <w:rStyle w:val="23"/>
          <w:rFonts w:hint="eastAsia"/>
          <w:kern w:val="1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Style w:val="23"/>
          <w:rFonts w:hint="eastAsia" w:hAnsi="Calibri"/>
          <w:kern w:val="11"/>
          <w:u w:val="single"/>
        </w:rPr>
        <w:t xml:space="preserve">  </w:t>
      </w:r>
      <w:r>
        <w:rPr>
          <w:rStyle w:val="23"/>
          <w:rFonts w:hint="eastAsia"/>
          <w:kern w:val="11"/>
          <w:u w:val="single"/>
        </w:rPr>
        <w:t xml:space="preserve">            </w:t>
      </w:r>
    </w:p>
    <w:p>
      <w:pPr>
        <w:pStyle w:val="26"/>
        <w:spacing w:line="440" w:lineRule="exact"/>
        <w:ind w:left="0" w:leftChars="0" w:firstLine="0" w:firstLineChars="0"/>
        <w:jc w:val="left"/>
        <w:rPr>
          <w:rFonts w:hAnsi="宋体"/>
          <w:szCs w:val="21"/>
        </w:rPr>
      </w:pPr>
      <w:r>
        <w:rPr>
          <w:rFonts w:hint="eastAsia" w:hAnsi="宋体"/>
          <w:szCs w:val="21"/>
        </w:rPr>
        <w:t>机械名称、规格、数量、价款、税率、计划使用时间等条款</w:t>
      </w:r>
    </w:p>
    <w:tbl>
      <w:tblPr>
        <w:tblStyle w:val="15"/>
        <w:tblW w:w="6043" w:type="pct"/>
        <w:tblInd w:w="-5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1193"/>
        <w:gridCol w:w="1350"/>
        <w:gridCol w:w="916"/>
        <w:gridCol w:w="800"/>
        <w:gridCol w:w="967"/>
        <w:gridCol w:w="750"/>
        <w:gridCol w:w="1000"/>
        <w:gridCol w:w="1200"/>
        <w:gridCol w:w="833"/>
        <w:gridCol w:w="6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trPr>
        <w:tc>
          <w:tcPr>
            <w:tcW w:w="335" w:type="pct"/>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hAnsi="宋体"/>
                <w:b/>
                <w:szCs w:val="21"/>
              </w:rPr>
              <w:t>序号</w:t>
            </w:r>
          </w:p>
        </w:tc>
        <w:tc>
          <w:tcPr>
            <w:tcW w:w="579" w:type="pct"/>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hAnsi="宋体"/>
                <w:b/>
                <w:szCs w:val="21"/>
                <w:lang w:val="en-US" w:eastAsia="zh-CN"/>
              </w:rPr>
              <w:t>产品</w:t>
            </w:r>
            <w:r>
              <w:rPr>
                <w:rFonts w:hint="eastAsia" w:ascii="宋体" w:hAnsi="宋体"/>
                <w:b/>
                <w:szCs w:val="21"/>
              </w:rPr>
              <w:t>名称</w:t>
            </w:r>
          </w:p>
        </w:tc>
        <w:tc>
          <w:tcPr>
            <w:tcW w:w="655" w:type="pct"/>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hAnsi="宋体"/>
                <w:b/>
                <w:szCs w:val="21"/>
              </w:rPr>
              <w:t>规格</w:t>
            </w:r>
            <w:r>
              <w:rPr>
                <w:rFonts w:hint="eastAsia" w:ascii="宋体" w:hAnsi="宋体"/>
                <w:b/>
                <w:szCs w:val="21"/>
                <w:lang w:val="en-US" w:eastAsia="zh-CN"/>
              </w:rPr>
              <w:t>及</w:t>
            </w:r>
            <w:r>
              <w:rPr>
                <w:rFonts w:hint="eastAsia" w:ascii="宋体" w:hAnsi="宋体"/>
                <w:b/>
                <w:szCs w:val="21"/>
              </w:rPr>
              <w:t>型号</w:t>
            </w:r>
          </w:p>
        </w:tc>
        <w:tc>
          <w:tcPr>
            <w:tcW w:w="444" w:type="pct"/>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hAnsi="宋体"/>
                <w:b/>
                <w:szCs w:val="21"/>
              </w:rPr>
              <w:t>单位</w:t>
            </w:r>
          </w:p>
        </w:tc>
        <w:tc>
          <w:tcPr>
            <w:tcW w:w="388" w:type="pct"/>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hAnsi="宋体"/>
                <w:b/>
                <w:szCs w:val="21"/>
              </w:rPr>
              <w:t>数量</w:t>
            </w:r>
          </w:p>
        </w:tc>
        <w:tc>
          <w:tcPr>
            <w:tcW w:w="469" w:type="pct"/>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hAnsi="宋体"/>
                <w:b/>
                <w:szCs w:val="21"/>
              </w:rPr>
              <w:t>押金/间/元</w:t>
            </w:r>
          </w:p>
        </w:tc>
        <w:tc>
          <w:tcPr>
            <w:tcW w:w="364" w:type="pct"/>
            <w:tcBorders>
              <w:right w:val="single" w:color="auto" w:sz="4" w:space="0"/>
            </w:tcBorders>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hAnsi="宋体"/>
                <w:b/>
                <w:szCs w:val="21"/>
              </w:rPr>
              <w:t>总押金/元</w:t>
            </w:r>
          </w:p>
        </w:tc>
        <w:tc>
          <w:tcPr>
            <w:tcW w:w="485" w:type="pct"/>
            <w:tcBorders>
              <w:left w:val="single" w:color="auto" w:sz="4" w:space="0"/>
            </w:tcBorders>
            <w:vAlign w:val="center"/>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b/>
                <w:szCs w:val="21"/>
              </w:rPr>
              <w:t>租金/间/天/元</w:t>
            </w:r>
          </w:p>
        </w:tc>
        <w:tc>
          <w:tcPr>
            <w:tcW w:w="582" w:type="pct"/>
            <w:tcBorders>
              <w:left w:val="single" w:color="auto" w:sz="4" w:space="0"/>
            </w:tcBorders>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ascii="宋体"/>
                <w:b/>
                <w:szCs w:val="21"/>
              </w:rPr>
            </w:pPr>
            <w:r>
              <w:rPr>
                <w:rFonts w:hint="eastAsia" w:ascii="宋体"/>
                <w:b/>
                <w:szCs w:val="21"/>
              </w:rPr>
              <w:t>总租金/元/500天</w:t>
            </w:r>
          </w:p>
        </w:tc>
        <w:tc>
          <w:tcPr>
            <w:tcW w:w="404" w:type="pct"/>
            <w:tcBorders>
              <w:left w:val="single" w:color="auto" w:sz="4" w:space="0"/>
            </w:tcBorders>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hint="eastAsia" w:ascii="宋体"/>
                <w:b/>
                <w:szCs w:val="21"/>
              </w:rPr>
            </w:pPr>
            <w:r>
              <w:rPr>
                <w:rFonts w:hint="eastAsia" w:ascii="宋体"/>
                <w:b/>
                <w:szCs w:val="21"/>
              </w:rPr>
              <w:t>开票税率</w:t>
            </w:r>
          </w:p>
        </w:tc>
        <w:tc>
          <w:tcPr>
            <w:tcW w:w="291" w:type="pct"/>
            <w:tcBorders>
              <w:left w:val="single" w:color="auto" w:sz="4" w:space="0"/>
            </w:tcBorders>
          </w:tcPr>
          <w:p>
            <w:pPr>
              <w:keepNext w:val="0"/>
              <w:keepLines w:val="0"/>
              <w:pageBreakBefore w:val="0"/>
              <w:widowControl w:val="0"/>
              <w:tabs>
                <w:tab w:val="left" w:pos="525"/>
              </w:tabs>
              <w:kinsoku/>
              <w:wordWrap/>
              <w:overflowPunct/>
              <w:topLinePunct w:val="0"/>
              <w:autoSpaceDE/>
              <w:autoSpaceDN/>
              <w:bidi w:val="0"/>
              <w:adjustRightInd/>
              <w:snapToGrid/>
              <w:spacing w:line="300" w:lineRule="exact"/>
              <w:jc w:val="left"/>
              <w:textAlignment w:val="auto"/>
              <w:rPr>
                <w:rFonts w:hint="eastAsia" w:ascii="宋体" w:eastAsia="宋体"/>
                <w:b/>
                <w:szCs w:val="21"/>
                <w:lang w:val="en-US" w:eastAsia="zh-CN"/>
              </w:rPr>
            </w:pPr>
            <w:r>
              <w:rPr>
                <w:rFonts w:hint="eastAsia" w:ascii="宋体"/>
                <w:b/>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 w:hRule="atLeast"/>
        </w:trPr>
        <w:tc>
          <w:tcPr>
            <w:tcW w:w="335"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r>
              <w:rPr>
                <w:rFonts w:hint="eastAsia" w:ascii="宋体" w:cs="宋体"/>
                <w:szCs w:val="21"/>
              </w:rPr>
              <w:t>1</w:t>
            </w:r>
          </w:p>
        </w:tc>
        <w:tc>
          <w:tcPr>
            <w:tcW w:w="579"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655"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444" w:type="pct"/>
            <w:tcBorders>
              <w:top w:val="single" w:color="auto" w:sz="4" w:space="0"/>
              <w:bottom w:val="single" w:color="auto" w:sz="4" w:space="0"/>
            </w:tcBorders>
            <w:vAlign w:val="center"/>
          </w:tcPr>
          <w:p>
            <w:pPr>
              <w:jc w:val="center"/>
            </w:pPr>
          </w:p>
        </w:tc>
        <w:tc>
          <w:tcPr>
            <w:tcW w:w="388"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469"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364" w:type="pct"/>
            <w:tcBorders>
              <w:top w:val="single" w:color="auto" w:sz="4" w:space="0"/>
              <w:bottom w:val="single" w:color="auto" w:sz="4" w:space="0"/>
              <w:right w:val="single" w:color="auto" w:sz="4" w:space="0"/>
            </w:tcBorders>
            <w:vAlign w:val="center"/>
          </w:tcPr>
          <w:p>
            <w:pPr>
              <w:widowControl/>
              <w:spacing w:line="440" w:lineRule="exact"/>
              <w:jc w:val="center"/>
              <w:textAlignment w:val="center"/>
              <w:rPr>
                <w:rFonts w:ascii="宋体" w:cs="宋体"/>
                <w:szCs w:val="21"/>
              </w:rPr>
            </w:pPr>
          </w:p>
        </w:tc>
        <w:tc>
          <w:tcPr>
            <w:tcW w:w="485" w:type="pct"/>
            <w:tcBorders>
              <w:top w:val="single" w:color="auto" w:sz="4" w:space="0"/>
              <w:left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582" w:type="pct"/>
            <w:tcBorders>
              <w:top w:val="single" w:color="auto" w:sz="4" w:space="0"/>
              <w:left w:val="single" w:color="auto" w:sz="4" w:space="0"/>
              <w:bottom w:val="single" w:color="auto" w:sz="4" w:space="0"/>
            </w:tcBorders>
          </w:tcPr>
          <w:p>
            <w:pPr>
              <w:widowControl/>
              <w:spacing w:line="440" w:lineRule="exact"/>
              <w:jc w:val="center"/>
              <w:textAlignment w:val="center"/>
              <w:rPr>
                <w:rFonts w:ascii="宋体" w:cs="宋体"/>
                <w:szCs w:val="21"/>
              </w:rPr>
            </w:pPr>
          </w:p>
        </w:tc>
        <w:tc>
          <w:tcPr>
            <w:tcW w:w="404" w:type="pct"/>
            <w:tcBorders>
              <w:top w:val="single" w:color="auto" w:sz="4" w:space="0"/>
              <w:left w:val="single" w:color="auto" w:sz="4" w:space="0"/>
              <w:bottom w:val="single" w:color="auto" w:sz="4" w:space="0"/>
            </w:tcBorders>
          </w:tcPr>
          <w:p>
            <w:pPr>
              <w:widowControl/>
              <w:spacing w:line="440" w:lineRule="exact"/>
              <w:jc w:val="center"/>
              <w:textAlignment w:val="center"/>
              <w:rPr>
                <w:rFonts w:ascii="宋体" w:cs="宋体"/>
                <w:szCs w:val="21"/>
              </w:rPr>
            </w:pPr>
          </w:p>
        </w:tc>
        <w:tc>
          <w:tcPr>
            <w:tcW w:w="291" w:type="pct"/>
            <w:tcBorders>
              <w:top w:val="single" w:color="auto" w:sz="4" w:space="0"/>
              <w:left w:val="single" w:color="auto" w:sz="4" w:space="0"/>
              <w:bottom w:val="single" w:color="auto" w:sz="4" w:space="0"/>
            </w:tcBorders>
          </w:tcPr>
          <w:p>
            <w:pPr>
              <w:widowControl/>
              <w:spacing w:line="440" w:lineRule="exact"/>
              <w:jc w:val="center"/>
              <w:textAlignment w:val="center"/>
              <w:rPr>
                <w:rFonts w:asci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 w:hRule="atLeast"/>
        </w:trPr>
        <w:tc>
          <w:tcPr>
            <w:tcW w:w="335" w:type="pct"/>
            <w:tcBorders>
              <w:top w:val="single" w:color="auto" w:sz="4" w:space="0"/>
              <w:bottom w:val="single" w:color="auto" w:sz="4" w:space="0"/>
            </w:tcBorders>
            <w:vAlign w:val="center"/>
          </w:tcPr>
          <w:p>
            <w:pPr>
              <w:widowControl/>
              <w:spacing w:line="440" w:lineRule="exact"/>
              <w:jc w:val="center"/>
              <w:textAlignment w:val="center"/>
              <w:rPr>
                <w:rFonts w:hint="eastAsia" w:ascii="宋体" w:eastAsia="宋体" w:cs="宋体"/>
                <w:szCs w:val="21"/>
                <w:lang w:eastAsia="zh-CN"/>
              </w:rPr>
            </w:pPr>
            <w:r>
              <w:rPr>
                <w:rFonts w:hint="eastAsia" w:ascii="宋体" w:cs="宋体"/>
                <w:szCs w:val="21"/>
                <w:lang w:val="en-US" w:eastAsia="zh-CN"/>
              </w:rPr>
              <w:t>2</w:t>
            </w:r>
          </w:p>
        </w:tc>
        <w:tc>
          <w:tcPr>
            <w:tcW w:w="579"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655"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444" w:type="pct"/>
            <w:tcBorders>
              <w:top w:val="single" w:color="auto" w:sz="4" w:space="0"/>
              <w:bottom w:val="single" w:color="auto" w:sz="4" w:space="0"/>
            </w:tcBorders>
            <w:vAlign w:val="center"/>
          </w:tcPr>
          <w:p>
            <w:pPr>
              <w:jc w:val="center"/>
            </w:pPr>
          </w:p>
        </w:tc>
        <w:tc>
          <w:tcPr>
            <w:tcW w:w="388"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469" w:type="pct"/>
            <w:tcBorders>
              <w:top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364" w:type="pct"/>
            <w:tcBorders>
              <w:top w:val="single" w:color="auto" w:sz="4" w:space="0"/>
              <w:bottom w:val="single" w:color="auto" w:sz="4" w:space="0"/>
              <w:right w:val="single" w:color="auto" w:sz="4" w:space="0"/>
            </w:tcBorders>
            <w:vAlign w:val="center"/>
          </w:tcPr>
          <w:p>
            <w:pPr>
              <w:widowControl/>
              <w:spacing w:line="440" w:lineRule="exact"/>
              <w:jc w:val="center"/>
              <w:textAlignment w:val="center"/>
              <w:rPr>
                <w:rFonts w:ascii="宋体" w:cs="宋体"/>
                <w:szCs w:val="21"/>
              </w:rPr>
            </w:pPr>
          </w:p>
        </w:tc>
        <w:tc>
          <w:tcPr>
            <w:tcW w:w="485" w:type="pct"/>
            <w:tcBorders>
              <w:top w:val="single" w:color="auto" w:sz="4" w:space="0"/>
              <w:left w:val="single" w:color="auto" w:sz="4" w:space="0"/>
              <w:bottom w:val="single" w:color="auto" w:sz="4" w:space="0"/>
            </w:tcBorders>
            <w:vAlign w:val="center"/>
          </w:tcPr>
          <w:p>
            <w:pPr>
              <w:widowControl/>
              <w:spacing w:line="440" w:lineRule="exact"/>
              <w:jc w:val="center"/>
              <w:textAlignment w:val="center"/>
              <w:rPr>
                <w:rFonts w:ascii="宋体" w:cs="宋体"/>
                <w:szCs w:val="21"/>
              </w:rPr>
            </w:pPr>
          </w:p>
        </w:tc>
        <w:tc>
          <w:tcPr>
            <w:tcW w:w="582" w:type="pct"/>
            <w:tcBorders>
              <w:top w:val="single" w:color="auto" w:sz="4" w:space="0"/>
              <w:left w:val="single" w:color="auto" w:sz="4" w:space="0"/>
              <w:bottom w:val="single" w:color="auto" w:sz="4" w:space="0"/>
            </w:tcBorders>
          </w:tcPr>
          <w:p>
            <w:pPr>
              <w:widowControl/>
              <w:spacing w:line="440" w:lineRule="exact"/>
              <w:jc w:val="center"/>
              <w:textAlignment w:val="center"/>
              <w:rPr>
                <w:rFonts w:ascii="宋体" w:cs="宋体"/>
                <w:szCs w:val="21"/>
              </w:rPr>
            </w:pPr>
          </w:p>
        </w:tc>
        <w:tc>
          <w:tcPr>
            <w:tcW w:w="404" w:type="pct"/>
            <w:tcBorders>
              <w:top w:val="single" w:color="auto" w:sz="4" w:space="0"/>
              <w:left w:val="single" w:color="auto" w:sz="4" w:space="0"/>
              <w:bottom w:val="single" w:color="auto" w:sz="4" w:space="0"/>
            </w:tcBorders>
          </w:tcPr>
          <w:p>
            <w:pPr>
              <w:widowControl/>
              <w:spacing w:line="440" w:lineRule="exact"/>
              <w:jc w:val="center"/>
              <w:textAlignment w:val="center"/>
              <w:rPr>
                <w:rFonts w:ascii="宋体" w:cs="宋体"/>
                <w:szCs w:val="21"/>
              </w:rPr>
            </w:pPr>
          </w:p>
        </w:tc>
        <w:tc>
          <w:tcPr>
            <w:tcW w:w="291" w:type="pct"/>
            <w:tcBorders>
              <w:top w:val="single" w:color="auto" w:sz="4" w:space="0"/>
              <w:left w:val="single" w:color="auto" w:sz="4" w:space="0"/>
              <w:bottom w:val="single" w:color="auto" w:sz="4" w:space="0"/>
            </w:tcBorders>
          </w:tcPr>
          <w:p>
            <w:pPr>
              <w:widowControl/>
              <w:spacing w:line="440" w:lineRule="exact"/>
              <w:jc w:val="center"/>
              <w:textAlignment w:val="center"/>
              <w:rPr>
                <w:rFonts w:asci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11"/>
            <w:vAlign w:val="center"/>
          </w:tcPr>
          <w:p>
            <w:pPr>
              <w:tabs>
                <w:tab w:val="left" w:pos="525"/>
                <w:tab w:val="left" w:pos="9162"/>
              </w:tabs>
              <w:spacing w:line="440" w:lineRule="exact"/>
              <w:jc w:val="left"/>
              <w:rPr>
                <w:rFonts w:hint="eastAsia" w:ascii="宋体" w:hAnsi="宋体"/>
                <w:sz w:val="24"/>
                <w:szCs w:val="24"/>
              </w:rPr>
            </w:pPr>
            <w:r>
              <w:rPr>
                <w:rFonts w:hint="eastAsia" w:ascii="宋体" w:hAnsi="宋体"/>
                <w:sz w:val="24"/>
                <w:szCs w:val="24"/>
              </w:rPr>
              <w:t>共计人民币（押金）：</w:t>
            </w:r>
            <w:r>
              <w:rPr>
                <w:rFonts w:hint="eastAsia" w:ascii="宋体" w:cs="宋体"/>
                <w:b/>
                <w:sz w:val="24"/>
                <w:szCs w:val="24"/>
                <w:u w:val="single"/>
              </w:rPr>
              <w:t xml:space="preserve"> </w:t>
            </w:r>
            <w:r>
              <w:rPr>
                <w:rFonts w:hint="eastAsia" w:ascii="宋体" w:cs="宋体"/>
                <w:b/>
                <w:sz w:val="24"/>
                <w:szCs w:val="24"/>
                <w:u w:val="single"/>
                <w:lang w:val="en-US" w:eastAsia="zh-CN"/>
              </w:rPr>
              <w:t xml:space="preserve">            </w:t>
            </w:r>
            <w:r>
              <w:rPr>
                <w:rFonts w:hint="eastAsia" w:ascii="宋体" w:cs="宋体"/>
                <w:b/>
                <w:sz w:val="24"/>
                <w:szCs w:val="24"/>
                <w:u w:val="single"/>
              </w:rPr>
              <w:t xml:space="preserve"> </w:t>
            </w:r>
            <w:r>
              <w:rPr>
                <w:rFonts w:hint="eastAsia" w:ascii="宋体" w:hAnsi="宋体"/>
                <w:b/>
                <w:sz w:val="24"/>
                <w:szCs w:val="24"/>
                <w:u w:val="single"/>
              </w:rPr>
              <w:t>元</w:t>
            </w:r>
            <w:r>
              <w:rPr>
                <w:rFonts w:hint="eastAsia" w:ascii="宋体" w:hAnsi="宋体"/>
                <w:sz w:val="24"/>
                <w:szCs w:val="24"/>
              </w:rPr>
              <w:t>， ￥：</w:t>
            </w:r>
            <w:r>
              <w:rPr>
                <w:rFonts w:hint="eastAsia" w:ascii="宋体" w:cs="宋体"/>
                <w:b/>
                <w:sz w:val="24"/>
                <w:szCs w:val="24"/>
                <w:u w:val="single"/>
              </w:rPr>
              <w:t xml:space="preserve"> </w:t>
            </w:r>
            <w:r>
              <w:rPr>
                <w:rFonts w:hint="eastAsia" w:ascii="宋体" w:cs="宋体"/>
                <w:b/>
                <w:sz w:val="24"/>
                <w:szCs w:val="24"/>
                <w:u w:val="single"/>
                <w:lang w:val="en-US" w:eastAsia="zh-CN"/>
              </w:rPr>
              <w:t xml:space="preserve">   </w:t>
            </w:r>
            <w:r>
              <w:rPr>
                <w:rFonts w:hint="eastAsia" w:ascii="宋体" w:hAnsi="宋体"/>
                <w:b/>
                <w:sz w:val="24"/>
                <w:szCs w:val="24"/>
                <w:u w:val="single"/>
              </w:rPr>
              <w:t>元</w:t>
            </w:r>
            <w:r>
              <w:rPr>
                <w:rFonts w:hint="eastAsia" w:ascii="宋体" w:hAnsi="宋体"/>
                <w:sz w:val="24"/>
                <w:szCs w:val="24"/>
              </w:rPr>
              <w:t>，税率：</w:t>
            </w:r>
            <w:r>
              <w:rPr>
                <w:rFonts w:hint="eastAsia" w:ascii="宋体" w:hAnsi="宋体"/>
                <w:sz w:val="24"/>
                <w:szCs w:val="24"/>
                <w:lang w:val="en-US" w:eastAsia="zh-CN"/>
              </w:rPr>
              <w:t xml:space="preserve">  </w:t>
            </w:r>
            <w:r>
              <w:rPr>
                <w:rFonts w:hint="eastAsia" w:ascii="宋体" w:hAnsi="宋体"/>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11"/>
            <w:vAlign w:val="center"/>
          </w:tcPr>
          <w:p>
            <w:pPr>
              <w:tabs>
                <w:tab w:val="left" w:pos="525"/>
                <w:tab w:val="left" w:pos="9162"/>
              </w:tabs>
              <w:spacing w:line="440" w:lineRule="exact"/>
              <w:jc w:val="left"/>
              <w:rPr>
                <w:rFonts w:hint="eastAsia" w:ascii="宋体" w:hAnsi="宋体" w:eastAsia="宋体" w:cs="宋体"/>
                <w:sz w:val="24"/>
                <w:szCs w:val="24"/>
                <w:shd w:val="clear" w:color="auto" w:fill="FFFFFF"/>
                <w:lang w:eastAsia="zh-CN"/>
              </w:rPr>
            </w:pPr>
            <w:r>
              <w:rPr>
                <w:rFonts w:hint="eastAsia" w:ascii="宋体" w:hAnsi="宋体" w:cs="宋体"/>
                <w:sz w:val="24"/>
                <w:szCs w:val="24"/>
                <w:shd w:val="clear" w:color="auto" w:fill="FFFFFF"/>
              </w:rPr>
              <w:t>本合同为租赁合同，以退场时结算金额为准，开</w:t>
            </w:r>
            <w:r>
              <w:rPr>
                <w:rFonts w:hint="eastAsia" w:ascii="宋体" w:hAnsi="宋体" w:cs="宋体"/>
                <w:sz w:val="24"/>
                <w:szCs w:val="24"/>
                <w:shd w:val="clear" w:color="auto" w:fill="FFFFFF"/>
                <w:lang w:val="en-US" w:eastAsia="zh-CN"/>
              </w:rPr>
              <w:t xml:space="preserve">  </w:t>
            </w:r>
            <w:r>
              <w:rPr>
                <w:rFonts w:hint="eastAsia" w:ascii="宋体" w:hAnsi="宋体" w:cs="宋体"/>
                <w:sz w:val="24"/>
                <w:szCs w:val="24"/>
                <w:shd w:val="clear" w:color="auto" w:fill="FFFFFF"/>
              </w:rPr>
              <w:t>%的税票</w:t>
            </w:r>
            <w:r>
              <w:rPr>
                <w:rFonts w:hint="eastAsia" w:ascii="宋体" w:hAnsi="宋体" w:cs="宋体"/>
                <w:sz w:val="24"/>
                <w:szCs w:val="24"/>
                <w:shd w:val="clear" w:color="auto" w:fill="FFFFFF"/>
                <w:lang w:eastAsia="zh-CN"/>
              </w:rPr>
              <w:t>。</w:t>
            </w:r>
          </w:p>
        </w:tc>
      </w:tr>
    </w:tbl>
    <w:p>
      <w:pPr>
        <w:pStyle w:val="26"/>
        <w:numPr>
          <w:ilvl w:val="0"/>
          <w:numId w:val="0"/>
        </w:numPr>
        <w:spacing w:line="440" w:lineRule="exact"/>
        <w:ind w:left="422" w:leftChars="0" w:hanging="420" w:firstLineChars="0"/>
        <w:rPr>
          <w:rFonts w:ascii="宋体"/>
          <w:b/>
          <w:bCs/>
          <w:szCs w:val="21"/>
        </w:rPr>
      </w:pPr>
      <w:r>
        <w:rPr>
          <w:rFonts w:ascii="宋体" w:hAnsi="Times New Roman" w:eastAsia="宋体" w:cs="Times New Roman"/>
          <w:b/>
          <w:bCs/>
          <w:kern w:val="2"/>
          <w:sz w:val="21"/>
          <w:szCs w:val="21"/>
          <w:lang w:val="en-US" w:eastAsia="zh-CN" w:bidi="ar-SA"/>
        </w:rPr>
        <w:t>一、</w:t>
      </w:r>
      <w:r>
        <w:rPr>
          <w:rFonts w:hint="eastAsia" w:ascii="宋体" w:hAnsi="宋体"/>
          <w:b/>
          <w:bCs/>
          <w:szCs w:val="21"/>
        </w:rPr>
        <w:t>进场及要求：</w:t>
      </w:r>
    </w:p>
    <w:p>
      <w:pPr>
        <w:pStyle w:val="26"/>
        <w:spacing w:line="440" w:lineRule="exact"/>
        <w:ind w:firstLine="0" w:firstLineChars="0"/>
        <w:rPr>
          <w:rFonts w:hint="eastAsia" w:ascii="宋体" w:hAnsi="宋体" w:eastAsia="宋体" w:cs="Times New Roman"/>
          <w:szCs w:val="21"/>
        </w:rPr>
      </w:pPr>
      <w:r>
        <w:rPr>
          <w:rFonts w:hint="eastAsia" w:ascii="宋体" w:hAnsi="宋体" w:eastAsia="宋体" w:cs="Times New Roman"/>
          <w:szCs w:val="21"/>
          <w:lang w:val="en-US" w:eastAsia="zh-CN"/>
        </w:rPr>
        <w:t>1.</w:t>
      </w:r>
      <w:r>
        <w:rPr>
          <w:rFonts w:hint="eastAsia" w:ascii="宋体" w:hAnsi="宋体" w:eastAsia="宋体" w:cs="Times New Roman"/>
          <w:szCs w:val="21"/>
        </w:rPr>
        <w:t>合同签订后10个工作日内供货完成</w:t>
      </w:r>
    </w:p>
    <w:p>
      <w:pPr>
        <w:pStyle w:val="26"/>
        <w:spacing w:line="440" w:lineRule="exact"/>
        <w:ind w:firstLine="0" w:firstLineChars="0"/>
        <w:rPr>
          <w:rFonts w:hint="default" w:ascii="宋体" w:hAnsi="宋体" w:eastAsia="宋体" w:cs="Times New Roman"/>
          <w:szCs w:val="21"/>
          <w:lang w:val="en-US"/>
        </w:rPr>
      </w:pPr>
      <w:r>
        <w:rPr>
          <w:rFonts w:hint="eastAsia" w:ascii="宋体" w:hAnsi="宋体" w:eastAsia="宋体" w:cs="Times New Roman"/>
          <w:szCs w:val="21"/>
          <w:lang w:val="en-US" w:eastAsia="zh-CN"/>
        </w:rPr>
        <w:t>2.</w:t>
      </w:r>
      <w:r>
        <w:rPr>
          <w:rFonts w:hint="eastAsia" w:ascii="宋体" w:hAnsi="宋体" w:eastAsia="宋体" w:cs="Times New Roman"/>
          <w:szCs w:val="21"/>
        </w:rPr>
        <w:t>乙方集装箱必须按时进场，如未按甲方指定的时间进场，逾期一天乙方赔偿甲方</w:t>
      </w:r>
      <w:r>
        <w:rPr>
          <w:rFonts w:hint="eastAsia" w:ascii="宋体" w:hAnsi="宋体" w:eastAsia="宋体" w:cs="Times New Roman"/>
          <w:szCs w:val="21"/>
          <w:lang w:val="en-US" w:eastAsia="zh-CN"/>
        </w:rPr>
        <w:t>5</w:t>
      </w:r>
      <w:r>
        <w:rPr>
          <w:rFonts w:hint="eastAsia" w:ascii="宋体" w:hAnsi="宋体" w:eastAsia="宋体" w:cs="Times New Roman"/>
          <w:szCs w:val="21"/>
        </w:rPr>
        <w:t>00</w:t>
      </w:r>
      <w:r>
        <w:rPr>
          <w:rFonts w:hint="eastAsia" w:ascii="宋体" w:hAnsi="宋体" w:eastAsia="宋体" w:cs="Times New Roman"/>
          <w:szCs w:val="21"/>
          <w:lang w:val="en-US" w:eastAsia="zh-CN"/>
        </w:rPr>
        <w:t>0元</w:t>
      </w:r>
      <w:r>
        <w:rPr>
          <w:rFonts w:hint="eastAsia" w:ascii="宋体" w:hAnsi="宋体" w:eastAsia="宋体" w:cs="Times New Roman"/>
          <w:szCs w:val="21"/>
        </w:rPr>
        <w:t>损失，逾期7日甲方有权解除合同。</w:t>
      </w:r>
    </w:p>
    <w:p>
      <w:pPr>
        <w:pStyle w:val="26"/>
        <w:spacing w:line="440" w:lineRule="exact"/>
        <w:ind w:firstLine="0" w:firstLineChars="0"/>
        <w:rPr>
          <w:rFonts w:hint="eastAsia"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进场后甲方组织检验，检验通过后开始计费。</w:t>
      </w:r>
    </w:p>
    <w:p>
      <w:pPr>
        <w:pStyle w:val="26"/>
        <w:ind w:firstLine="0" w:firstLineChars="0"/>
        <w:rPr>
          <w:rFonts w:ascii="宋体"/>
          <w:szCs w:val="21"/>
        </w:rPr>
      </w:pPr>
    </w:p>
    <w:p>
      <w:pPr>
        <w:pStyle w:val="26"/>
        <w:numPr>
          <w:ilvl w:val="0"/>
          <w:numId w:val="0"/>
        </w:numPr>
        <w:spacing w:line="440" w:lineRule="exact"/>
        <w:ind w:left="422" w:leftChars="0" w:hanging="420" w:firstLineChars="0"/>
        <w:rPr>
          <w:rFonts w:ascii="宋体"/>
          <w:b/>
          <w:bCs/>
          <w:szCs w:val="21"/>
        </w:rPr>
      </w:pPr>
      <w:r>
        <w:rPr>
          <w:rFonts w:ascii="宋体" w:hAnsi="Times New Roman" w:eastAsia="宋体" w:cs="Times New Roman"/>
          <w:b/>
          <w:bCs/>
          <w:kern w:val="2"/>
          <w:sz w:val="21"/>
          <w:szCs w:val="21"/>
          <w:lang w:val="en-US" w:eastAsia="zh-CN" w:bidi="ar-SA"/>
        </w:rPr>
        <w:t>二、</w:t>
      </w:r>
      <w:r>
        <w:rPr>
          <w:rFonts w:hint="eastAsia" w:ascii="宋体" w:hAnsi="宋体"/>
          <w:b/>
          <w:bCs/>
          <w:szCs w:val="21"/>
        </w:rPr>
        <w:t>支付方式</w:t>
      </w:r>
    </w:p>
    <w:p>
      <w:pPr>
        <w:pStyle w:val="26"/>
        <w:numPr>
          <w:ilvl w:val="0"/>
          <w:numId w:val="0"/>
        </w:numPr>
        <w:spacing w:line="440" w:lineRule="exact"/>
        <w:rPr>
          <w:rFonts w:ascii="宋体" w:hAnsi="宋体"/>
          <w:szCs w:val="21"/>
        </w:rPr>
      </w:pPr>
      <w:r>
        <w:rPr>
          <w:rFonts w:hint="eastAsia" w:ascii="宋体" w:hAnsi="宋体"/>
          <w:szCs w:val="21"/>
          <w:lang w:val="en-US" w:eastAsia="zh-CN"/>
        </w:rPr>
        <w:t>1.</w:t>
      </w:r>
      <w:r>
        <w:rPr>
          <w:rFonts w:hint="eastAsia" w:ascii="宋体" w:hAnsi="宋体"/>
          <w:szCs w:val="21"/>
        </w:rPr>
        <w:t>支付</w:t>
      </w:r>
      <w:r>
        <w:rPr>
          <w:rFonts w:hint="eastAsia" w:ascii="宋体" w:hAnsi="宋体"/>
          <w:szCs w:val="21"/>
          <w:lang w:val="en-US" w:eastAsia="zh-CN"/>
        </w:rPr>
        <w:t>方式</w:t>
      </w:r>
      <w:r>
        <w:rPr>
          <w:rFonts w:hint="eastAsia" w:ascii="宋体" w:hAnsi="宋体"/>
          <w:szCs w:val="21"/>
        </w:rPr>
        <w:t>：合同签订后甲方7日内支付人民币（押金）</w:t>
      </w:r>
      <w:r>
        <w:rPr>
          <w:rFonts w:hint="eastAsia" w:ascii="宋体" w:hAnsi="宋体"/>
          <w:szCs w:val="21"/>
          <w:u w:val="single"/>
          <w:lang w:val="en-US" w:eastAsia="zh-CN"/>
        </w:rPr>
        <w:t xml:space="preserve">       元</w:t>
      </w:r>
      <w:r>
        <w:rPr>
          <w:rFonts w:hint="eastAsia" w:ascii="宋体" w:hAnsi="宋体" w:eastAsia="宋体" w:cs="Times New Roman"/>
          <w:szCs w:val="21"/>
          <w:lang w:val="en-US" w:eastAsia="zh-CN"/>
        </w:rPr>
        <w:t>；</w:t>
      </w:r>
      <w:r>
        <w:rPr>
          <w:rFonts w:hint="eastAsia" w:ascii="宋体" w:hAnsi="宋体"/>
          <w:szCs w:val="21"/>
        </w:rPr>
        <w:t>租赁期结束，</w:t>
      </w:r>
      <w:r>
        <w:rPr>
          <w:rFonts w:hint="eastAsia" w:ascii="宋体" w:hAnsi="宋体"/>
          <w:szCs w:val="21"/>
          <w:lang w:val="en-US" w:eastAsia="zh-CN"/>
        </w:rPr>
        <w:t>根据租赁</w:t>
      </w:r>
      <w:r>
        <w:rPr>
          <w:rFonts w:hint="eastAsia" w:ascii="宋体" w:hAnsi="宋体"/>
          <w:szCs w:val="21"/>
        </w:rPr>
        <w:t>数量与</w:t>
      </w:r>
      <w:r>
        <w:rPr>
          <w:rFonts w:hint="eastAsia" w:ascii="宋体" w:hAnsi="宋体"/>
          <w:szCs w:val="21"/>
          <w:lang w:val="en-US" w:eastAsia="zh-CN"/>
        </w:rPr>
        <w:t>租赁</w:t>
      </w:r>
      <w:r>
        <w:rPr>
          <w:rFonts w:hint="eastAsia" w:ascii="宋体" w:hAnsi="宋体"/>
          <w:szCs w:val="21"/>
        </w:rPr>
        <w:t>时间按实结算，最终以甲方指定人员签字盖章的单据为准。从押金中扣除该笔费用，多退少补。</w:t>
      </w:r>
    </w:p>
    <w:p>
      <w:pPr>
        <w:pStyle w:val="26"/>
        <w:numPr>
          <w:ilvl w:val="0"/>
          <w:numId w:val="0"/>
        </w:numPr>
        <w:spacing w:line="440" w:lineRule="exact"/>
        <w:ind w:left="422" w:leftChars="0" w:hanging="420" w:firstLineChars="0"/>
        <w:rPr>
          <w:rFonts w:ascii="宋体"/>
          <w:b/>
          <w:bCs/>
          <w:szCs w:val="21"/>
        </w:rPr>
      </w:pPr>
      <w:r>
        <w:rPr>
          <w:rFonts w:ascii="宋体" w:hAnsi="Times New Roman" w:eastAsia="宋体" w:cs="Times New Roman"/>
          <w:b/>
          <w:bCs/>
          <w:kern w:val="2"/>
          <w:sz w:val="21"/>
          <w:szCs w:val="21"/>
          <w:lang w:val="en-US" w:eastAsia="zh-CN" w:bidi="ar-SA"/>
        </w:rPr>
        <w:t>三、</w:t>
      </w:r>
      <w:r>
        <w:rPr>
          <w:rFonts w:hint="eastAsia" w:ascii="宋体" w:hAnsi="宋体"/>
          <w:b/>
          <w:bCs/>
          <w:szCs w:val="21"/>
        </w:rPr>
        <w:t>甲乙双方权利和责任</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1.在整个合同期间，乙方自身的人员工伤事故的保险、机具设备和运输工具的财产保险、人身意外伤害险、设备保险等由乙方自行投保。</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乙方应采取一切必要与合理措施，避免自身运输车辆在进入甲方现场或通过现场中对任何公路、桥梁、隧道和涵洞及其他设施的破坏或损坏。如果发生上述情况，乙方应自费修复此类损坏并承担由此引起的索赔、处罚、诉讼和其他费用。</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除合同另有规定外，乙方还应自行、自费取得进入现场（地方公路）和为合同的实施所需通过的任何道路的通行权及其他交通设施的运行权，并交纳相应的费用。这部分费用包含在租赁单价中，甲方不再另行支付。</w:t>
      </w:r>
    </w:p>
    <w:p>
      <w:pPr>
        <w:pStyle w:val="26"/>
        <w:numPr>
          <w:ilvl w:val="0"/>
          <w:numId w:val="0"/>
        </w:numPr>
        <w:spacing w:line="440" w:lineRule="exact"/>
        <w:ind w:left="422" w:leftChars="0" w:hanging="420" w:firstLineChars="0"/>
        <w:rPr>
          <w:rFonts w:ascii="宋体"/>
          <w:b/>
          <w:bCs/>
          <w:szCs w:val="21"/>
        </w:rPr>
      </w:pPr>
      <w:r>
        <w:rPr>
          <w:rFonts w:ascii="宋体" w:hAnsi="Times New Roman" w:eastAsia="宋体" w:cs="Times New Roman"/>
          <w:b/>
          <w:bCs/>
          <w:kern w:val="2"/>
          <w:sz w:val="21"/>
          <w:szCs w:val="21"/>
          <w:lang w:val="en-US" w:eastAsia="zh-CN" w:bidi="ar-SA"/>
        </w:rPr>
        <w:t>四、</w:t>
      </w:r>
      <w:r>
        <w:rPr>
          <w:rFonts w:hint="eastAsia" w:ascii="宋体" w:hAnsi="宋体"/>
          <w:b/>
          <w:bCs/>
          <w:szCs w:val="21"/>
        </w:rPr>
        <w:t>合同变更与合同终止条款</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如遇下述情况出现，甲方有权解除合同：</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1.乙方不能在甲方约定时间内按时供应2次及以上；</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2.乙方提供的集装箱不符合要求；</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3.任何一方如因发生不可抗拒事件而丧失履行合同能力；</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4.经双方协商一致同意解除的；</w:t>
      </w:r>
    </w:p>
    <w:p>
      <w:pPr>
        <w:pStyle w:val="26"/>
        <w:spacing w:line="440" w:lineRule="exact"/>
        <w:ind w:firstLine="0" w:firstLineChars="0"/>
        <w:jc w:val="left"/>
        <w:rPr>
          <w:rFonts w:ascii="宋体"/>
          <w:b/>
          <w:szCs w:val="21"/>
        </w:rPr>
      </w:pPr>
      <w:r>
        <w:rPr>
          <w:rFonts w:hint="eastAsia" w:ascii="宋体" w:hAnsi="宋体"/>
          <w:b/>
          <w:szCs w:val="21"/>
          <w:lang w:val="en-US" w:eastAsia="zh-CN"/>
        </w:rPr>
        <w:t>五</w:t>
      </w:r>
      <w:r>
        <w:rPr>
          <w:rFonts w:hint="eastAsia" w:ascii="宋体" w:hAnsi="宋体"/>
          <w:b/>
          <w:szCs w:val="21"/>
        </w:rPr>
        <w:t>、违约责任条款</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1.在租赁期间租赁物非甲方原因需要维修，乙方应在24小时内解决，否则该租赁物暂停计费。</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2.甲方提前解约需提前3日通知乙方，按照实际使用天数支付费用。</w:t>
      </w:r>
    </w:p>
    <w:p>
      <w:pPr>
        <w:pStyle w:val="26"/>
        <w:spacing w:line="440" w:lineRule="exact"/>
        <w:ind w:left="2" w:firstLine="0" w:firstLineChars="0"/>
        <w:rPr>
          <w:rFonts w:ascii="宋体"/>
          <w:b/>
          <w:bCs/>
          <w:szCs w:val="21"/>
        </w:rPr>
      </w:pPr>
      <w:r>
        <w:rPr>
          <w:rFonts w:hint="eastAsia" w:ascii="宋体" w:hAnsi="宋体"/>
          <w:b/>
          <w:bCs/>
          <w:szCs w:val="21"/>
          <w:lang w:val="en-US" w:eastAsia="zh-CN"/>
        </w:rPr>
        <w:t>六</w:t>
      </w:r>
      <w:r>
        <w:rPr>
          <w:rFonts w:hint="eastAsia" w:ascii="宋体" w:hAnsi="宋体"/>
          <w:b/>
          <w:bCs/>
          <w:szCs w:val="21"/>
        </w:rPr>
        <w:t>、解决合同纠纷的方式条款</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1.本合同的纠纷采取平等、公平、互谅的原则进行协商。</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2.甲乙双方若协商不成，则由甲方所在地法院诉讼解决。</w:t>
      </w:r>
    </w:p>
    <w:p>
      <w:pPr>
        <w:pStyle w:val="26"/>
        <w:spacing w:line="440" w:lineRule="exact"/>
        <w:ind w:left="2" w:firstLine="0" w:firstLineChars="0"/>
        <w:rPr>
          <w:rFonts w:ascii="宋体"/>
          <w:b/>
          <w:bCs/>
          <w:szCs w:val="21"/>
        </w:rPr>
      </w:pPr>
      <w:r>
        <w:rPr>
          <w:rFonts w:hint="eastAsia" w:ascii="宋体" w:hAnsi="宋体"/>
          <w:b/>
          <w:bCs/>
          <w:szCs w:val="21"/>
          <w:lang w:val="en-US" w:eastAsia="zh-CN"/>
        </w:rPr>
        <w:t>七</w:t>
      </w:r>
      <w:r>
        <w:rPr>
          <w:rFonts w:hint="eastAsia" w:ascii="宋体" w:hAnsi="宋体"/>
          <w:b/>
          <w:bCs/>
          <w:szCs w:val="21"/>
        </w:rPr>
        <w:t>、合同效力及附则</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1.租赁期：       年       月        日至       年       月      日（约</w:t>
      </w:r>
      <w:r>
        <w:rPr>
          <w:rFonts w:hint="eastAsia" w:ascii="宋体" w:hAnsi="宋体" w:cs="Times New Roman"/>
          <w:szCs w:val="21"/>
          <w:lang w:val="en-US" w:eastAsia="zh-CN"/>
        </w:rPr>
        <w:t>500</w:t>
      </w:r>
      <w:r>
        <w:rPr>
          <w:rFonts w:hint="eastAsia" w:ascii="宋体" w:hAnsi="宋体" w:eastAsia="宋体" w:cs="Times New Roman"/>
          <w:szCs w:val="21"/>
          <w:lang w:val="en-US" w:eastAsia="zh-CN"/>
        </w:rPr>
        <w:t>日，以实际租赁天数为准）</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2.本合同一式肆份，甲方持贰份，乙方持贰份；</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3.本合同经双方法定代表人或授权代理人签名并加盖公章或合同章后生效，同时，双方在履行完合同的责任和义务自动失效。</w:t>
      </w:r>
    </w:p>
    <w:p>
      <w:pPr>
        <w:pStyle w:val="26"/>
        <w:spacing w:line="440" w:lineRule="exact"/>
        <w:ind w:firstLine="0" w:firstLineChars="0"/>
        <w:rPr>
          <w:rFonts w:hint="eastAsia" w:ascii="宋体" w:hAnsi="宋体" w:eastAsia="宋体" w:cs="Times New Roman"/>
          <w:szCs w:val="21"/>
          <w:lang w:val="en-US" w:eastAsia="zh-CN"/>
        </w:rPr>
      </w:pP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甲方：                    乙方：                        </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地址：                    地址：         </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法定代表人：              法定代表人：        </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电话：                    电话：</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开户银行：                开户银行：                  签订地点：</w:t>
      </w:r>
    </w:p>
    <w:p>
      <w:pPr>
        <w:pStyle w:val="26"/>
        <w:spacing w:line="440" w:lineRule="exact"/>
        <w:ind w:firstLine="0" w:firstLineChars="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账号：                    账号：                      签订时间：</w:t>
      </w:r>
    </w:p>
    <w:p>
      <w:pPr>
        <w:pStyle w:val="20"/>
        <w:rPr>
          <w:rFonts w:hint="eastAsia"/>
        </w:rPr>
      </w:pPr>
    </w:p>
    <w:p>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4"/>
        <w:spacing w:line="300" w:lineRule="auto"/>
        <w:ind w:firstLine="545" w:firstLineChars="156"/>
        <w:jc w:val="center"/>
        <w:rPr>
          <w:rFonts w:hint="eastAsia" w:ascii="仿宋" w:hAnsi="仿宋" w:eastAsia="仿宋" w:cs="仿宋"/>
          <w:b/>
          <w:bCs/>
          <w:color w:val="auto"/>
          <w:spacing w:val="24"/>
          <w:sz w:val="30"/>
          <w:highlight w:val="none"/>
        </w:rPr>
      </w:pPr>
    </w:p>
    <w:p>
      <w:pPr>
        <w:pStyle w:val="4"/>
        <w:spacing w:line="300" w:lineRule="auto"/>
        <w:ind w:firstLine="545" w:firstLineChars="156"/>
        <w:jc w:val="center"/>
        <w:rPr>
          <w:rFonts w:hint="eastAsia" w:ascii="仿宋" w:hAnsi="仿宋" w:eastAsia="仿宋" w:cs="仿宋"/>
          <w:b/>
          <w:bCs/>
          <w:color w:val="auto"/>
          <w:spacing w:val="24"/>
          <w:sz w:val="30"/>
          <w:highlight w:val="none"/>
        </w:rPr>
      </w:pPr>
    </w:p>
    <w:p>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Plotter">
    <w:altName w:val="Verdana"/>
    <w:panose1 w:val="00000000000000000000"/>
    <w:charset w:val="00"/>
    <w:family w:val="moder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020211C"/>
    <w:rsid w:val="05C171EE"/>
    <w:rsid w:val="0AFA743A"/>
    <w:rsid w:val="0B1D2650"/>
    <w:rsid w:val="0CD872BC"/>
    <w:rsid w:val="0D5F0D7F"/>
    <w:rsid w:val="0FD21262"/>
    <w:rsid w:val="12146BB0"/>
    <w:rsid w:val="12C81DAF"/>
    <w:rsid w:val="12F027EE"/>
    <w:rsid w:val="16777BD5"/>
    <w:rsid w:val="181565E3"/>
    <w:rsid w:val="19B02921"/>
    <w:rsid w:val="1A4C7ADD"/>
    <w:rsid w:val="1BBB11A0"/>
    <w:rsid w:val="201721F5"/>
    <w:rsid w:val="20D46011"/>
    <w:rsid w:val="21C51012"/>
    <w:rsid w:val="25AF3D08"/>
    <w:rsid w:val="2680629F"/>
    <w:rsid w:val="29BC2C9E"/>
    <w:rsid w:val="2AA94975"/>
    <w:rsid w:val="2D0C791F"/>
    <w:rsid w:val="2F7470EF"/>
    <w:rsid w:val="325C28A5"/>
    <w:rsid w:val="32FE6C00"/>
    <w:rsid w:val="33AB0665"/>
    <w:rsid w:val="37F64873"/>
    <w:rsid w:val="38B31DD5"/>
    <w:rsid w:val="394652DB"/>
    <w:rsid w:val="395850A3"/>
    <w:rsid w:val="3A5F7192"/>
    <w:rsid w:val="3B3D578C"/>
    <w:rsid w:val="3B4B379A"/>
    <w:rsid w:val="3DEA4B22"/>
    <w:rsid w:val="4167053C"/>
    <w:rsid w:val="46324066"/>
    <w:rsid w:val="47827D74"/>
    <w:rsid w:val="49D37593"/>
    <w:rsid w:val="50FD2BDF"/>
    <w:rsid w:val="53FC29DA"/>
    <w:rsid w:val="55522C02"/>
    <w:rsid w:val="5B9C5C71"/>
    <w:rsid w:val="5BFD48F3"/>
    <w:rsid w:val="5DE875D8"/>
    <w:rsid w:val="605814C3"/>
    <w:rsid w:val="61470465"/>
    <w:rsid w:val="67EA22B6"/>
    <w:rsid w:val="6D4062D5"/>
    <w:rsid w:val="6E3C0EBD"/>
    <w:rsid w:val="71767646"/>
    <w:rsid w:val="74952F46"/>
    <w:rsid w:val="75025701"/>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rFonts w:ascii="宋体" w:hAnsi="宋体"/>
      <w:b/>
      <w:sz w:val="28"/>
    </w:rPr>
  </w:style>
  <w:style w:type="paragraph" w:styleId="3">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rPr>
      <w:szCs w:val="22"/>
    </w:rPr>
  </w:style>
  <w:style w:type="paragraph" w:styleId="5">
    <w:name w:val="Body Text"/>
    <w:basedOn w:val="1"/>
    <w:next w:val="6"/>
    <w:autoRedefine/>
    <w:qFormat/>
    <w:uiPriority w:val="0"/>
    <w:pPr>
      <w:spacing w:line="0" w:lineRule="atLeast"/>
    </w:pPr>
    <w:rPr>
      <w:sz w:val="30"/>
      <w:szCs w:val="20"/>
    </w:rPr>
  </w:style>
  <w:style w:type="paragraph" w:styleId="6">
    <w:name w:val="toc 8"/>
    <w:basedOn w:val="1"/>
    <w:next w:val="1"/>
    <w:autoRedefine/>
    <w:qFormat/>
    <w:uiPriority w:val="0"/>
    <w:pPr>
      <w:ind w:left="1400" w:leftChars="1400"/>
    </w:pPr>
    <w:rPr>
      <w:rFonts w:ascii="Calibri" w:hAnsi="Calibri"/>
      <w:szCs w:val="22"/>
    </w:rPr>
  </w:style>
  <w:style w:type="paragraph" w:styleId="7">
    <w:name w:val="Plain Text"/>
    <w:basedOn w:val="1"/>
    <w:next w:val="8"/>
    <w:autoRedefine/>
    <w:qFormat/>
    <w:uiPriority w:val="0"/>
    <w:pPr>
      <w:spacing w:beforeLines="50" w:afterLines="50" w:line="400" w:lineRule="exact"/>
    </w:pPr>
    <w:rPr>
      <w:rFonts w:ascii="宋体" w:hAnsi="Courier New"/>
      <w:sz w:val="24"/>
    </w:rPr>
  </w:style>
  <w:style w:type="paragraph" w:customStyle="1" w:styleId="8">
    <w:name w:val="密级编号"/>
    <w:basedOn w:val="1"/>
    <w:next w:val="4"/>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autoRedefine/>
    <w:qFormat/>
    <w:uiPriority w:val="0"/>
    <w:pPr>
      <w:ind w:left="420" w:leftChars="200"/>
    </w:p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5"/>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1">
    <w:name w:val="Normal Indent"/>
    <w:basedOn w:val="1"/>
    <w:autoRedefine/>
    <w:qFormat/>
    <w:uiPriority w:val="0"/>
    <w:pPr>
      <w:ind w:firstLine="420"/>
    </w:pPr>
    <w:rPr>
      <w:szCs w:val="20"/>
    </w:rPr>
  </w:style>
  <w:style w:type="paragraph" w:customStyle="1" w:styleId="22">
    <w:name w:val="Plain Text"/>
    <w:basedOn w:val="1"/>
    <w:autoRedefine/>
    <w:qFormat/>
    <w:uiPriority w:val="0"/>
    <w:pPr>
      <w:spacing w:before="156" w:beforeLines="50" w:after="156" w:afterLines="50" w:line="400" w:lineRule="exact"/>
    </w:pPr>
    <w:rPr>
      <w:rFonts w:ascii="宋体" w:hAnsi="Courier New"/>
      <w:sz w:val="24"/>
    </w:rPr>
  </w:style>
  <w:style w:type="character" w:customStyle="1" w:styleId="23">
    <w:name w:val="正文文本_"/>
    <w:basedOn w:val="17"/>
    <w:link w:val="24"/>
    <w:autoRedefine/>
    <w:unhideWhenUsed/>
    <w:qFormat/>
    <w:locked/>
    <w:uiPriority w:val="99"/>
    <w:rPr>
      <w:rFonts w:ascii="宋体" w:cs="宋体"/>
      <w:kern w:val="0"/>
      <w:sz w:val="23"/>
      <w:szCs w:val="23"/>
    </w:rPr>
  </w:style>
  <w:style w:type="paragraph" w:customStyle="1" w:styleId="24">
    <w:name w:val="正文文本1"/>
    <w:basedOn w:val="1"/>
    <w:link w:val="23"/>
    <w:autoRedefine/>
    <w:unhideWhenUsed/>
    <w:qFormat/>
    <w:uiPriority w:val="99"/>
    <w:pPr>
      <w:widowControl/>
      <w:shd w:val="clear" w:color="auto" w:fill="FFFFFF"/>
      <w:spacing w:line="619" w:lineRule="exact"/>
    </w:pPr>
    <w:rPr>
      <w:rFonts w:ascii="宋体" w:cs="宋体"/>
      <w:kern w:val="0"/>
      <w:sz w:val="23"/>
      <w:szCs w:val="23"/>
    </w:rPr>
  </w:style>
  <w:style w:type="paragraph" w:customStyle="1" w:styleId="25">
    <w:name w:val="纯文本1"/>
    <w:basedOn w:val="1"/>
    <w:autoRedefine/>
    <w:qFormat/>
    <w:uiPriority w:val="99"/>
    <w:rPr>
      <w:rFonts w:ascii="宋体" w:hAnsi="Plotter"/>
      <w:szCs w:val="20"/>
    </w:rPr>
  </w:style>
  <w:style w:type="paragraph" w:customStyle="1" w:styleId="26">
    <w:name w:val="列出段落1"/>
    <w:basedOn w:val="1"/>
    <w:autoRedefine/>
    <w:qFormat/>
    <w:uiPriority w:val="34"/>
    <w:pPr>
      <w:ind w:firstLine="420" w:firstLineChars="200"/>
    </w:pPr>
  </w:style>
  <w:style w:type="paragraph" w:customStyle="1" w:styleId="27">
    <w:name w:val="列出段落2"/>
    <w:basedOn w:val="1"/>
    <w:autoRedefine/>
    <w:qFormat/>
    <w:uiPriority w:val="99"/>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991</Words>
  <Characters>1190</Characters>
  <Lines>0</Lines>
  <Paragraphs>0</Paragraphs>
  <TotalTime>19</TotalTime>
  <ScaleCrop>false</ScaleCrop>
  <LinksUpToDate>false</LinksUpToDate>
  <CharactersWithSpaces>1194</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2024-03-19T06:51:06Z</cp:lastPrinted>
  <dcterms:modified xsi:type="dcterms:W3CDTF">2024-03-19T06:58:29Z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84147FF695624B19BC637EF75BEF1BBF_13</vt:lpwstr>
  </property>
</Properties>
</file>