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5" name="图片 5" descr="DOC032024-03202024163532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32024-03202024163532_页面_1"/>
                    <pic:cNvPicPr>
                      <a:picLocks noChangeAspect="1"/>
                    </pic:cNvPicPr>
                  </pic:nvPicPr>
                  <pic:blipFill>
                    <a:blip r:embed="rId9"/>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4" name="图片 4" descr="DOC032024-03202024163532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32024-03202024163532_页面_2"/>
                    <pic:cNvPicPr>
                      <a:picLocks noChangeAspect="1"/>
                    </pic:cNvPicPr>
                  </pic:nvPicPr>
                  <pic:blipFill>
                    <a:blip r:embed="rId10"/>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3" name="图片 3" descr="DOC032024-03202024163532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32024-03202024163532_页面_3"/>
                    <pic:cNvPicPr>
                      <a:picLocks noChangeAspect="1"/>
                    </pic:cNvPicPr>
                  </pic:nvPicPr>
                  <pic:blipFill>
                    <a:blip r:embed="rId11"/>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2" name="图片 2" descr="DOC032024-03202024163532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32024-03202024163532_页面_4"/>
                    <pic:cNvPicPr>
                      <a:picLocks noChangeAspect="1"/>
                    </pic:cNvPicPr>
                  </pic:nvPicPr>
                  <pic:blipFill>
                    <a:blip r:embed="rId12"/>
                    <a:stretch>
                      <a:fillRect/>
                    </a:stretch>
                  </pic:blipFill>
                  <pic:spPr>
                    <a:xfrm>
                      <a:off x="0" y="0"/>
                      <a:ext cx="5755005" cy="8164830"/>
                    </a:xfrm>
                    <a:prstGeom prst="rect">
                      <a:avLst/>
                    </a:prstGeom>
                  </pic:spPr>
                </pic:pic>
              </a:graphicData>
            </a:graphic>
          </wp:inline>
        </w:drawing>
      </w:r>
    </w:p>
    <w:p>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br w:type="page"/>
      </w:r>
    </w:p>
    <w:p>
      <w:pPr>
        <w:jc w:val="center"/>
        <w:rPr>
          <w:rFonts w:hint="eastAsia" w:ascii="仿宋" w:hAnsi="仿宋" w:eastAsia="仿宋" w:cs="Times New Roman"/>
          <w:b/>
          <w:bCs w:val="0"/>
          <w:color w:val="auto"/>
          <w:sz w:val="44"/>
          <w:szCs w:val="44"/>
          <w:highlight w:val="none"/>
          <w:u w:val="none"/>
          <w:lang w:val="en-US" w:eastAsia="zh-CN"/>
        </w:rPr>
      </w:pPr>
      <w:bookmarkStart w:id="45" w:name="_GoBack"/>
      <w:bookmarkEnd w:id="45"/>
      <w:r>
        <w:rPr>
          <w:rFonts w:hint="eastAsia" w:ascii="仿宋" w:hAnsi="仿宋" w:eastAsia="仿宋" w:cs="Times New Roman"/>
          <w:b/>
          <w:bCs w:val="0"/>
          <w:color w:val="auto"/>
          <w:sz w:val="44"/>
          <w:szCs w:val="44"/>
          <w:highlight w:val="none"/>
          <w:u w:val="single"/>
          <w:lang w:val="en-US" w:eastAsia="zh-CN"/>
        </w:rPr>
        <w:t>砂石料</w:t>
      </w:r>
      <w:r>
        <w:rPr>
          <w:rFonts w:hint="eastAsia" w:ascii="仿宋" w:hAnsi="仿宋" w:eastAsia="仿宋" w:cs="Times New Roman"/>
          <w:b/>
          <w:bCs w:val="0"/>
          <w:color w:val="auto"/>
          <w:sz w:val="44"/>
          <w:szCs w:val="44"/>
          <w:highlight w:val="none"/>
          <w:u w:val="none"/>
          <w:lang w:val="en-US" w:eastAsia="zh-CN"/>
        </w:rPr>
        <w:t>采购询价公告</w:t>
      </w:r>
    </w:p>
    <w:p>
      <w:pPr>
        <w:pStyle w:val="2"/>
        <w:rPr>
          <w:rFonts w:hint="eastAsia"/>
          <w:lang w:val="en-US" w:eastAsia="zh-CN"/>
        </w:rPr>
      </w:pPr>
    </w:p>
    <w:p>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砂石料</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none"/>
          <w:lang w:val="en-US" w:eastAsia="zh-CN"/>
        </w:rPr>
        <w:t>南浔直播电商产业基地</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 xml:space="preserve">CTCJ-202403013 </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sz w:val="28"/>
          <w:szCs w:val="28"/>
          <w:highlight w:val="none"/>
          <w:u w:val="single"/>
          <w:lang w:val="en-US" w:eastAsia="zh-CN"/>
        </w:rPr>
        <w:t>砂石料</w:t>
      </w:r>
      <w:r>
        <w:rPr>
          <w:rFonts w:hint="eastAsia" w:ascii="仿宋" w:hAnsi="仿宋" w:eastAsia="仿宋" w:cs="Arial"/>
          <w:b w:val="0"/>
          <w:bCs/>
          <w:color w:val="auto"/>
          <w:sz w:val="28"/>
          <w:szCs w:val="28"/>
          <w:highlight w:val="none"/>
          <w:u w:val="single"/>
          <w:lang w:val="en-US" w:eastAsia="zh-CN"/>
        </w:rPr>
        <w:t>等，具体</w:t>
      </w:r>
      <w:r>
        <w:rPr>
          <w:rFonts w:hint="eastAsia" w:ascii="仿宋" w:hAnsi="仿宋" w:eastAsia="仿宋" w:cs="Arial"/>
          <w:color w:val="auto"/>
          <w:kern w:val="0"/>
          <w:sz w:val="28"/>
          <w:szCs w:val="28"/>
          <w:highlight w:val="none"/>
          <w:u w:val="single"/>
          <w:lang w:val="en-US" w:eastAsia="zh-CN" w:bidi="ar-SA"/>
        </w:rPr>
        <w:t>请下载附件《材料报价表》进行查看，清单数量为本次采购范围内其中某一个项目的预估数量，具体供货数量以采购人下单为准，以供应商最终的中标单价按实结算。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20万元</w:t>
      </w:r>
    </w:p>
    <w:p>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确定供应商后即签订合同，接到采购人供货通知（下单）后</w:t>
            </w:r>
            <w:r>
              <w:rPr>
                <w:rFonts w:hint="eastAsia" w:ascii="仿宋" w:hAnsi="仿宋" w:eastAsia="仿宋" w:cs="仿宋"/>
                <w:color w:val="auto"/>
                <w:sz w:val="28"/>
                <w:szCs w:val="28"/>
                <w:highlight w:val="none"/>
                <w:u w:val="single"/>
                <w:lang w:val="en-US" w:eastAsia="zh-CN"/>
              </w:rPr>
              <w:t>2</w:t>
            </w:r>
            <w:r>
              <w:rPr>
                <w:rFonts w:hint="eastAsia" w:ascii="仿宋" w:hAnsi="仿宋" w:eastAsia="仿宋" w:cs="仿宋"/>
                <w:color w:val="auto"/>
                <w:sz w:val="28"/>
                <w:szCs w:val="28"/>
                <w:highlight w:val="none"/>
                <w:lang w:val="en-US" w:eastAsia="zh-CN"/>
              </w:rPr>
              <w:t>个工作日内完成供货（以采购人下单通知到货时间为准进行计算）。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月结供货总数金额的100%（当月月初-当月月底供货，次月10日完成对账，次月15日付款，例如：1月1日-1月31日供货，2月15日付款），月供货总数以实际发生量（即乙方开具的经过甲方签收的送货单的数量和金额）。</w:t>
            </w:r>
          </w:p>
          <w:p>
            <w:pPr>
              <w:pStyle w:val="2"/>
              <w:rPr>
                <w:rFonts w:hint="eastAsia"/>
                <w:lang w:val="en-US" w:eastAsia="zh-CN"/>
              </w:rPr>
            </w:pPr>
            <w:r>
              <w:rPr>
                <w:rFonts w:hint="eastAsia" w:ascii="仿宋" w:hAnsi="仿宋" w:eastAsia="仿宋" w:cs="仿宋"/>
                <w:color w:val="auto"/>
                <w:kern w:val="2"/>
                <w:sz w:val="28"/>
                <w:szCs w:val="28"/>
                <w:highlight w:val="none"/>
                <w:lang w:val="en-US" w:eastAsia="zh-CN" w:bidi="ar-SA"/>
              </w:rPr>
              <w:t>供应商收款前须提供支付金额准确的13%增值税专用发票，否则采购人有权不予支付。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single"/>
                <w:lang w:val="en-US" w:eastAsia="zh-CN"/>
              </w:rPr>
              <w:t>根据中标单价按实结算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w:t>
            </w:r>
          </w:p>
        </w:tc>
      </w:tr>
    </w:tbl>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3</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25</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11时0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17858361744。</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Word</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shd w:val="clear" w:color="auto" w:fill="FFFFFF"/>
        <w:spacing w:before="0" w:beforeAutospacing="0" w:after="0" w:afterAutospacing="0" w:line="400" w:lineRule="exact"/>
        <w:ind w:firstLine="560" w:firstLineChars="200"/>
        <w:jc w:val="both"/>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1、供应商应知悉运输及送货时效性要求，具体数量和款式以</w:t>
      </w:r>
      <w:r>
        <w:rPr>
          <w:rFonts w:hint="eastAsia" w:ascii="仿宋" w:hAnsi="仿宋" w:eastAsia="仿宋" w:cs="Arial"/>
          <w:color w:val="auto"/>
          <w:sz w:val="28"/>
          <w:szCs w:val="28"/>
          <w:highlight w:val="none"/>
          <w:lang w:val="en-US" w:eastAsia="zh-CN"/>
        </w:rPr>
        <w:t>采购人下单</w:t>
      </w:r>
      <w:r>
        <w:rPr>
          <w:rFonts w:hint="eastAsia" w:ascii="仿宋" w:hAnsi="仿宋" w:eastAsia="仿宋" w:cs="Arial"/>
          <w:color w:val="auto"/>
          <w:sz w:val="28"/>
          <w:szCs w:val="28"/>
          <w:highlight w:val="none"/>
        </w:rPr>
        <w:t>为准；</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ascii="仿宋" w:hAnsi="仿宋" w:eastAsia="仿宋" w:cs="Arial"/>
          <w:color w:val="auto"/>
          <w:sz w:val="28"/>
          <w:szCs w:val="28"/>
          <w:highlight w:val="none"/>
        </w:rPr>
        <w:t>2</w:t>
      </w:r>
      <w:r>
        <w:rPr>
          <w:rFonts w:hint="eastAsia" w:ascii="仿宋" w:hAnsi="仿宋" w:eastAsia="仿宋" w:cs="Arial"/>
          <w:color w:val="auto"/>
          <w:sz w:val="28"/>
          <w:szCs w:val="28"/>
          <w:highlight w:val="none"/>
        </w:rPr>
        <w:t>、本次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eastAsia="zh-CN"/>
        </w:rPr>
        <w:t>3、采购人确定供应商后，供应商提供材料不达标，或无法履约采购文件材料供应商职责的，采购人有权单方面解除合同，同时根据项目实际情况有权直接指定本次采购次低价供应商作为中标人。 </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3月20日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6861901"/>
      <w:bookmarkStart w:id="30" w:name="_Toc173572834"/>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3"/>
        <w:jc w:val="center"/>
        <w:rPr>
          <w:rFonts w:hint="eastAsia" w:ascii="仿宋" w:hAnsi="仿宋" w:eastAsia="仿宋" w:cs="仿宋"/>
          <w:color w:val="auto"/>
          <w:kern w:val="0"/>
          <w:sz w:val="44"/>
          <w:szCs w:val="20"/>
          <w:highlight w:val="none"/>
        </w:rPr>
      </w:pPr>
      <w:bookmarkStart w:id="41" w:name="_Toc53233054"/>
      <w:bookmarkStart w:id="42" w:name="_Toc360527291"/>
      <w:bookmarkStart w:id="43" w:name="_Toc53233055"/>
      <w:bookmarkStart w:id="44" w:name="_Toc173558759"/>
    </w:p>
    <w:p>
      <w:pPr>
        <w:pStyle w:val="3"/>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p>
      <w:pPr>
        <w:pStyle w:val="3"/>
        <w:jc w:val="center"/>
        <w:rPr>
          <w:rFonts w:hint="eastAsia" w:ascii="仿宋" w:hAnsi="仿宋" w:eastAsia="仿宋" w:cs="仿宋"/>
          <w:color w:val="auto"/>
          <w:kern w:val="0"/>
          <w:sz w:val="44"/>
          <w:szCs w:val="20"/>
          <w:highlight w:val="none"/>
        </w:rPr>
      </w:pPr>
    </w:p>
    <w:p>
      <w:pPr>
        <w:rPr>
          <w:rFonts w:hint="eastAsia" w:ascii="仿宋" w:hAnsi="仿宋" w:eastAsia="仿宋" w:cs="仿宋"/>
          <w:color w:val="auto"/>
          <w:kern w:val="0"/>
          <w:sz w:val="44"/>
          <w:szCs w:val="20"/>
          <w:highlight w:val="none"/>
        </w:rPr>
      </w:pPr>
    </w:p>
    <w:p>
      <w:pPr>
        <w:pStyle w:val="2"/>
        <w:rPr>
          <w:rFonts w:hint="eastAsia"/>
          <w:color w:val="auto"/>
          <w:highlight w:val="none"/>
        </w:rPr>
      </w:pPr>
    </w:p>
    <w:p>
      <w:pPr>
        <w:pStyle w:val="3"/>
        <w:jc w:val="center"/>
        <w:rPr>
          <w:rFonts w:hint="eastAsia" w:ascii="仿宋" w:hAnsi="仿宋" w:eastAsia="仿宋" w:cs="仿宋"/>
          <w:color w:val="auto"/>
          <w:kern w:val="0"/>
          <w:sz w:val="44"/>
          <w:szCs w:val="20"/>
          <w:highlight w:val="none"/>
        </w:rPr>
      </w:pPr>
    </w:p>
    <w:p>
      <w:pPr>
        <w:pStyle w:val="3"/>
        <w:jc w:val="center"/>
        <w:rPr>
          <w:rFonts w:hint="eastAsia" w:ascii="仿宋" w:hAnsi="仿宋" w:eastAsia="仿宋" w:cs="仿宋"/>
          <w:color w:val="auto"/>
          <w:kern w:val="0"/>
          <w:sz w:val="44"/>
          <w:szCs w:val="20"/>
          <w:highlight w:val="none"/>
        </w:rPr>
      </w:pPr>
    </w:p>
    <w:p>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pPr>
        <w:pStyle w:val="3"/>
        <w:jc w:val="both"/>
        <w:rPr>
          <w:rFonts w:hint="eastAsia" w:ascii="仿宋" w:hAnsi="仿宋" w:eastAsia="仿宋" w:cs="仿宋"/>
          <w:color w:val="auto"/>
          <w:kern w:val="0"/>
          <w:sz w:val="44"/>
          <w:szCs w:val="20"/>
          <w:highlight w:val="none"/>
        </w:rPr>
      </w:pPr>
    </w:p>
    <w:bookmarkEnd w:id="41"/>
    <w:p>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pPr>
        <w:pStyle w:val="2"/>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双方就建设材料购买事项协商一致，同意按以下条款签订本合同。</w:t>
      </w:r>
    </w:p>
    <w:p>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bl>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乙方根据甲方的采购需求进行供货，常规货品在甲方书面下单后15个自然日内送达。（以采购人下单通知到货时间为准进行计算）。</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质保期满后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
        <w:rPr>
          <w:rFonts w:hint="eastAsia" w:ascii="仿宋" w:hAnsi="仿宋" w:eastAsia="仿宋" w:cs="仿宋"/>
          <w:b/>
          <w:bCs/>
          <w:color w:val="auto"/>
          <w:spacing w:val="24"/>
          <w:sz w:val="30"/>
          <w:highlight w:val="none"/>
        </w:rPr>
      </w:pPr>
    </w:p>
    <w:p>
      <w:pPr>
        <w:pStyle w:val="2"/>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31E020B"/>
    <w:rsid w:val="05254055"/>
    <w:rsid w:val="05C171EE"/>
    <w:rsid w:val="0AFA743A"/>
    <w:rsid w:val="0FD21262"/>
    <w:rsid w:val="112D5D5D"/>
    <w:rsid w:val="12146BB0"/>
    <w:rsid w:val="12C81DAF"/>
    <w:rsid w:val="16777BD5"/>
    <w:rsid w:val="181565E3"/>
    <w:rsid w:val="1A4C7ADD"/>
    <w:rsid w:val="1BBB11A0"/>
    <w:rsid w:val="20D46011"/>
    <w:rsid w:val="21C51012"/>
    <w:rsid w:val="24A53812"/>
    <w:rsid w:val="25AF3D08"/>
    <w:rsid w:val="2AA94975"/>
    <w:rsid w:val="2D0C791F"/>
    <w:rsid w:val="2F7470EF"/>
    <w:rsid w:val="325C28A5"/>
    <w:rsid w:val="32FE6C00"/>
    <w:rsid w:val="33AB0665"/>
    <w:rsid w:val="37F64873"/>
    <w:rsid w:val="38B31DD5"/>
    <w:rsid w:val="400F3C72"/>
    <w:rsid w:val="46324066"/>
    <w:rsid w:val="47827D74"/>
    <w:rsid w:val="49D37593"/>
    <w:rsid w:val="50FD2BDF"/>
    <w:rsid w:val="52AB699C"/>
    <w:rsid w:val="55522C02"/>
    <w:rsid w:val="5BFD48F3"/>
    <w:rsid w:val="5D594705"/>
    <w:rsid w:val="62F77813"/>
    <w:rsid w:val="633B047E"/>
    <w:rsid w:val="640F07F1"/>
    <w:rsid w:val="6D4062D5"/>
    <w:rsid w:val="6E3C0EBD"/>
    <w:rsid w:val="6EEC35AF"/>
    <w:rsid w:val="71767646"/>
    <w:rsid w:val="72E93A73"/>
    <w:rsid w:val="79D00D7E"/>
    <w:rsid w:val="7A9B3740"/>
    <w:rsid w:val="7AAC47B1"/>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Normal Indent"/>
    <w:basedOn w:val="1"/>
    <w:autoRedefine/>
    <w:qFormat/>
    <w:uiPriority w:val="0"/>
    <w:pPr>
      <w:ind w:firstLine="420"/>
    </w:pPr>
    <w:rPr>
      <w:szCs w:val="20"/>
    </w:rPr>
  </w:style>
  <w:style w:type="paragraph" w:customStyle="1" w:styleId="21">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991</Words>
  <Characters>1190</Characters>
  <Lines>0</Lines>
  <Paragraphs>0</Paragraphs>
  <TotalTime>7</TotalTime>
  <ScaleCrop>false</ScaleCrop>
  <LinksUpToDate>false</LinksUpToDate>
  <CharactersWithSpaces>1194</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小兑</cp:lastModifiedBy>
  <cp:lastPrinted>2023-11-13T06:58:00Z</cp:lastPrinted>
  <dcterms:modified xsi:type="dcterms:W3CDTF">2024-03-20T08:41:24Z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F531837E12C145A2A536213C313BDBCF_13</vt:lpwstr>
  </property>
</Properties>
</file>