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Times New Roman"/>
          <w:b/>
          <w:bCs w:val="0"/>
          <w:color w:val="auto"/>
          <w:sz w:val="44"/>
          <w:szCs w:val="44"/>
          <w:highlight w:val="none"/>
          <w:u w:val="single"/>
          <w:lang w:val="en-US" w:eastAsia="zh-CN"/>
        </w:rPr>
      </w:pPr>
      <w:bookmarkStart w:id="46" w:name="_GoBack"/>
      <w:bookmarkEnd w:id="46"/>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6" name="图片 6" descr="DOC052324-0523202409041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52324-05232024090411_页面_1"/>
                    <pic:cNvPicPr>
                      <a:picLocks noChangeAspect="1"/>
                    </pic:cNvPicPr>
                  </pic:nvPicPr>
                  <pic:blipFill>
                    <a:blip r:embed="rId9"/>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5" name="图片 5" descr="DOC052324-0523202409041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52324-05232024090411_页面_2"/>
                    <pic:cNvPicPr>
                      <a:picLocks noChangeAspect="1"/>
                    </pic:cNvPicPr>
                  </pic:nvPicPr>
                  <pic:blipFill>
                    <a:blip r:embed="rId10"/>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4" name="图片 4" descr="DOC052324-0523202409041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52324-05232024090411_页面_3"/>
                    <pic:cNvPicPr>
                      <a:picLocks noChangeAspect="1"/>
                    </pic:cNvPicPr>
                  </pic:nvPicPr>
                  <pic:blipFill>
                    <a:blip r:embed="rId11"/>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3" name="图片 3" descr="DOC052324-0523202409041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52324-05232024090411_页面_4"/>
                    <pic:cNvPicPr>
                      <a:picLocks noChangeAspect="1"/>
                    </pic:cNvPicPr>
                  </pic:nvPicPr>
                  <pic:blipFill>
                    <a:blip r:embed="rId12"/>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2" name="图片 2" descr="DOC052324-0523202409041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52324-05232024090411_页面_5"/>
                    <pic:cNvPicPr>
                      <a:picLocks noChangeAspect="1"/>
                    </pic:cNvPicPr>
                  </pic:nvPicPr>
                  <pic:blipFill>
                    <a:blip r:embed="rId13"/>
                    <a:stretch>
                      <a:fillRect/>
                    </a:stretch>
                  </pic:blipFill>
                  <pic:spPr>
                    <a:xfrm>
                      <a:off x="0" y="0"/>
                      <a:ext cx="5756910" cy="8152765"/>
                    </a:xfrm>
                    <a:prstGeom prst="rect">
                      <a:avLst/>
                    </a:prstGeom>
                  </pic:spPr>
                </pic:pic>
              </a:graphicData>
            </a:graphic>
          </wp:inline>
        </w:drawing>
      </w:r>
    </w:p>
    <w:p>
      <w:pPr>
        <w:pStyle w:val="2"/>
        <w:rPr>
          <w:rFonts w:hint="eastAsia"/>
          <w:lang w:val="en-US" w:eastAsia="zh-CN"/>
        </w:rPr>
      </w:pP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single"/>
          <w:lang w:val="en-US" w:eastAsia="zh-CN"/>
        </w:rPr>
      </w:pPr>
    </w:p>
    <w:p>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水生植物</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textAlignment w:val="auto"/>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水生植物、污水治理</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南浔生态宜居--金象湖、草荡漾及周边河道 (清水入城先行段) 生态修复采购项目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jc w:val="center"/>
        <w:textAlignment w:val="auto"/>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CTCJ-202405005 清水入城水生植物采购项目</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kern w:val="0"/>
          <w:sz w:val="28"/>
          <w:szCs w:val="28"/>
          <w:highlight w:val="none"/>
          <w:u w:val="single"/>
          <w:lang w:val="en-US" w:eastAsia="zh-CN" w:bidi="ar-SA"/>
        </w:rPr>
        <w:t>矮生苦草、刺苦草、马来眼子菜、微齿眼子菜、轮叶黑藻、内源污染治理、底泥原位覆盖</w:t>
      </w:r>
      <w:r>
        <w:rPr>
          <w:rFonts w:hint="eastAsia" w:ascii="仿宋" w:hAnsi="仿宋" w:eastAsia="仿宋" w:cs="Arial"/>
          <w:color w:val="auto"/>
          <w:sz w:val="28"/>
          <w:szCs w:val="28"/>
          <w:highlight w:val="none"/>
          <w:u w:val="single"/>
          <w:lang w:val="en-US" w:eastAsia="zh-CN"/>
        </w:rPr>
        <w:t>等</w:t>
      </w:r>
      <w:r>
        <w:rPr>
          <w:rFonts w:hint="eastAsia" w:ascii="仿宋" w:hAnsi="仿宋" w:eastAsia="仿宋" w:cs="Arial"/>
          <w:b w:val="0"/>
          <w:bCs/>
          <w:color w:val="auto"/>
          <w:sz w:val="28"/>
          <w:szCs w:val="28"/>
          <w:highlight w:val="none"/>
          <w:u w:val="single"/>
          <w:lang w:val="en-US" w:eastAsia="zh-CN"/>
        </w:rPr>
        <w:t>，具体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具体供货数量以采购人下单为准，以供应商最终的中标单价按实结算。</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 574万元</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textAlignment w:val="auto"/>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i w:val="0"/>
                <w:iCs w:val="0"/>
                <w:caps w:val="0"/>
                <w:color w:val="000000"/>
                <w:spacing w:val="0"/>
                <w:sz w:val="28"/>
                <w:szCs w:val="28"/>
              </w:rPr>
              <w:t>接到采购人供货通知（下单）后30个</w:t>
            </w:r>
            <w:r>
              <w:rPr>
                <w:rFonts w:hint="eastAsia" w:ascii="仿宋" w:hAnsi="仿宋" w:eastAsia="仿宋" w:cs="仿宋"/>
                <w:i w:val="0"/>
                <w:iCs w:val="0"/>
                <w:caps w:val="0"/>
                <w:color w:val="000000"/>
                <w:spacing w:val="0"/>
                <w:sz w:val="28"/>
                <w:szCs w:val="28"/>
                <w:lang w:val="en-US" w:eastAsia="zh-CN"/>
              </w:rPr>
              <w:t>日历天</w:t>
            </w:r>
            <w:r>
              <w:rPr>
                <w:rFonts w:hint="eastAsia" w:ascii="仿宋" w:hAnsi="仿宋" w:eastAsia="仿宋" w:cs="仿宋"/>
                <w:i w:val="0"/>
                <w:iCs w:val="0"/>
                <w:caps w:val="0"/>
                <w:color w:val="000000"/>
                <w:spacing w:val="0"/>
                <w:sz w:val="28"/>
                <w:szCs w:val="28"/>
              </w:rPr>
              <w:t>内完成供货种植(以采购人下单通知到货时间为准进行计算)。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人民币10万元，在采购人确定供应商后合同签订前由中标人以现金形式打入采购人账户</w:t>
            </w:r>
          </w:p>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账户名称：湖州南浔城投城市建设集团有限公司</w:t>
            </w:r>
          </w:p>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账    号：366258342239</w:t>
            </w:r>
          </w:p>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开户银行：中国银行股份有限公司南浔区支行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000000"/>
                <w:spacing w:val="0"/>
                <w:sz w:val="28"/>
                <w:szCs w:val="28"/>
              </w:rPr>
              <w:t>合同签订后支付暂估合同价的20%，水生植物到场并完成污染治理后整体竣工验收合格后支付暂估合同价的60%，经审计结算后支付至结算总金额的95%，剩余5%待质保期2年满后付清。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i w:val="0"/>
                <w:iCs w:val="0"/>
                <w:caps w:val="0"/>
                <w:color w:val="000000"/>
                <w:spacing w:val="0"/>
                <w:sz w:val="28"/>
                <w:szCs w:val="28"/>
                <w:lang w:val="en-US" w:eastAsia="zh-CN"/>
              </w:rPr>
              <w:t>结算</w:t>
            </w:r>
            <w:r>
              <w:rPr>
                <w:rFonts w:hint="eastAsia" w:ascii="仿宋" w:hAnsi="仿宋" w:eastAsia="仿宋" w:cs="仿宋"/>
                <w:i w:val="0"/>
                <w:iCs w:val="0"/>
                <w:caps w:val="0"/>
                <w:color w:val="000000"/>
                <w:spacing w:val="0"/>
                <w:sz w:val="28"/>
                <w:szCs w:val="28"/>
              </w:rPr>
              <w:t>数量以业主委托第三方</w:t>
            </w:r>
            <w:r>
              <w:rPr>
                <w:rFonts w:hint="eastAsia" w:ascii="仿宋" w:hAnsi="仿宋" w:eastAsia="仿宋" w:cs="仿宋"/>
                <w:i w:val="0"/>
                <w:iCs w:val="0"/>
                <w:caps w:val="0"/>
                <w:color w:val="000000"/>
                <w:spacing w:val="0"/>
                <w:sz w:val="28"/>
                <w:szCs w:val="28"/>
                <w:lang w:val="en-US" w:eastAsia="zh-CN"/>
              </w:rPr>
              <w:t>单位</w:t>
            </w:r>
            <w:r>
              <w:rPr>
                <w:rFonts w:hint="eastAsia" w:ascii="仿宋" w:hAnsi="仿宋" w:eastAsia="仿宋" w:cs="仿宋"/>
                <w:i w:val="0"/>
                <w:iCs w:val="0"/>
                <w:caps w:val="0"/>
                <w:color w:val="000000"/>
                <w:spacing w:val="0"/>
                <w:sz w:val="28"/>
                <w:szCs w:val="28"/>
              </w:rPr>
              <w:t>出具的审计报告为准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2年</w:t>
            </w:r>
          </w:p>
        </w:tc>
      </w:tr>
    </w:tbl>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5</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 xml:space="preserve"> 27 </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9时0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0572-3018269、17858361744</w:t>
      </w:r>
      <w:r>
        <w:rPr>
          <w:rFonts w:hint="eastAsia" w:ascii="仿宋" w:hAnsi="仿宋" w:eastAsia="仿宋" w:cs="Arial"/>
          <w:color w:val="auto"/>
          <w:sz w:val="28"/>
          <w:szCs w:val="28"/>
          <w:highlight w:val="none"/>
          <w:u w:val="singl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w:t>
      </w:r>
      <w:r>
        <w:rPr>
          <w:rFonts w:hint="eastAsia" w:ascii="仿宋" w:hAnsi="仿宋" w:eastAsia="仿宋" w:cs="仿宋"/>
          <w:b/>
          <w:bCs/>
          <w:color w:val="auto"/>
          <w:sz w:val="28"/>
          <w:szCs w:val="28"/>
          <w:highlight w:val="none"/>
          <w:lang w:val="en-US" w:eastAsia="zh-CN"/>
        </w:rPr>
        <w:t>（如需增减项的应另附报价清单），否则视为无效报价。</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r>
        <w:rPr>
          <w:rFonts w:hint="eastAsia" w:ascii="仿宋" w:hAnsi="仿宋" w:eastAsia="仿宋" w:cs="Arial"/>
          <w:color w:val="auto"/>
          <w:sz w:val="28"/>
          <w:szCs w:val="28"/>
          <w:highlight w:val="none"/>
          <w:lang w:val="en-US" w:eastAsia="zh-CN"/>
        </w:rPr>
        <w:t xml:space="preserve"> </w:t>
      </w:r>
    </w:p>
    <w:p>
      <w:pPr>
        <w:pStyle w:val="13"/>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                                                   </w:t>
      </w:r>
    </w:p>
    <w:p>
      <w:pPr>
        <w:keepNext w:val="0"/>
        <w:keepLines w:val="0"/>
        <w:pageBreakBefore w:val="0"/>
        <w:widowControl/>
        <w:kinsoku/>
        <w:wordWrap/>
        <w:overflowPunct/>
        <w:topLinePunct w:val="0"/>
        <w:autoSpaceDE/>
        <w:autoSpaceDN/>
        <w:bidi w:val="0"/>
        <w:adjustRightInd w:val="0"/>
        <w:snapToGrid w:val="0"/>
        <w:spacing w:line="5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keepNext w:val="0"/>
        <w:keepLines w:val="0"/>
        <w:pageBreakBefore w:val="0"/>
        <w:kinsoku/>
        <w:overflowPunct/>
        <w:topLinePunct w:val="0"/>
        <w:autoSpaceDE/>
        <w:autoSpaceDN/>
        <w:bidi w:val="0"/>
        <w:spacing w:line="500" w:lineRule="exact"/>
        <w:jc w:val="right"/>
        <w:textAlignment w:val="auto"/>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5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5月 23 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6、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9</w:t>
      </w:r>
      <w:r>
        <w:rPr>
          <w:rFonts w:hint="default" w:ascii="仿宋" w:hAnsi="仿宋" w:eastAsia="仿宋" w:cs="仿宋"/>
          <w:b w:val="0"/>
          <w:bCs/>
          <w:color w:val="auto"/>
          <w:sz w:val="28"/>
          <w:szCs w:val="28"/>
          <w:highlight w:val="none"/>
          <w:lang w:val="en-US"/>
        </w:rPr>
        <w:t>%增值税专用发票）等等，以及为完成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w:t>
      </w:r>
    </w:p>
    <w:p>
      <w:pPr>
        <w:spacing w:line="360" w:lineRule="auto"/>
        <w:outlineLvl w:val="1"/>
        <w:rPr>
          <w:rFonts w:hint="default" w:ascii="仿宋" w:hAnsi="仿宋" w:eastAsia="仿宋" w:cs="仿宋"/>
          <w:b/>
          <w:bCs/>
          <w:color w:val="auto"/>
          <w:kern w:val="2"/>
          <w:sz w:val="28"/>
          <w:szCs w:val="28"/>
          <w:highlight w:val="none"/>
          <w:lang w:val="en-US" w:eastAsia="zh-CN" w:bidi="ar-SA"/>
        </w:rPr>
      </w:pPr>
      <w:bookmarkStart w:id="41" w:name="_Toc11332"/>
      <w:r>
        <w:rPr>
          <w:rFonts w:hint="eastAsia" w:ascii="仿宋" w:hAnsi="仿宋" w:eastAsia="仿宋" w:cs="仿宋"/>
          <w:b/>
          <w:bCs/>
          <w:color w:val="auto"/>
          <w:kern w:val="2"/>
          <w:sz w:val="28"/>
          <w:szCs w:val="28"/>
          <w:highlight w:val="none"/>
          <w:lang w:val="en-US" w:eastAsia="zh-CN" w:bidi="ar-SA"/>
        </w:rPr>
        <w:t>五、采购内容</w:t>
      </w:r>
      <w:bookmarkEnd w:id="41"/>
      <w:r>
        <w:rPr>
          <w:rFonts w:hint="eastAsia" w:ascii="仿宋" w:hAnsi="仿宋" w:eastAsia="仿宋" w:cs="仿宋"/>
          <w:b/>
          <w:bCs/>
          <w:color w:val="auto"/>
          <w:kern w:val="2"/>
          <w:sz w:val="28"/>
          <w:szCs w:val="28"/>
          <w:highlight w:val="none"/>
          <w:lang w:val="en-US" w:eastAsia="zh-CN" w:bidi="ar-SA"/>
        </w:rPr>
        <w:t>及要求</w:t>
      </w:r>
    </w:p>
    <w:p>
      <w:pPr>
        <w:pStyle w:val="12"/>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1、以本采购文件后附的合同、业主单位、采购人的要求为准，直至本项目竣工验收通过。</w:t>
      </w:r>
    </w:p>
    <w:p>
      <w:pPr>
        <w:pStyle w:val="12"/>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2、施工界面：中标人负责将材料运送到甲方指定地点交货。</w:t>
      </w:r>
    </w:p>
    <w:p>
      <w:pPr>
        <w:pStyle w:val="12"/>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六、附件</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1、材料报价表</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2" w:name="_Toc53233054"/>
      <w:bookmarkStart w:id="43" w:name="_Toc53233055"/>
      <w:bookmarkStart w:id="44" w:name="_Toc173558759"/>
      <w:bookmarkStart w:id="45" w:name="_Toc360527291"/>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2"/>
        <w:rPr>
          <w:rFonts w:hint="eastAsia"/>
          <w:lang w:eastAsia="zh-CN"/>
        </w:rPr>
      </w:pPr>
    </w:p>
    <w:p>
      <w:pPr>
        <w:rPr>
          <w:rFonts w:hint="eastAsia"/>
          <w:lang w:eastAsia="zh-CN"/>
        </w:rPr>
      </w:pPr>
    </w:p>
    <w:bookmarkEnd w:id="42"/>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ascii="仿宋" w:hAnsi="仿宋" w:eastAsia="仿宋" w:cs="仿宋"/>
          <w:b/>
          <w:bCs/>
          <w:color w:val="auto"/>
          <w:sz w:val="30"/>
          <w:highlight w:val="none"/>
        </w:rPr>
      </w:pPr>
    </w:p>
    <w:p>
      <w:pPr>
        <w:rPr>
          <w:rFonts w:hint="eastAsia" w:ascii="仿宋" w:hAnsi="仿宋" w:eastAsia="仿宋" w:cs="仿宋"/>
          <w:b/>
          <w:bCs/>
          <w:color w:val="auto"/>
          <w:sz w:val="30"/>
          <w:highlight w:val="none"/>
        </w:rPr>
      </w:pPr>
    </w:p>
    <w:p>
      <w:pPr>
        <w:pStyle w:val="2"/>
        <w:rPr>
          <w:rFonts w:hint="eastAsia"/>
        </w:rPr>
      </w:pPr>
    </w:p>
    <w:p>
      <w:pPr>
        <w:pStyle w:val="2"/>
        <w:rPr>
          <w:rFonts w:hint="eastAsia"/>
        </w:rPr>
      </w:pPr>
    </w:p>
    <w:p>
      <w:pPr>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keepNext w:val="0"/>
        <w:keepLines w:val="0"/>
        <w:pageBreakBefore w:val="0"/>
        <w:kinsoku/>
        <w:wordWrap/>
        <w:overflowPunct/>
        <w:topLinePunct w:val="0"/>
        <w:autoSpaceDE/>
        <w:autoSpaceDN/>
        <w:bidi w:val="0"/>
        <w:adjustRightIn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112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甲方（买</w:t>
      </w:r>
      <w:r>
        <w:rPr>
          <w:rFonts w:hint="eastAsia" w:ascii="仿宋" w:hAnsi="仿宋" w:eastAsia="仿宋" w:cs="仿宋"/>
          <w:color w:val="auto"/>
          <w:sz w:val="28"/>
          <w:szCs w:val="28"/>
          <w:highlight w:val="none"/>
          <w:u w:val="none"/>
          <w:lang w:val="en-US" w:eastAsia="zh-CN"/>
        </w:rPr>
        <w:t>方)：</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beforeLines="0" w:afterLines="0"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乙方（卖方）：</w:t>
      </w:r>
      <w:r>
        <w:rPr>
          <w:rFonts w:hint="eastAsia" w:ascii="仿宋" w:hAnsi="仿宋" w:eastAsia="仿宋" w:cs="仿宋"/>
          <w:color w:val="auto"/>
          <w:sz w:val="28"/>
          <w:szCs w:val="28"/>
          <w:highlight w:val="none"/>
          <w:u w:val="single"/>
        </w:rPr>
        <w:t xml:space="preserve">                              .</w:t>
      </w:r>
    </w:p>
    <w:p>
      <w:pPr>
        <w:pStyle w:val="8"/>
        <w:keepNext w:val="0"/>
        <w:keepLines w:val="0"/>
        <w:pageBreakBefore w:val="0"/>
        <w:numPr>
          <w:ilvl w:val="0"/>
          <w:numId w:val="1"/>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"http://www.chinalawedu.com/falvfagui/" \t "_blank" \o "法律法规"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法律法规</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，遵循平等自愿、公正和诚实信用的原则，双方就建设材料购买事项协商一致，同意按以下条款签订本合同。</w:t>
      </w:r>
    </w:p>
    <w:p>
      <w:pPr>
        <w:pStyle w:val="8"/>
        <w:keepNext w:val="0"/>
        <w:keepLines w:val="0"/>
        <w:pageBreakBefore w:val="0"/>
        <w:numPr>
          <w:ilvl w:val="0"/>
          <w:numId w:val="0"/>
        </w:numPr>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vAlign w:val="center"/>
          </w:tcPr>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tcPr>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vertAlign w:val="baseline"/>
              </w:rPr>
            </w:pPr>
          </w:p>
        </w:tc>
      </w:tr>
    </w:tbl>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合同价：</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w:t>
      </w:r>
      <w:r>
        <w:rPr>
          <w:rFonts w:hint="eastAsia" w:ascii="仿宋" w:hAnsi="仿宋" w:eastAsia="仿宋" w:cs="仿宋"/>
          <w:b w:val="0"/>
          <w:bCs w:val="0"/>
          <w:color w:val="auto"/>
          <w:sz w:val="28"/>
          <w:szCs w:val="28"/>
          <w:highlight w:val="none"/>
          <w:lang w:val="en-US" w:eastAsia="zh-CN"/>
        </w:rPr>
        <w:t>苗木</w:t>
      </w:r>
      <w:r>
        <w:rPr>
          <w:rFonts w:hint="eastAsia" w:ascii="仿宋" w:hAnsi="仿宋" w:eastAsia="仿宋" w:cs="仿宋"/>
          <w:b w:val="0"/>
          <w:bCs w:val="0"/>
          <w:color w:val="auto"/>
          <w:sz w:val="28"/>
          <w:szCs w:val="28"/>
          <w:highlight w:val="none"/>
        </w:rPr>
        <w:t>材料价款、人工费、包装费、运输费、装卸费、损耗费、</w:t>
      </w:r>
      <w:r>
        <w:rPr>
          <w:rFonts w:hint="eastAsia" w:ascii="仿宋" w:hAnsi="仿宋" w:eastAsia="仿宋" w:cs="仿宋"/>
          <w:b w:val="0"/>
          <w:bCs w:val="0"/>
          <w:color w:val="auto"/>
          <w:sz w:val="28"/>
          <w:szCs w:val="28"/>
          <w:highlight w:val="none"/>
          <w:lang w:val="en-US" w:eastAsia="zh-CN"/>
        </w:rPr>
        <w:t>本项目交付前的产品保护、</w:t>
      </w:r>
      <w:r>
        <w:rPr>
          <w:rFonts w:hint="eastAsia" w:ascii="仿宋" w:hAnsi="仿宋" w:eastAsia="仿宋" w:cs="仿宋"/>
          <w:b w:val="0"/>
          <w:bCs w:val="0"/>
          <w:color w:val="auto"/>
          <w:sz w:val="28"/>
          <w:szCs w:val="28"/>
          <w:highlight w:val="none"/>
        </w:rPr>
        <w:t>保险费、利润、税金、</w:t>
      </w:r>
      <w:r>
        <w:rPr>
          <w:rFonts w:hint="eastAsia" w:ascii="仿宋" w:hAnsi="仿宋" w:eastAsia="仿宋" w:cs="仿宋"/>
          <w:b w:val="0"/>
          <w:bCs w:val="0"/>
          <w:color w:val="auto"/>
          <w:sz w:val="28"/>
          <w:szCs w:val="28"/>
          <w:highlight w:val="none"/>
          <w:lang w:val="en-US" w:eastAsia="zh-CN"/>
        </w:rPr>
        <w:t>风险费</w:t>
      </w:r>
      <w:r>
        <w:rPr>
          <w:rFonts w:hint="eastAsia" w:ascii="仿宋" w:hAnsi="仿宋" w:eastAsia="仿宋" w:cs="仿宋"/>
          <w:b w:val="0"/>
          <w:bCs w:val="0"/>
          <w:color w:val="auto"/>
          <w:sz w:val="28"/>
          <w:szCs w:val="28"/>
          <w:highlight w:val="none"/>
        </w:rPr>
        <w:t>以及完成本次采购项目所需的所有费用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直至本项目竣工验收通过</w:t>
      </w:r>
      <w:r>
        <w:rPr>
          <w:rFonts w:hint="eastAsia" w:ascii="仿宋" w:hAnsi="仿宋" w:eastAsia="仿宋" w:cs="仿宋"/>
          <w:b w:val="0"/>
          <w:bCs w:val="0"/>
          <w:color w:val="auto"/>
          <w:sz w:val="28"/>
          <w:szCs w:val="28"/>
          <w:highlight w:val="none"/>
          <w:lang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3.工程资料、结算送审资料等由采购人委托的第三方单位进行编制，第三方单位编制资料所产生的相关费用及部分安全文明施工费用从乙方的结算款中直接扣除(按照甲方与第三方的协议价进行扣除)；</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二、供货时间、地点、方式</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1、供货时间、地方：</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2、材料交货地点和方式：</w:t>
      </w:r>
      <w:r>
        <w:rPr>
          <w:rFonts w:hint="eastAsia" w:ascii="仿宋" w:hAnsi="仿宋" w:eastAsia="仿宋" w:cs="仿宋"/>
          <w:b w:val="0"/>
          <w:bCs w:val="0"/>
          <w:color w:val="auto"/>
          <w:sz w:val="28"/>
          <w:szCs w:val="28"/>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8"/>
          <w:szCs w:val="28"/>
          <w:highlight w:val="none"/>
          <w:lang w:val="en-US" w:eastAsia="zh-CN"/>
        </w:rPr>
        <w:t>。</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3、在乙方将货物运送到指定地点后，乙方应负责材料的保管与维护避免盗窃、损坏及其他情况，如有损失的则由乙方自行承担相应责任。</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、知识产权</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乙方应保证所提供的货物</w:t>
      </w:r>
      <w:r>
        <w:rPr>
          <w:rFonts w:hint="eastAsia" w:ascii="仿宋" w:hAnsi="仿宋" w:eastAsia="仿宋" w:cs="仿宋"/>
          <w:b w:val="0"/>
          <w:bCs w:val="0"/>
          <w:color w:val="auto"/>
          <w:sz w:val="28"/>
          <w:szCs w:val="28"/>
          <w:highlight w:val="none"/>
          <w:lang w:eastAsia="zh-Hans"/>
        </w:rPr>
        <w:t>、服务</w:t>
      </w:r>
      <w:r>
        <w:rPr>
          <w:rFonts w:hint="eastAsia" w:ascii="仿宋" w:hAnsi="仿宋" w:eastAsia="仿宋" w:cs="仿宋"/>
          <w:b w:val="0"/>
          <w:bCs w:val="0"/>
          <w:color w:val="auto"/>
          <w:sz w:val="28"/>
          <w:szCs w:val="28"/>
          <w:highlight w:val="none"/>
        </w:rPr>
        <w:t>或其任何一部分均不会侵犯任何第三方的知识产权等合法权益。</w:t>
      </w:r>
      <w:r>
        <w:rPr>
          <w:rFonts w:hint="eastAsia" w:ascii="仿宋" w:hAnsi="仿宋" w:eastAsia="仿宋" w:cs="仿宋"/>
          <w:b w:val="0"/>
          <w:bCs w:val="0"/>
          <w:color w:val="auto"/>
          <w:sz w:val="28"/>
          <w:szCs w:val="28"/>
          <w:highlight w:val="none"/>
          <w:lang w:eastAsia="zh-Hans"/>
        </w:rPr>
        <w:t>若乙方</w:t>
      </w:r>
      <w:r>
        <w:rPr>
          <w:rFonts w:hint="eastAsia" w:ascii="仿宋" w:hAnsi="仿宋" w:eastAsia="仿宋" w:cs="仿宋"/>
          <w:b w:val="0"/>
          <w:bCs w:val="0"/>
          <w:color w:val="auto"/>
          <w:sz w:val="28"/>
          <w:szCs w:val="28"/>
          <w:highlight w:val="none"/>
        </w:rPr>
        <w:t>提供的货物</w:t>
      </w:r>
      <w:r>
        <w:rPr>
          <w:rFonts w:hint="eastAsia" w:ascii="仿宋" w:hAnsi="仿宋" w:eastAsia="仿宋" w:cs="仿宋"/>
          <w:b w:val="0"/>
          <w:bCs w:val="0"/>
          <w:color w:val="auto"/>
          <w:sz w:val="28"/>
          <w:szCs w:val="28"/>
          <w:highlight w:val="none"/>
          <w:lang w:eastAsia="zh-Hans"/>
        </w:rPr>
        <w:t>存在部分或全部侵犯任何一方知识产权的情形的，属于根本违约，乙方需赔</w:t>
      </w:r>
      <w:r>
        <w:rPr>
          <w:rFonts w:hint="eastAsia" w:ascii="仿宋" w:hAnsi="仿宋" w:eastAsia="仿宋" w:cs="仿宋"/>
          <w:b w:val="0"/>
          <w:bCs w:val="0"/>
          <w:color w:val="auto"/>
          <w:sz w:val="28"/>
          <w:szCs w:val="28"/>
          <w:highlight w:val="none"/>
        </w:rPr>
        <w:t>所涉标的物（价值）的30%作为</w:t>
      </w:r>
      <w:r>
        <w:rPr>
          <w:rFonts w:hint="eastAsia" w:ascii="仿宋" w:hAnsi="仿宋" w:eastAsia="仿宋" w:cs="仿宋"/>
          <w:b w:val="0"/>
          <w:bCs w:val="0"/>
          <w:color w:val="auto"/>
          <w:sz w:val="28"/>
          <w:szCs w:val="28"/>
          <w:highlight w:val="none"/>
          <w:lang w:eastAsia="zh-Hans"/>
        </w:rPr>
        <w:t>违约金。甲方受损失额超过违约金的，乙方还需按实际损失赔偿给甲方。</w:t>
      </w:r>
      <w:r>
        <w:rPr>
          <w:rFonts w:hint="eastAsia" w:ascii="仿宋" w:hAnsi="仿宋" w:eastAsia="仿宋" w:cs="仿宋"/>
          <w:color w:val="auto"/>
          <w:sz w:val="28"/>
          <w:szCs w:val="28"/>
          <w:highlight w:val="none"/>
          <w:lang w:eastAsia="zh-Hans"/>
        </w:rPr>
        <w:t>乙方提供的货物及其任何一部分侵犯任何第三方的知识产权的，所产生的纠纷和赔偿由乙方承担，与甲方无关。</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、产权担保</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8"/>
          <w:szCs w:val="28"/>
          <w:highlight w:val="none"/>
        </w:rPr>
        <w:t>所涉标的物（价值）的10%作为</w:t>
      </w:r>
      <w:r>
        <w:rPr>
          <w:rFonts w:hint="eastAsia" w:ascii="仿宋" w:hAnsi="仿宋" w:eastAsia="仿宋" w:cs="仿宋"/>
          <w:b w:val="0"/>
          <w:bCs w:val="0"/>
          <w:color w:val="auto"/>
          <w:sz w:val="28"/>
          <w:szCs w:val="28"/>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六</w:t>
      </w:r>
      <w:r>
        <w:rPr>
          <w:rFonts w:hint="eastAsia" w:ascii="仿宋" w:hAnsi="仿宋" w:eastAsia="仿宋" w:cs="仿宋"/>
          <w:b w:val="0"/>
          <w:bCs w:val="0"/>
          <w:color w:val="auto"/>
          <w:sz w:val="28"/>
          <w:szCs w:val="28"/>
          <w:highlight w:val="none"/>
        </w:rPr>
        <w:t>、履约保证金</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履约保证金的金额为（大写：</w:t>
      </w:r>
      <w:r>
        <w:rPr>
          <w:rFonts w:hint="eastAsia" w:ascii="仿宋" w:hAnsi="仿宋" w:eastAsia="仿宋" w:cs="仿宋"/>
          <w:b w:val="0"/>
          <w:bCs w:val="0"/>
          <w:color w:val="auto"/>
          <w:sz w:val="28"/>
          <w:szCs w:val="28"/>
          <w:highlight w:val="none"/>
          <w:lang w:val="en-US" w:eastAsia="zh-CN"/>
        </w:rPr>
        <w:t xml:space="preserve">  /</w:t>
      </w:r>
      <w:r>
        <w:rPr>
          <w:rFonts w:hint="eastAsia" w:ascii="仿宋" w:hAnsi="仿宋" w:eastAsia="仿宋" w:cs="仿宋"/>
          <w:b w:val="0"/>
          <w:bCs w:val="0"/>
          <w:color w:val="auto"/>
          <w:sz w:val="28"/>
          <w:szCs w:val="28"/>
          <w:highlight w:val="none"/>
        </w:rPr>
        <w:t>，小写：</w:t>
      </w:r>
      <w:r>
        <w:rPr>
          <w:rFonts w:hint="eastAsia" w:ascii="仿宋" w:hAnsi="仿宋" w:eastAsia="仿宋" w:cs="仿宋"/>
          <w:b w:val="0"/>
          <w:bCs w:val="0"/>
          <w:color w:val="auto"/>
          <w:sz w:val="28"/>
          <w:szCs w:val="28"/>
          <w:highlight w:val="none"/>
          <w:u w:val="single"/>
          <w:lang w:val="en-US" w:eastAsia="zh-CN"/>
        </w:rPr>
        <w:t xml:space="preserve">   /   </w:t>
      </w:r>
      <w:r>
        <w:rPr>
          <w:rFonts w:hint="eastAsia" w:ascii="仿宋" w:hAnsi="仿宋" w:eastAsia="仿宋" w:cs="仿宋"/>
          <w:b w:val="0"/>
          <w:bCs w:val="0"/>
          <w:color w:val="auto"/>
          <w:sz w:val="28"/>
          <w:szCs w:val="28"/>
          <w:highlight w:val="none"/>
        </w:rPr>
        <w:t>元）。履约保证金在</w:t>
      </w:r>
      <w:r>
        <w:rPr>
          <w:rFonts w:hint="eastAsia" w:ascii="仿宋" w:hAnsi="仿宋" w:eastAsia="仿宋" w:cs="仿宋"/>
          <w:b w:val="0"/>
          <w:bCs w:val="0"/>
          <w:color w:val="auto"/>
          <w:sz w:val="28"/>
          <w:szCs w:val="28"/>
          <w:highlight w:val="none"/>
          <w:lang w:val="en-US" w:eastAsia="zh-CN"/>
        </w:rPr>
        <w:t>本项目竣工验收通过并</w:t>
      </w:r>
      <w:r>
        <w:rPr>
          <w:rFonts w:hint="eastAsia" w:ascii="仿宋" w:hAnsi="仿宋" w:eastAsia="仿宋" w:cs="仿宋"/>
          <w:b w:val="0"/>
          <w:bCs w:val="0"/>
          <w:color w:val="auto"/>
          <w:sz w:val="28"/>
          <w:szCs w:val="28"/>
          <w:highlight w:val="none"/>
          <w:lang w:eastAsia="zh-Hans"/>
        </w:rPr>
        <w:t>扣除相应违约金等费用后（如有）</w:t>
      </w:r>
      <w:r>
        <w:rPr>
          <w:rFonts w:hint="eastAsia" w:ascii="仿宋" w:hAnsi="仿宋" w:eastAsia="仿宋" w:cs="仿宋"/>
          <w:b w:val="0"/>
          <w:bCs w:val="0"/>
          <w:color w:val="auto"/>
          <w:sz w:val="28"/>
          <w:szCs w:val="28"/>
          <w:highlight w:val="none"/>
        </w:rPr>
        <w:t>按合同约定退还(无息)。</w:t>
      </w:r>
    </w:p>
    <w:p>
      <w:pPr>
        <w:pStyle w:val="8"/>
        <w:keepNext w:val="0"/>
        <w:keepLines w:val="0"/>
        <w:pageBreakBefore w:val="0"/>
        <w:kinsoku/>
        <w:wordWrap/>
        <w:overflowPunct/>
        <w:topLinePunct w:val="0"/>
        <w:autoSpaceDE/>
        <w:autoSpaceDN/>
        <w:bidi w:val="0"/>
        <w:adjustRightInd/>
        <w:spacing w:beforeLines="0" w:afterLines="0"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七</w:t>
      </w:r>
      <w:r>
        <w:rPr>
          <w:rFonts w:hint="eastAsia" w:ascii="仿宋" w:hAnsi="仿宋" w:eastAsia="仿宋" w:cs="仿宋"/>
          <w:b w:val="0"/>
          <w:bCs w:val="0"/>
          <w:color w:val="auto"/>
          <w:sz w:val="28"/>
          <w:szCs w:val="28"/>
          <w:highlight w:val="none"/>
        </w:rPr>
        <w:t>、转包或分包</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w:t>
      </w:r>
      <w:r>
        <w:rPr>
          <w:rFonts w:hint="eastAsia" w:ascii="仿宋" w:hAnsi="仿宋" w:eastAsia="仿宋" w:cs="仿宋"/>
          <w:b w:val="0"/>
          <w:bCs w:val="0"/>
          <w:color w:val="auto"/>
          <w:sz w:val="28"/>
          <w:szCs w:val="28"/>
          <w:highlight w:val="none"/>
          <w:lang w:val="en-US" w:eastAsia="zh-CN"/>
        </w:rPr>
        <w:t>并</w:t>
      </w:r>
      <w:r>
        <w:rPr>
          <w:rFonts w:hint="eastAsia" w:ascii="仿宋" w:hAnsi="仿宋" w:eastAsia="仿宋" w:cs="仿宋"/>
          <w:b w:val="0"/>
          <w:bCs w:val="0"/>
          <w:color w:val="auto"/>
          <w:sz w:val="28"/>
          <w:szCs w:val="28"/>
          <w:highlight w:val="none"/>
        </w:rPr>
        <w:t>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八</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付款及结算方式</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合同价为</w:t>
      </w:r>
      <w:r>
        <w:rPr>
          <w:rFonts w:hint="eastAsia" w:ascii="仿宋" w:hAnsi="仿宋" w:eastAsia="仿宋" w:cs="仿宋"/>
          <w:b w:val="0"/>
          <w:bCs w:val="0"/>
          <w:color w:val="auto"/>
          <w:sz w:val="28"/>
          <w:szCs w:val="28"/>
          <w:highlight w:val="none"/>
        </w:rPr>
        <w:t>履行合同的最终价格，包含包括材料（含运输费、装卸费、运输保险费）、</w:t>
      </w:r>
      <w:r>
        <w:rPr>
          <w:rFonts w:hint="eastAsia" w:ascii="仿宋" w:hAnsi="仿宋" w:eastAsia="仿宋" w:cs="仿宋"/>
          <w:b w:val="0"/>
          <w:bCs w:val="0"/>
          <w:color w:val="auto"/>
          <w:sz w:val="28"/>
          <w:szCs w:val="28"/>
          <w:highlight w:val="none"/>
          <w:lang w:val="en-US" w:eastAsia="zh-CN"/>
        </w:rPr>
        <w:t>安装调试及试运行、</w:t>
      </w:r>
      <w:r>
        <w:rPr>
          <w:rFonts w:hint="eastAsia" w:ascii="仿宋" w:hAnsi="仿宋" w:eastAsia="仿宋" w:cs="仿宋"/>
          <w:b w:val="0"/>
          <w:bCs w:val="0"/>
          <w:color w:val="auto"/>
          <w:sz w:val="28"/>
          <w:szCs w:val="28"/>
          <w:highlight w:val="none"/>
        </w:rPr>
        <w:t>税金等各项</w:t>
      </w:r>
      <w:r>
        <w:rPr>
          <w:rFonts w:hint="eastAsia" w:ascii="仿宋" w:hAnsi="仿宋" w:eastAsia="仿宋" w:cs="仿宋"/>
          <w:b w:val="0"/>
          <w:bCs w:val="0"/>
          <w:color w:val="auto"/>
          <w:sz w:val="28"/>
          <w:szCs w:val="28"/>
          <w:highlight w:val="none"/>
          <w:lang w:val="en-US" w:eastAsia="zh-CN"/>
        </w:rPr>
        <w:t>直至竣工验收通过</w:t>
      </w:r>
      <w:r>
        <w:rPr>
          <w:rFonts w:hint="eastAsia" w:ascii="仿宋" w:hAnsi="仿宋" w:eastAsia="仿宋" w:cs="仿宋"/>
          <w:b w:val="0"/>
          <w:bCs w:val="0"/>
          <w:color w:val="auto"/>
          <w:sz w:val="28"/>
          <w:szCs w:val="28"/>
          <w:highlight w:val="none"/>
        </w:rPr>
        <w:t>的一切费用。</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2、甲方每次付款前，乙方需提供合法有效、等额、税率为13%的增值税专用发票，否则，甲方有权顺延付款时间，且乙方不得以此为由拒绝或延迟履行本合同项下义务。</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4、付款方式为： </w:t>
      </w:r>
      <w:r>
        <w:rPr>
          <w:rFonts w:hint="eastAsia" w:ascii="仿宋" w:hAnsi="仿宋" w:eastAsia="仿宋" w:cs="仿宋"/>
          <w:b w:val="0"/>
          <w:bCs w:val="0"/>
          <w:color w:val="auto"/>
          <w:sz w:val="28"/>
          <w:szCs w:val="28"/>
          <w:highlight w:val="none"/>
          <w:u w:val="single"/>
          <w:lang w:val="en-US" w:eastAsia="zh-CN"/>
        </w:rPr>
        <w:t>合同签订后支付暂估合同价的20%，水生植物到场并完成污染治理后整体竣工验收合格后支付暂估合同价的60%，经审计结算后支付至结算总金额的95%，剩余5%待质保期2年满后付清。</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九</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合同期限</w:t>
      </w:r>
    </w:p>
    <w:p>
      <w:pPr>
        <w:keepNext w:val="0"/>
        <w:keepLines w:val="0"/>
        <w:pageBreakBefore w:val="0"/>
        <w:kinsoku/>
        <w:wordWrap/>
        <w:overflowPunct/>
        <w:topLinePunct w:val="0"/>
        <w:autoSpaceDE/>
        <w:autoSpaceDN/>
        <w:bidi w:val="0"/>
        <w:adjustRightInd/>
        <w:spacing w:line="500" w:lineRule="exact"/>
        <w:ind w:left="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w:t>
      </w:r>
      <w:r>
        <w:rPr>
          <w:rFonts w:hint="eastAsia" w:ascii="仿宋" w:hAnsi="仿宋" w:eastAsia="仿宋" w:cs="仿宋"/>
          <w:b w:val="0"/>
          <w:bCs w:val="0"/>
          <w:color w:val="auto"/>
          <w:sz w:val="28"/>
          <w:szCs w:val="28"/>
          <w:highlight w:val="none"/>
        </w:rPr>
        <w:t>、税费</w:t>
      </w:r>
    </w:p>
    <w:p>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、售后服务及承诺</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1．乙方应明确承诺售后服务各项内容和措施，提供详细的服务地点、联系人、电话等有关资料；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2．在售后服务期内，因货物的维修和保养所发生的一切费用均由乙方承担；售后服务期满后只收取维修的配件成本费。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3.乙方在收到甲方维修通知后必须</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2</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rPr>
        <w:t>小时之内及时进行现场响应。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4.售后服务期与售后服务期承诺时间相同。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1．甲方从乙方选购备件，但前提条件是该选择并不能免除乙方在合同保证期内所承担的义务；</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3．在备件停产后，如果甲方要求，乙方应免费向甲方提供备件的蓝图等相关技术资料。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二</w:t>
      </w:r>
      <w:r>
        <w:rPr>
          <w:rFonts w:hint="eastAsia" w:ascii="仿宋" w:hAnsi="仿宋" w:eastAsia="仿宋" w:cs="仿宋"/>
          <w:b w:val="0"/>
          <w:bCs w:val="0"/>
          <w:color w:val="auto"/>
          <w:sz w:val="28"/>
          <w:szCs w:val="28"/>
          <w:highlight w:val="none"/>
        </w:rPr>
        <w:t>、技术质量保证</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1．乙方应保证提供的货物完全符合规定的质量、规格和性能的要求。乙方应保证货物经过正常使用和保养条件下，在其使用寿命内应具有满意的性能。</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2．合同货物提交前，乙方应将其有关技术资料一套，如使用指南或服务手册和示意图提交给甲方；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3．售后服务期以项目到货并经招标人组织验收合格起计算；</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4．乙方对提供的货物执行一定的保质期限，乙方应对保质期内由于货物的缺陷（非人为因素）而引发的任何不足负责，费用由乙方承担；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5．甲方应尽快以书面形式通知乙方由于货物缺陷而发生的索赔；</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6．乙方在收到通知后3天内应免费更换有缺陷的材料；</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7．如果乙方在收到通知后3天内没有弥补缺陷，甲方可采取必要的补救措施，但风险和费用将由乙方负责。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三</w:t>
      </w:r>
      <w:r>
        <w:rPr>
          <w:rFonts w:hint="eastAsia" w:ascii="仿宋" w:hAnsi="仿宋" w:eastAsia="仿宋" w:cs="仿宋"/>
          <w:b w:val="0"/>
          <w:bCs w:val="0"/>
          <w:color w:val="auto"/>
          <w:sz w:val="28"/>
          <w:szCs w:val="28"/>
          <w:highlight w:val="none"/>
        </w:rPr>
        <w:t>、验收</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四</w:t>
      </w:r>
      <w:r>
        <w:rPr>
          <w:rFonts w:hint="eastAsia" w:ascii="仿宋" w:hAnsi="仿宋" w:eastAsia="仿宋" w:cs="仿宋"/>
          <w:b w:val="0"/>
          <w:bCs w:val="0"/>
          <w:color w:val="auto"/>
          <w:sz w:val="28"/>
          <w:szCs w:val="28"/>
          <w:highlight w:val="none"/>
        </w:rPr>
        <w:t>、货物包装、发运及运输</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乙方应在货物发运前对其进行满足运输距离、防潮、防震、防锈和防破损装卸</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使用说明书、质量检验证明书、随配附件和工具以及清单一并附于货物内。</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乙方在货物发运手续办理完毕后24小时内或货到甲方48小时前通知甲方，以准备接货。</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 货物在经甲方验收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 xml:space="preserve">5. </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6.在货物运输、装卸、搬运、调试等期间，乙方应注意安全，并自觉做好疫情防护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7.乙方应按期完成各项工作，否则每延期一天</w:t>
      </w:r>
      <w:r>
        <w:rPr>
          <w:rFonts w:hint="eastAsia" w:ascii="仿宋" w:hAnsi="仿宋" w:eastAsia="仿宋" w:cs="仿宋"/>
          <w:b w:val="0"/>
          <w:bCs w:val="0"/>
          <w:color w:val="auto"/>
          <w:sz w:val="28"/>
          <w:szCs w:val="28"/>
          <w:highlight w:val="none"/>
        </w:rPr>
        <w:t>按</w:t>
      </w:r>
      <w:r>
        <w:rPr>
          <w:rFonts w:hint="eastAsia" w:ascii="仿宋" w:hAnsi="仿宋" w:eastAsia="仿宋" w:cs="仿宋"/>
          <w:b w:val="0"/>
          <w:bCs w:val="0"/>
          <w:color w:val="auto"/>
          <w:sz w:val="28"/>
          <w:szCs w:val="28"/>
          <w:highlight w:val="none"/>
          <w:lang w:val="en-US" w:eastAsia="zh-CN"/>
        </w:rPr>
        <w:t>伍仟元/天扣罚罚金，由甲方从待付货款中直接扣除，如延期交付造成甲方损失的，则由乙方全额赔偿甲方损失。</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五</w:t>
      </w:r>
      <w:r>
        <w:rPr>
          <w:rFonts w:hint="eastAsia" w:ascii="仿宋" w:hAnsi="仿宋" w:eastAsia="仿宋" w:cs="仿宋"/>
          <w:b w:val="0"/>
          <w:bCs w:val="0"/>
          <w:color w:val="auto"/>
          <w:sz w:val="28"/>
          <w:szCs w:val="28"/>
          <w:highlight w:val="none"/>
        </w:rPr>
        <w:t>、违约责任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 乙方逾期交付货物的，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伍仟元/天</w:t>
      </w:r>
      <w:r>
        <w:rPr>
          <w:rFonts w:hint="eastAsia" w:ascii="仿宋" w:hAnsi="仿宋" w:eastAsia="仿宋" w:cs="仿宋"/>
          <w:b w:val="0"/>
          <w:bCs w:val="0"/>
          <w:color w:val="auto"/>
          <w:sz w:val="28"/>
          <w:szCs w:val="28"/>
          <w:highlight w:val="none"/>
        </w:rPr>
        <w:t>向甲方支付违约金，由甲方从待付货款</w:t>
      </w:r>
      <w:r>
        <w:rPr>
          <w:rFonts w:hint="eastAsia" w:ascii="仿宋" w:hAnsi="仿宋" w:eastAsia="仿宋" w:cs="仿宋"/>
          <w:b w:val="0"/>
          <w:bCs w:val="0"/>
          <w:color w:val="auto"/>
          <w:sz w:val="28"/>
          <w:szCs w:val="28"/>
          <w:highlight w:val="none"/>
          <w:lang w:val="en-US" w:eastAsia="zh-CN"/>
        </w:rPr>
        <w:t>中进行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- 20 %的违约金。乙方严重违约的，甲方有权解除本合同。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7、乙方苗木进场时应与甲方办理移交手续，如未经办理移交手续，后续施工过程中发现相关材料造成问题的由乙方自行负责。</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十</w:t>
      </w:r>
      <w:r>
        <w:rPr>
          <w:rFonts w:hint="eastAsia" w:ascii="仿宋" w:hAnsi="仿宋" w:eastAsia="仿宋" w:cs="仿宋"/>
          <w:b w:val="0"/>
          <w:bCs w:val="0"/>
          <w:color w:val="auto"/>
          <w:sz w:val="28"/>
          <w:szCs w:val="28"/>
          <w:highlight w:val="none"/>
          <w:lang w:val="en-US" w:eastAsia="zh-CN"/>
        </w:rPr>
        <w:t>六</w:t>
      </w:r>
      <w:r>
        <w:rPr>
          <w:rFonts w:hint="eastAsia" w:ascii="仿宋" w:hAnsi="仿宋" w:eastAsia="仿宋" w:cs="仿宋"/>
          <w:b w:val="0"/>
          <w:bCs w:val="0"/>
          <w:color w:val="auto"/>
          <w:sz w:val="28"/>
          <w:szCs w:val="28"/>
          <w:highlight w:val="none"/>
        </w:rPr>
        <w:t>、不可抗力事件处理</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在合同有效期内，任何一方因不可抗力事件导致不能履行合同，则合同履行期可延长，其延长期与不可抗力影响期相同。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 不可抗力事件发生后，受不可抗力影响的一方应立即通知对方并采取必要措施减少损害，并在7日内寄送有关权威机构出具的证明。一方违约后发生不可抗力的，不免除其违约责任。</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 不可抗力事件延续120天以上，双方应通过友好协商，确定是否继续履行合同。</w:t>
      </w:r>
    </w:p>
    <w:p>
      <w:pPr>
        <w:keepNext w:val="0"/>
        <w:keepLines w:val="0"/>
        <w:pageBreakBefore w:val="0"/>
        <w:kinsoku/>
        <w:wordWrap/>
        <w:overflowPunct/>
        <w:topLinePunct w:val="0"/>
        <w:autoSpaceDE/>
        <w:autoSpaceDN/>
        <w:bidi w:val="0"/>
        <w:adjustRightInd/>
        <w:spacing w:line="500" w:lineRule="exact"/>
        <w:ind w:left="0" w:firstLine="560"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4.一方违约后发生不可抗力的，违约方不可主张免责</w:t>
      </w:r>
      <w:r>
        <w:rPr>
          <w:rFonts w:hint="eastAsia" w:ascii="仿宋" w:hAnsi="仿宋" w:eastAsia="仿宋" w:cs="仿宋"/>
          <w:color w:val="auto"/>
          <w:sz w:val="28"/>
          <w:szCs w:val="28"/>
          <w:highlight w:val="none"/>
          <w:lang w:eastAsia="zh-CN"/>
        </w:rPr>
        <w:t>。</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十七</w:t>
      </w:r>
      <w:r>
        <w:rPr>
          <w:rFonts w:hint="eastAsia" w:ascii="仿宋" w:hAnsi="仿宋" w:eastAsia="仿宋" w:cs="仿宋"/>
          <w:b w:val="0"/>
          <w:bCs w:val="0"/>
          <w:color w:val="auto"/>
          <w:sz w:val="28"/>
          <w:szCs w:val="28"/>
          <w:highlight w:val="none"/>
        </w:rPr>
        <w:t>、纠纷解决</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十八</w:t>
      </w:r>
      <w:r>
        <w:rPr>
          <w:rFonts w:hint="eastAsia" w:ascii="仿宋" w:hAnsi="仿宋" w:eastAsia="仿宋" w:cs="仿宋"/>
          <w:b w:val="0"/>
          <w:bCs w:val="0"/>
          <w:color w:val="auto"/>
          <w:sz w:val="28"/>
          <w:szCs w:val="28"/>
          <w:highlight w:val="none"/>
        </w:rPr>
        <w:t>、合同生效及其他</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 合同经双方法定代表人或其法定代表人或其授权代理人并加盖单位公章后生效。</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2.本合同未尽事宜，遵照《民法典》有关条文执行。</w:t>
      </w:r>
    </w:p>
    <w:p>
      <w:pPr>
        <w:keepNext w:val="0"/>
        <w:keepLines w:val="0"/>
        <w:pageBreakBefore w:val="0"/>
        <w:kinsoku/>
        <w:wordWrap/>
        <w:overflowPunct/>
        <w:topLinePunct w:val="0"/>
        <w:autoSpaceDE/>
        <w:autoSpaceDN/>
        <w:bidi w:val="0"/>
        <w:adjustRightInd/>
        <w:spacing w:line="500" w:lineRule="exact"/>
        <w:ind w:left="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pPr>
        <w:pStyle w:val="2"/>
        <w:rPr>
          <w:rFonts w:hint="eastAsia" w:ascii="仿宋" w:hAnsi="仿宋" w:eastAsia="仿宋" w:cs="仿宋"/>
          <w:b w:val="0"/>
          <w:bCs w:val="0"/>
          <w:color w:val="auto"/>
          <w:sz w:val="28"/>
          <w:szCs w:val="28"/>
          <w:highlight w:val="none"/>
        </w:rPr>
      </w:pPr>
    </w:p>
    <w:p>
      <w:pPr>
        <w:rPr>
          <w:rFonts w:hint="eastAsia"/>
        </w:rPr>
      </w:pPr>
    </w:p>
    <w:p>
      <w:pPr>
        <w:pStyle w:val="8"/>
        <w:keepNext w:val="0"/>
        <w:keepLines w:val="0"/>
        <w:pageBreakBefore w:val="0"/>
        <w:kinsoku/>
        <w:wordWrap/>
        <w:overflowPunct/>
        <w:topLinePunct w:val="0"/>
        <w:autoSpaceDE/>
        <w:autoSpaceDN/>
        <w:bidi w:val="0"/>
        <w:adjustRightInd/>
        <w:spacing w:beforeLines="0" w:afterLines="0"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甲方：                  乙方：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 xml:space="preserve">开户银行：              开户银行：  </w:t>
      </w:r>
    </w:p>
    <w:p>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 xml:space="preserve">账号：                  账号：      </w:t>
      </w:r>
    </w:p>
    <w:p>
      <w:pPr>
        <w:ind w:firstLine="280" w:firstLineChars="100"/>
        <w:rPr>
          <w:rFonts w:hint="eastAsia" w:ascii="仿宋" w:hAnsi="仿宋" w:eastAsia="仿宋" w:cs="仿宋"/>
          <w:b w:val="0"/>
          <w:bCs w:val="0"/>
          <w:color w:val="auto"/>
          <w:sz w:val="28"/>
          <w:szCs w:val="28"/>
          <w:highlight w:val="none"/>
        </w:rPr>
      </w:pPr>
    </w:p>
    <w:p>
      <w:pPr>
        <w:ind w:firstLine="280" w:firstLineChars="1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签订地点：</w:t>
      </w:r>
      <w:r>
        <w:rPr>
          <w:rFonts w:hint="eastAsia" w:ascii="仿宋" w:hAnsi="仿宋" w:eastAsia="仿宋" w:cs="仿宋"/>
          <w:b w:val="0"/>
          <w:bCs w:val="0"/>
          <w:color w:val="auto"/>
          <w:sz w:val="28"/>
          <w:szCs w:val="28"/>
          <w:highlight w:val="none"/>
          <w:lang w:val="en-US" w:eastAsia="zh-CN"/>
        </w:rPr>
        <w:t>湖州市南浔区</w:t>
      </w:r>
    </w:p>
    <w:p>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签订时间：</w:t>
      </w:r>
    </w:p>
    <w:p>
      <w:pPr>
        <w:pStyle w:val="2"/>
        <w:rPr>
          <w:rFonts w:hint="eastAsia"/>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both"/>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both"/>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rPr>
      </w:pP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3"/>
      <w:bookmarkEnd w:id="44"/>
      <w:bookmarkEnd w:id="45"/>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5"/>
        <w:spacing w:line="300" w:lineRule="auto"/>
        <w:ind w:firstLine="0"/>
        <w:jc w:val="both"/>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020211C"/>
    <w:rsid w:val="02922C89"/>
    <w:rsid w:val="047F0FEB"/>
    <w:rsid w:val="05C171EE"/>
    <w:rsid w:val="06991648"/>
    <w:rsid w:val="090221EB"/>
    <w:rsid w:val="0A5E64CD"/>
    <w:rsid w:val="0AFA743A"/>
    <w:rsid w:val="0B1D2650"/>
    <w:rsid w:val="0CD872BC"/>
    <w:rsid w:val="0D5F0D7F"/>
    <w:rsid w:val="0F1F60F1"/>
    <w:rsid w:val="0F22671F"/>
    <w:rsid w:val="0FD21262"/>
    <w:rsid w:val="12146BB0"/>
    <w:rsid w:val="126825E5"/>
    <w:rsid w:val="12C81DAF"/>
    <w:rsid w:val="12F027EE"/>
    <w:rsid w:val="134D4FBA"/>
    <w:rsid w:val="16777BD5"/>
    <w:rsid w:val="16C0431C"/>
    <w:rsid w:val="181565E3"/>
    <w:rsid w:val="19B02921"/>
    <w:rsid w:val="1A4C7ADD"/>
    <w:rsid w:val="1BBB11A0"/>
    <w:rsid w:val="201721F5"/>
    <w:rsid w:val="20D46011"/>
    <w:rsid w:val="211014F1"/>
    <w:rsid w:val="21143E7B"/>
    <w:rsid w:val="21C51012"/>
    <w:rsid w:val="23C62944"/>
    <w:rsid w:val="25AF3D08"/>
    <w:rsid w:val="25CE197B"/>
    <w:rsid w:val="25F747AF"/>
    <w:rsid w:val="2680629F"/>
    <w:rsid w:val="26D26B81"/>
    <w:rsid w:val="27037402"/>
    <w:rsid w:val="29422464"/>
    <w:rsid w:val="29BC2C9E"/>
    <w:rsid w:val="2AA94975"/>
    <w:rsid w:val="2D0C791F"/>
    <w:rsid w:val="2F7470EF"/>
    <w:rsid w:val="320C6EE3"/>
    <w:rsid w:val="32511C8F"/>
    <w:rsid w:val="325C28A5"/>
    <w:rsid w:val="32F026BC"/>
    <w:rsid w:val="32FE6C00"/>
    <w:rsid w:val="337D1C2C"/>
    <w:rsid w:val="33AB0665"/>
    <w:rsid w:val="35115ADF"/>
    <w:rsid w:val="353B6FEB"/>
    <w:rsid w:val="35A52B6A"/>
    <w:rsid w:val="35DE1766"/>
    <w:rsid w:val="37F64873"/>
    <w:rsid w:val="38B31DD5"/>
    <w:rsid w:val="395850A3"/>
    <w:rsid w:val="3A5F7192"/>
    <w:rsid w:val="3B3D578C"/>
    <w:rsid w:val="3B4B379A"/>
    <w:rsid w:val="3B8C57C0"/>
    <w:rsid w:val="3DEA4B22"/>
    <w:rsid w:val="3F967547"/>
    <w:rsid w:val="4167053C"/>
    <w:rsid w:val="428460B8"/>
    <w:rsid w:val="42924810"/>
    <w:rsid w:val="43EA7528"/>
    <w:rsid w:val="46324066"/>
    <w:rsid w:val="47827D74"/>
    <w:rsid w:val="493642ED"/>
    <w:rsid w:val="496A3852"/>
    <w:rsid w:val="49D37593"/>
    <w:rsid w:val="4B97458B"/>
    <w:rsid w:val="4D666731"/>
    <w:rsid w:val="50FD2BDF"/>
    <w:rsid w:val="52B07B8F"/>
    <w:rsid w:val="55522C02"/>
    <w:rsid w:val="555D3FFE"/>
    <w:rsid w:val="56066426"/>
    <w:rsid w:val="56D90C0D"/>
    <w:rsid w:val="57D85BBE"/>
    <w:rsid w:val="58404066"/>
    <w:rsid w:val="5B9C5C71"/>
    <w:rsid w:val="5BFD48F3"/>
    <w:rsid w:val="5ED53897"/>
    <w:rsid w:val="5FA623FB"/>
    <w:rsid w:val="605814C3"/>
    <w:rsid w:val="62A96AD4"/>
    <w:rsid w:val="63B84AF5"/>
    <w:rsid w:val="663016D6"/>
    <w:rsid w:val="67EA22B6"/>
    <w:rsid w:val="6D4062D5"/>
    <w:rsid w:val="6E3C0EBD"/>
    <w:rsid w:val="6EF0366F"/>
    <w:rsid w:val="6FE03261"/>
    <w:rsid w:val="71767646"/>
    <w:rsid w:val="71975826"/>
    <w:rsid w:val="725C1DF9"/>
    <w:rsid w:val="72834520"/>
    <w:rsid w:val="74952F46"/>
    <w:rsid w:val="761422CC"/>
    <w:rsid w:val="76B71D46"/>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autoRedefine/>
    <w:qFormat/>
    <w:uiPriority w:val="0"/>
    <w:pPr>
      <w:ind w:left="420" w:leftChars="200"/>
    </w:p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Pages>
  <Words>8895</Words>
  <Characters>9164</Characters>
  <Lines>0</Lines>
  <Paragraphs>0</Paragraphs>
  <TotalTime>3</TotalTime>
  <ScaleCrop>false</ScaleCrop>
  <LinksUpToDate>false</LinksUpToDate>
  <CharactersWithSpaces>9722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小兑</cp:lastModifiedBy>
  <cp:lastPrinted>2024-05-22T07:01:00Z</cp:lastPrinted>
  <dcterms:modified xsi:type="dcterms:W3CDTF">2024-05-23T01:33:49Z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293395DF2857403F80818E1D6319FF39_13</vt:lpwstr>
  </property>
</Properties>
</file>