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E923">
      <w:pPr>
        <w:tabs>
          <w:tab w:val="left" w:pos="630"/>
          <w:tab w:val="left" w:pos="840"/>
        </w:tabs>
        <w:adjustRightInd w:val="0"/>
        <w:snapToGrid w:val="0"/>
        <w:spacing w:line="400" w:lineRule="exact"/>
        <w:jc w:val="left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、电梯规格</w:t>
      </w:r>
    </w:p>
    <w:tbl>
      <w:tblPr>
        <w:tblStyle w:val="16"/>
        <w:tblW w:w="5635" w:type="pct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15"/>
        <w:gridCol w:w="847"/>
        <w:gridCol w:w="750"/>
        <w:gridCol w:w="791"/>
        <w:gridCol w:w="1009"/>
        <w:gridCol w:w="627"/>
        <w:gridCol w:w="737"/>
        <w:gridCol w:w="845"/>
        <w:gridCol w:w="750"/>
        <w:gridCol w:w="696"/>
        <w:gridCol w:w="900"/>
        <w:gridCol w:w="900"/>
      </w:tblGrid>
      <w:tr w14:paraId="3E5B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AE108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840" w:leftChars="40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Toc17374"/>
            <w:bookmarkStart w:id="1" w:name="_Toc30939"/>
            <w:bookmarkStart w:id="2" w:name="_Toc401759750"/>
            <w:bookmarkStart w:id="3" w:name="_Toc322590063"/>
            <w:bookmarkStart w:id="4" w:name="_Toc399336600"/>
            <w:bookmarkStart w:id="5" w:name="_Toc479188641"/>
            <w:bookmarkStart w:id="6" w:name="_Toc407632152"/>
            <w:bookmarkStart w:id="7" w:name="_Toc457910013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电梯的技术规格和要求</w:t>
            </w:r>
            <w:bookmarkEnd w:id="0"/>
            <w:bookmarkEnd w:id="1"/>
          </w:p>
        </w:tc>
      </w:tr>
      <w:tr w14:paraId="62F4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FBE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right="0" w:firstLine="0"/>
              <w:textAlignment w:val="auto"/>
              <w:outlineLvl w:val="2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bookmarkStart w:id="8" w:name="_Toc3537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电梯技术规格表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14:paraId="1FC3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0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电梯名称</w:t>
            </w:r>
          </w:p>
          <w:p w14:paraId="25AC5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1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机房</w:t>
            </w:r>
          </w:p>
          <w:p w14:paraId="1991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2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16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载重</w:t>
            </w:r>
          </w:p>
          <w:p w14:paraId="1754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E2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提升</w:t>
            </w:r>
          </w:p>
          <w:p w14:paraId="7520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速度</w:t>
            </w:r>
          </w:p>
          <w:p w14:paraId="7528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m/s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7A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起步至停步层数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8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停站数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94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机房层高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8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井道</w:t>
            </w:r>
          </w:p>
          <w:p w14:paraId="129B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9F2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(宽*深）</w:t>
            </w:r>
          </w:p>
          <w:p w14:paraId="3A7B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6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底坑</w:t>
            </w:r>
          </w:p>
          <w:p w14:paraId="5A47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深度</w:t>
            </w:r>
          </w:p>
          <w:p w14:paraId="1E9F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F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顶层</w:t>
            </w:r>
          </w:p>
          <w:p w14:paraId="5A5A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高度</w:t>
            </w:r>
          </w:p>
          <w:p w14:paraId="3EDD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1B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开门</w:t>
            </w:r>
          </w:p>
          <w:p w14:paraId="61D7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DE5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宽*高mm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B2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轿厢</w:t>
            </w:r>
          </w:p>
          <w:p w14:paraId="6993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C9E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宽*深*高</w:t>
            </w:r>
          </w:p>
          <w:p w14:paraId="0129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</w:tr>
      <w:tr w14:paraId="6E89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0954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DT-1 客梯 普通电梯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9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0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05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87F0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F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D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22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2200x2200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4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3A0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11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2D4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C9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56DA2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DT-2 客梯无障碍电梯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2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0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C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8204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2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40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A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2200x2400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9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EBA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0E6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D2C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1600*1500</w:t>
            </w:r>
          </w:p>
        </w:tc>
      </w:tr>
      <w:tr w14:paraId="055D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66F0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DT-3 客梯 普通电梯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A0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C8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A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12F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9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4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67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2200x2400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A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9C6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4D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817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52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6C9DA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DT-4 货梯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8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无机房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F9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8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5E3C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E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3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7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2400x2200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0E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1317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1F8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A36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6B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电梯装修要求</w:t>
            </w:r>
          </w:p>
        </w:tc>
      </w:tr>
      <w:tr w14:paraId="5578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E9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9" w:name="_Toc359135987"/>
            <w:bookmarkStart w:id="10" w:name="_Toc359235701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轿厢壁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E4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发纹不锈钢≥1.2mm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F7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u w:val="single"/>
                <w:lang w:val="en-US" w:eastAsia="zh-CN"/>
              </w:rPr>
              <w:t>304短发纹</w:t>
            </w:r>
          </w:p>
        </w:tc>
      </w:tr>
      <w:tr w14:paraId="4060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A24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地  面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3D9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wav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10mm厚800*800防滑地砖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5F8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94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8A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轿厢顶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57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含超低噪音通风设备、灯光。</w:t>
            </w:r>
          </w:p>
          <w:p w14:paraId="19ED2E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轿厢顶需留有摄像机孔，随行电缆中应附视频电缆。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7A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提供至少五个吊顶方案供业主选择）</w:t>
            </w:r>
          </w:p>
        </w:tc>
      </w:tr>
      <w:tr w14:paraId="7B95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A4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层</w:t>
            </w:r>
            <w:bookmarkStart w:id="11" w:name="_GoBack"/>
            <w:bookmarkEnd w:id="11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 门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6B5B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水平滑动式门，304短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发纹不锈钢，红外线光幕保护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开启净宽度不小于900mm，完全开启时间应保持不小于3秒，耐火完整性不低于2.00h，符合现行国家标准《电梯层门耐火试验完整性、隔热性和热通量测定法》GB/T27903规定的完整性和隔热性要求。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8D3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B9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B9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操纵盘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9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装有微动发光二极管照明的楼层按钮（圆形、带盲文），发纹不锈钢材质，操纵盘上有楼层显示、方向显示，每台电梯设一个操纵盘，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发纹不锈钢材质。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4E6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</w:p>
        </w:tc>
      </w:tr>
      <w:tr w14:paraId="7142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97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踢脚板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9AE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首层发纹不锈钢，其余层发纹不锈钢；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C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54E6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995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轿厢门坎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5C2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铝型材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81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47F7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0F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轿厢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F5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正面高900mm处至顶部应安装镜子或采用有镜面效果的材料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CC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6C09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BAE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厅门坎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7A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铝型材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7D0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5CB0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A2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厅  门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B3A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发纹不锈钢≥1.2mm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其余层发纹不锈钢；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4A3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0625A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39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侯梯厅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11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满足1.5m的轮椅回转空间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BE1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1471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F643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门  套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CCB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mm，标准小门套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其余层发纹不锈钢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132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1407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7D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轿厢内铭牌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4D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不锈钢，标明电梯品牌、额定载重量、人数、不准吸烟等图示。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EF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4C3E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1DD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呼梯盘及楼层显示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9E4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呼梯盘与门厅楼层显示器装在同一不锈钢面板上，装有微动发光二极管照明的按钮，每层均有楼层显示、运行方向显示、故障显示和检修显示；按钮及面板为发纹不锈钢材质。呼梯盘面板应和装饰墙面保持协调一致，由采购方根据实际需要选择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不得就此提高合同价格。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B08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电梯厅中每台电梯设置一个呼梯盘；</w:t>
            </w:r>
          </w:p>
          <w:p w14:paraId="41176A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</w:p>
        </w:tc>
      </w:tr>
      <w:tr w14:paraId="6CFA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1B7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停电应急救援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F8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当外电网处于失电状态时：如电梯未处于平层位置，停电应急救援系统将依靠自身携带的电源系统，控制电梯以检修速度向轻载方向运行至平层位置，并打开电梯门；如电梯处于平层位置，停电应急救援系统将控制电梯打开电梯门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DC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val="en-US" w:eastAsia="zh-CN"/>
              </w:rPr>
              <w:t>ARD停电应急平层救援装置</w:t>
            </w:r>
          </w:p>
        </w:tc>
      </w:tr>
      <w:tr w14:paraId="357C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20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电子显示屏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6EF7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蓝底白字或黑底白字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液晶显示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屏幕大小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左右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573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</w:p>
        </w:tc>
      </w:tr>
      <w:tr w14:paraId="4C764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F1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无障碍电梯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具有消防功能，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设高0.9m~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1.1m的盲文按钮，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三面壁上设高0.85m~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0.9m的不锈钢扶手（单管）。设置无障碍标志，无障碍标志应符合《无障碍设计规范》GB50763-2012第3.16节的相关规定。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06B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40mm单圆管扶手，符合《无障碍设计规范》GB50763第3.8节的有关规定</w:t>
            </w:r>
          </w:p>
        </w:tc>
      </w:tr>
      <w:tr w14:paraId="189E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21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语音播报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C1F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根据楼层进行语音播报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3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</w:p>
        </w:tc>
      </w:tr>
      <w:tr w14:paraId="42B5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D3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监控系统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A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内装电视监控系统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含轿厢内摄像头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，包含监控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视频线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、电缆及管理系统软件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857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提高电梯安全应急救援速度</w:t>
            </w:r>
          </w:p>
        </w:tc>
      </w:tr>
      <w:bookmarkEnd w:id="9"/>
      <w:bookmarkEnd w:id="10"/>
    </w:tbl>
    <w:p w14:paraId="25C4F9F8">
      <w:pPr>
        <w:snapToGrid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DA0BB12">
      <w:pPr>
        <w:pStyle w:val="14"/>
        <w:shd w:val="clear" w:color="auto" w:fill="FFFFFF"/>
        <w:spacing w:before="156" w:beforeLines="50" w:beforeAutospacing="0" w:after="0" w:afterAutospacing="0" w:line="400" w:lineRule="exact"/>
        <w:ind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注：以上内容如与图纸中有冲突的，以图纸为准</w:t>
      </w:r>
    </w:p>
    <w:p w14:paraId="63386B7E">
      <w:pPr>
        <w:pStyle w:val="14"/>
        <w:shd w:val="clear" w:color="auto" w:fill="FFFFFF"/>
        <w:spacing w:before="156" w:beforeLines="50" w:beforeAutospacing="0" w:after="0" w:afterAutospacing="0" w:line="400" w:lineRule="exact"/>
        <w:ind w:firstLine="562" w:firstLineChars="200"/>
        <w:jc w:val="both"/>
        <w:outlineLvl w:val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6CFE14C">
      <w:pPr>
        <w:pStyle w:val="2"/>
        <w:rPr>
          <w:rFonts w:hint="eastAsia" w:ascii="仿宋" w:hAnsi="仿宋" w:eastAsia="仿宋" w:cs="仿宋"/>
          <w:color w:val="auto"/>
          <w:sz w:val="30"/>
          <w:szCs w:val="24"/>
          <w:highlight w:val="none"/>
        </w:rPr>
      </w:pPr>
    </w:p>
    <w:p w14:paraId="1989C075"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>湖州南浔城投城市建设集团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31EC71D4"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7BFD4120">
      <w:pPr>
        <w:widowControl/>
        <w:jc w:val="left"/>
        <w:rPr>
          <w:rFonts w:ascii="仿宋" w:hAnsi="仿宋" w:eastAsia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</w:rPr>
        <w:t>：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日期：**年**月**日</w:t>
      </w:r>
    </w:p>
    <w:tbl>
      <w:tblPr>
        <w:tblStyle w:val="1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88"/>
        <w:gridCol w:w="1113"/>
        <w:gridCol w:w="1352"/>
        <w:gridCol w:w="634"/>
        <w:gridCol w:w="720"/>
        <w:gridCol w:w="703"/>
        <w:gridCol w:w="703"/>
        <w:gridCol w:w="703"/>
        <w:gridCol w:w="703"/>
        <w:gridCol w:w="709"/>
      </w:tblGrid>
      <w:tr w14:paraId="72DC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3" w:type="pct"/>
            <w:shd w:val="clear" w:color="auto" w:fill="auto"/>
            <w:vAlign w:val="center"/>
          </w:tcPr>
          <w:p w14:paraId="24B26371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EDF6F75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材料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0154E4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</w:rPr>
              <w:t>图片样式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E2B704F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尺寸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/规格/型号/参数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826FAD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材质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273EA64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A8C56A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3D242EC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单价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E948A1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总价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D071D8A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开票</w:t>
            </w:r>
          </w:p>
          <w:p w14:paraId="3B5A816E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税率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AB046E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7E4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3321E4AA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3E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DT-1 客梯 普通电梯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AB4A6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61D13F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D11AA4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86AF290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9C7B632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3C9024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114A34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8C8410C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53B50A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133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7EDCF8AF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BA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DT-2 客梯无障碍电梯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62088F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D01AC3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6C9759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FAA1EA3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7E0E30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C296E3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EB92CD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156051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4EF4A3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DBD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38B75025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4579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DT-3 客梯 普通电梯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6621B4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948008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B39EC0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84AF53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2930F3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B150A7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95DC90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1D9CFC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CF3741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F63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C6F16D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E8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DT-4 货梯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B7DBB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FA0528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082955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9BF4A5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383E8A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9A343E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CCFCEE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0C6AE0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940257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901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89686E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49E97E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1D3C80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9CCA6A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FACB74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408D7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B6F880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0CF471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02A1AD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2A299E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46E5ED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F13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24C5616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7F5975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7659828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4AD362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470947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D8035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A41CE8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0F0BA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7338C7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77E83A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85B864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CBB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292646F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40CDCF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3EA05E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33B5BF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361518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1378CD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3A11F9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C76305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8B42F1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ABF1B7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7B651B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B51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AA07F6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CDCBE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B1D095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A1D558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C823E3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80B229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CAC550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5EB855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499622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FAC7C9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5272F7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062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2452EAC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E20A5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CCA264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9ED8E9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A796C3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DF453D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CA8881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C67006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6609A6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A63AB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0DAF46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81B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4A4C207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D6949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8581FC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D11E29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A26618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811906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E1760F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DDBE72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AA9532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D52157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BC6C55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EA5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7A0EA8A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9C7DE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B54D1E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472848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644D7F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5C1D62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3AA343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F37C4B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E68ED8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6503FC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B5B3C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9D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16630EB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合同期限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EC66B0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52A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6F284E9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质量标准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39F1ED06">
            <w:pPr>
              <w:widowControl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61D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256B7CF9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供货周期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166E5B56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中标后5天内提供专业设计图纸，30天内货到工地，45天内完成安装、调试并验收合格</w:t>
            </w:r>
          </w:p>
        </w:tc>
      </w:tr>
      <w:tr w14:paraId="11F8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16EEE0A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供货地点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C361869"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和孚直播基地</w:t>
            </w:r>
          </w:p>
        </w:tc>
      </w:tr>
      <w:tr w14:paraId="366C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51E2687D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质保期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F41A789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2年</w:t>
            </w:r>
          </w:p>
        </w:tc>
      </w:tr>
      <w:tr w14:paraId="4C7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4F108B9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履约保证金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6CC40777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033E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6A170DEB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开票税率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2BF72ACE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电梯（含安装）13%增值税专用发票</w:t>
            </w:r>
          </w:p>
        </w:tc>
      </w:tr>
      <w:tr w14:paraId="6F0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5AB31176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付款方式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536FE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（1）合同签订后15日内支付合同总价的20%作为预付款；</w:t>
            </w:r>
          </w:p>
          <w:p w14:paraId="70BC7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（2）货到项目安装现场经拆箱验证合格后15日内，支付至合同总价的50%；</w:t>
            </w:r>
          </w:p>
          <w:p w14:paraId="3A396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（3）电梯在安装调试完成并经质监局验收合格后支付至合同总价的95%；</w:t>
            </w:r>
          </w:p>
          <w:p w14:paraId="0B6AD00A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（4）余款作为质保金待质保期满后根据项目维修情况扣除相关费用、违约金后退还（无息）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65EF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0DB9359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结算方式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64E270D9"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 w14:paraId="6393F5BB">
      <w:pPr>
        <w:pStyle w:val="7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</w:t>
      </w:r>
    </w:p>
    <w:p w14:paraId="6AB044E9">
      <w:pPr>
        <w:pStyle w:val="7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p w14:paraId="55974B94">
      <w:pPr>
        <w:pStyle w:val="7"/>
        <w:spacing w:line="560" w:lineRule="exact"/>
        <w:outlineLvl w:val="1"/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联系电话：</w:t>
      </w:r>
    </w:p>
    <w:sectPr>
      <w:headerReference r:id="rId3" w:type="default"/>
      <w:footerReference r:id="rId4" w:type="default"/>
      <w:pgSz w:w="11906" w:h="16838"/>
      <w:pgMar w:top="1440" w:right="1803" w:bottom="1440" w:left="12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7F687">
    <w:pPr>
      <w:pStyle w:val="11"/>
      <w:jc w:val="center"/>
      <w:rPr>
        <w:rStyle w:val="19"/>
      </w:rPr>
    </w:pPr>
    <w:r>
      <w:rPr>
        <w:rStyle w:val="19"/>
        <w:rFonts w:hint="eastAsia"/>
      </w:rPr>
      <w:t>第</w:t>
    </w: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20</w:t>
    </w:r>
    <w:r>
      <w:fldChar w:fldCharType="end"/>
    </w:r>
    <w:r>
      <w:rPr>
        <w:rStyle w:val="19"/>
        <w:rFonts w:hint="eastAsia"/>
      </w:rPr>
      <w:t>页，共</w:t>
    </w:r>
    <w:r>
      <w:fldChar w:fldCharType="begin"/>
    </w:r>
    <w:r>
      <w:rPr>
        <w:rStyle w:val="19"/>
      </w:rPr>
      <w:instrText xml:space="preserve"> NUMPAGES </w:instrText>
    </w:r>
    <w:r>
      <w:fldChar w:fldCharType="separate"/>
    </w:r>
    <w:r>
      <w:rPr>
        <w:rStyle w:val="19"/>
      </w:rPr>
      <w:t>20</w:t>
    </w:r>
    <w:r>
      <w:fldChar w:fldCharType="end"/>
    </w:r>
    <w:r>
      <w:rPr>
        <w:rStyle w:val="19"/>
        <w:rFonts w:hint="eastAsia"/>
      </w:rPr>
      <w:t>页</w:t>
    </w:r>
  </w:p>
  <w:p w14:paraId="2CF869A0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FF08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DdjYmRhZDhlNGIyODhlOTU5MWZjMTNlZDczYjEifQ=="/>
  </w:docVars>
  <w:rsids>
    <w:rsidRoot w:val="00000000"/>
    <w:rsid w:val="03D96013"/>
    <w:rsid w:val="052017C7"/>
    <w:rsid w:val="05516E37"/>
    <w:rsid w:val="05C171EE"/>
    <w:rsid w:val="06093262"/>
    <w:rsid w:val="06581AF4"/>
    <w:rsid w:val="07091040"/>
    <w:rsid w:val="095E733E"/>
    <w:rsid w:val="0A55555D"/>
    <w:rsid w:val="0A6D51C8"/>
    <w:rsid w:val="0C43355B"/>
    <w:rsid w:val="0E35227E"/>
    <w:rsid w:val="0E9B234E"/>
    <w:rsid w:val="0FD21262"/>
    <w:rsid w:val="11110744"/>
    <w:rsid w:val="12146BB0"/>
    <w:rsid w:val="124527CB"/>
    <w:rsid w:val="12C81DAF"/>
    <w:rsid w:val="16215A78"/>
    <w:rsid w:val="16777BD5"/>
    <w:rsid w:val="181565E3"/>
    <w:rsid w:val="186662F2"/>
    <w:rsid w:val="18F60DBF"/>
    <w:rsid w:val="191C4C03"/>
    <w:rsid w:val="1A1F2BFD"/>
    <w:rsid w:val="1A2E4996"/>
    <w:rsid w:val="1FDD2C02"/>
    <w:rsid w:val="21A94C45"/>
    <w:rsid w:val="21C51012"/>
    <w:rsid w:val="225075D0"/>
    <w:rsid w:val="25AF3D08"/>
    <w:rsid w:val="267C4F33"/>
    <w:rsid w:val="27524028"/>
    <w:rsid w:val="28231967"/>
    <w:rsid w:val="29802F8C"/>
    <w:rsid w:val="2AA94975"/>
    <w:rsid w:val="2D0C791F"/>
    <w:rsid w:val="2F7470EF"/>
    <w:rsid w:val="3068334B"/>
    <w:rsid w:val="311B0054"/>
    <w:rsid w:val="31FC0220"/>
    <w:rsid w:val="325C28A5"/>
    <w:rsid w:val="32FE6C00"/>
    <w:rsid w:val="334C4B29"/>
    <w:rsid w:val="33AB0665"/>
    <w:rsid w:val="34EB601A"/>
    <w:rsid w:val="36A77DAA"/>
    <w:rsid w:val="36BC08EE"/>
    <w:rsid w:val="39965EB4"/>
    <w:rsid w:val="3B2A6002"/>
    <w:rsid w:val="3BE15B0C"/>
    <w:rsid w:val="3C5B7B25"/>
    <w:rsid w:val="3EE8228E"/>
    <w:rsid w:val="3FD005C4"/>
    <w:rsid w:val="43770B04"/>
    <w:rsid w:val="440E15BF"/>
    <w:rsid w:val="4521480D"/>
    <w:rsid w:val="45467062"/>
    <w:rsid w:val="46324066"/>
    <w:rsid w:val="497955D6"/>
    <w:rsid w:val="49D37593"/>
    <w:rsid w:val="49FE2EDA"/>
    <w:rsid w:val="4A3634C7"/>
    <w:rsid w:val="4A62250E"/>
    <w:rsid w:val="4AE64EED"/>
    <w:rsid w:val="4AEB42B2"/>
    <w:rsid w:val="4B2D7D6E"/>
    <w:rsid w:val="4F4421E2"/>
    <w:rsid w:val="51C3680C"/>
    <w:rsid w:val="525D6C2E"/>
    <w:rsid w:val="52F61E27"/>
    <w:rsid w:val="53B13BBE"/>
    <w:rsid w:val="55522C02"/>
    <w:rsid w:val="55540CA5"/>
    <w:rsid w:val="5622232C"/>
    <w:rsid w:val="567333AD"/>
    <w:rsid w:val="56985B13"/>
    <w:rsid w:val="571A60BC"/>
    <w:rsid w:val="5B255DAD"/>
    <w:rsid w:val="5BBC1352"/>
    <w:rsid w:val="5BFD48F3"/>
    <w:rsid w:val="5F2E6A0B"/>
    <w:rsid w:val="602F47E9"/>
    <w:rsid w:val="61500EBB"/>
    <w:rsid w:val="620F1AB3"/>
    <w:rsid w:val="62B8761E"/>
    <w:rsid w:val="63161C90"/>
    <w:rsid w:val="66B525E8"/>
    <w:rsid w:val="683E1A6D"/>
    <w:rsid w:val="6AE43FF6"/>
    <w:rsid w:val="6AFC2517"/>
    <w:rsid w:val="6BE97F42"/>
    <w:rsid w:val="6BEC62C4"/>
    <w:rsid w:val="6CFE0EC8"/>
    <w:rsid w:val="6D2223DA"/>
    <w:rsid w:val="70DB45ED"/>
    <w:rsid w:val="71767646"/>
    <w:rsid w:val="719163AE"/>
    <w:rsid w:val="72FE6BAA"/>
    <w:rsid w:val="75F72607"/>
    <w:rsid w:val="76B37ACA"/>
    <w:rsid w:val="77A22217"/>
    <w:rsid w:val="7A9B3740"/>
    <w:rsid w:val="7B311871"/>
    <w:rsid w:val="7C030BAC"/>
    <w:rsid w:val="7C5434A5"/>
    <w:rsid w:val="7C9A1138"/>
    <w:rsid w:val="7D2E30CC"/>
    <w:rsid w:val="7E46649B"/>
    <w:rsid w:val="7E924469"/>
    <w:rsid w:val="E1F8D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outlineLvl w:val="0"/>
    </w:pPr>
    <w:rPr>
      <w:rFonts w:ascii="宋体" w:hAnsi="宋体"/>
      <w:b/>
      <w:sz w:val="28"/>
    </w:rPr>
  </w:style>
  <w:style w:type="paragraph" w:styleId="5">
    <w:name w:val="heading 2"/>
    <w:basedOn w:val="1"/>
    <w:next w:val="1"/>
    <w:autoRedefine/>
    <w:qFormat/>
    <w:uiPriority w:val="0"/>
    <w:pPr>
      <w:keepNext/>
      <w:spacing w:line="480" w:lineRule="exact"/>
      <w:outlineLvl w:val="1"/>
    </w:pPr>
    <w:rPr>
      <w:rFonts w:ascii="仿宋_GB2312" w:hAnsi="宋体" w:eastAsia="仿宋_GB2312"/>
      <w:bCs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ody Text First Indent"/>
    <w:basedOn w:val="2"/>
    <w:next w:val="1"/>
    <w:autoRedefine/>
    <w:qFormat/>
    <w:uiPriority w:val="0"/>
    <w:pPr>
      <w:ind w:firstLine="100" w:firstLineChars="100"/>
    </w:pPr>
    <w:rPr>
      <w:sz w:val="21"/>
    </w:r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2"/>
    </w:rPr>
  </w:style>
  <w:style w:type="paragraph" w:styleId="7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8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0">
    <w:name w:val="toc 8"/>
    <w:basedOn w:val="1"/>
    <w:next w:val="1"/>
    <w:autoRedefine/>
    <w:qFormat/>
    <w:uiPriority w:val="0"/>
    <w:pPr>
      <w:ind w:left="1400" w:leftChars="1400"/>
    </w:pPr>
    <w:rPr>
      <w:rFonts w:ascii="Calibri" w:hAnsi="Calibri"/>
      <w:szCs w:val="22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widowControl/>
      <w:jc w:val="center"/>
    </w:pPr>
    <w:rPr>
      <w:rFonts w:ascii="黑体" w:eastAsia="黑体"/>
      <w:b/>
      <w:kern w:val="0"/>
      <w:sz w:val="52"/>
      <w:szCs w:val="20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8"/>
    <w:autoRedefine/>
    <w:qFormat/>
    <w:uiPriority w:val="0"/>
    <w:pPr>
      <w:widowControl/>
      <w:spacing w:after="120" w:line="276" w:lineRule="auto"/>
      <w:ind w:left="420" w:leftChars="200" w:firstLine="420"/>
      <w:jc w:val="left"/>
    </w:pPr>
    <w:rPr>
      <w:rFonts w:ascii="Calibri" w:hAnsi="Calibri"/>
      <w:sz w:val="21"/>
    </w:rPr>
  </w:style>
  <w:style w:type="table" w:styleId="17">
    <w:name w:val="Table Grid"/>
    <w:basedOn w:val="16"/>
    <w:autoRedefine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autoRedefine/>
    <w:qFormat/>
    <w:uiPriority w:val="0"/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密级编号"/>
    <w:basedOn w:val="1"/>
    <w:next w:val="6"/>
    <w:autoRedefine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仿宋_GB2312" w:eastAsia="仿宋_GB2312"/>
      <w:sz w:val="24"/>
    </w:rPr>
  </w:style>
  <w:style w:type="paragraph" w:customStyle="1" w:styleId="23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customStyle="1" w:styleId="24">
    <w:name w:val="Plain Text"/>
    <w:basedOn w:val="1"/>
    <w:autoRedefine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customStyle="1" w:styleId="2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1558</Words>
  <Characters>1868</Characters>
  <Lines>0</Lines>
  <Paragraphs>0</Paragraphs>
  <TotalTime>35</TotalTime>
  <ScaleCrop>false</ScaleCrop>
  <LinksUpToDate>false</LinksUpToDate>
  <CharactersWithSpaces>1948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2023-07-20T17:25:00Z</dcterms:created>
  <dc:creator>Administrator</dc:creator>
  <cp:lastModifiedBy>毛毛</cp:lastModifiedBy>
  <cp:lastPrinted>2024-08-09T01:23:00Z</cp:lastPrinted>
  <dcterms:modified xsi:type="dcterms:W3CDTF">2024-08-21T06:56:19Z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2E0474C6E7C349AAAE3CDF84F7AF6C2B_13</vt:lpwstr>
  </property>
</Properties>
</file>