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bookmarkStart w:id="44" w:name="_GoBack"/>
      <w:bookmarkEnd w:id="44"/>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钢结构车棚</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22"/>
        <w:rPr>
          <w:rFonts w:hint="eastAsia"/>
          <w:lang w:val="en-US" w:eastAsia="zh-CN"/>
        </w:rPr>
      </w:pPr>
    </w:p>
    <w:p w14:paraId="4897E7DA">
      <w:pPr>
        <w:pStyle w:val="14"/>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钢结构车棚</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光储充停车场钢结构车棚采购项目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4"/>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CTCJ-202408009-钢结构车棚</w:t>
      </w:r>
    </w:p>
    <w:p w14:paraId="718ED965">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湖州南浔城投城市建设集团有限公司、湖州浔城贸易有限公司</w:t>
      </w:r>
    </w:p>
    <w:p w14:paraId="7865CEEF">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铝板、铝板安装辅材、钢结构材料、涂装油漆等材料，具体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197万元</w:t>
      </w:r>
    </w:p>
    <w:p w14:paraId="44BF810C">
      <w:pPr>
        <w:pStyle w:val="14"/>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3C76103F">
      <w:pPr>
        <w:pStyle w:val="14"/>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4"/>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4"/>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532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15"/>
        <w:gridCol w:w="7965"/>
      </w:tblGrid>
      <w:tr w14:paraId="31D80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0EFE814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采购预算价</w:t>
            </w:r>
          </w:p>
        </w:tc>
        <w:tc>
          <w:tcPr>
            <w:tcW w:w="4030" w:type="pct"/>
            <w:tcBorders>
              <w:top w:val="single" w:color="auto" w:sz="4" w:space="0"/>
              <w:left w:val="single" w:color="auto" w:sz="4" w:space="0"/>
              <w:bottom w:val="single" w:color="auto" w:sz="4" w:space="0"/>
              <w:right w:val="single" w:color="auto" w:sz="4" w:space="0"/>
            </w:tcBorders>
            <w:vAlign w:val="center"/>
          </w:tcPr>
          <w:p w14:paraId="137726E3">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197万元</w:t>
            </w:r>
          </w:p>
        </w:tc>
      </w:tr>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工期</w:t>
            </w:r>
          </w:p>
        </w:tc>
        <w:tc>
          <w:tcPr>
            <w:tcW w:w="4030" w:type="pct"/>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合同签订后40个自然日内竣工验收完成，并向采购人提交竣工结算资料。</w:t>
            </w:r>
          </w:p>
        </w:tc>
      </w:tr>
      <w:tr w14:paraId="71F0D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7338930">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现场作业要求</w:t>
            </w:r>
          </w:p>
        </w:tc>
        <w:tc>
          <w:tcPr>
            <w:tcW w:w="4030" w:type="pct"/>
            <w:tcBorders>
              <w:top w:val="single" w:color="auto" w:sz="4" w:space="0"/>
              <w:left w:val="single" w:color="auto" w:sz="4" w:space="0"/>
              <w:bottom w:val="single" w:color="auto" w:sz="4" w:space="0"/>
              <w:right w:val="single" w:color="auto" w:sz="4" w:space="0"/>
            </w:tcBorders>
            <w:vAlign w:val="center"/>
          </w:tcPr>
          <w:p w14:paraId="53F16D1F">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钢结构采用螺栓装配式安装，现场无电焊、无切割。钢结构成品到现场，现场不喷涂各类油漆涂料。</w:t>
            </w:r>
          </w:p>
        </w:tc>
      </w:tr>
      <w:tr w14:paraId="0BC6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3F61BAA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报价方式</w:t>
            </w:r>
          </w:p>
        </w:tc>
        <w:tc>
          <w:tcPr>
            <w:tcW w:w="4030" w:type="pct"/>
            <w:tcBorders>
              <w:top w:val="single" w:color="auto" w:sz="4" w:space="0"/>
              <w:left w:val="single" w:color="auto" w:sz="4" w:space="0"/>
              <w:bottom w:val="single" w:color="auto" w:sz="4" w:space="0"/>
              <w:right w:val="single" w:color="auto" w:sz="4" w:space="0"/>
            </w:tcBorders>
            <w:vAlign w:val="center"/>
          </w:tcPr>
          <w:p w14:paraId="63E685D1">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供应商以下浮率的形式进行报价，基础下浮率为8%，小于基础下浮率8%的报价无效。</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0" w:type="pct"/>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采购预算价的2%，成交供应商需在合同签订前缴纳，项目竣工验收完成后采购人退还。</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0"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0" w:type="pct"/>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支付采购预算价的30%，材料进场后支付至采购预算价的60%，项目竣工验收完成并向采购人提交竣工结算资料后支付至采购预算价的75%，项目审计结算完成后支付至最终结算款的97.5%，最终结算款的2.5%作为质保金待质保期结束后无质量问题或使用问题后付清（无息），如材料存在质量问题或后续保修，则相应扣除质保金，质保金扣除不足部分，则由乙方补足。供应商收款前须提供支付金额准确的13%增值税专用发票，否则采购人有权不予支付。</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0" w:type="pct"/>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以采购人委托的第三方审计公司出具的审计价为基准价×中标下浮率-其他扣款（如有）进行结算。</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0" w:type="pct"/>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含安装</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0" w:type="pct"/>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0" w:type="pct"/>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2年</w:t>
            </w:r>
          </w:p>
        </w:tc>
      </w:tr>
      <w:tr w14:paraId="7B105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598262C">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备注</w:t>
            </w:r>
          </w:p>
        </w:tc>
        <w:tc>
          <w:tcPr>
            <w:tcW w:w="4030" w:type="pct"/>
            <w:tcBorders>
              <w:top w:val="single" w:color="auto" w:sz="4" w:space="0"/>
              <w:left w:val="single" w:color="auto" w:sz="4" w:space="0"/>
              <w:bottom w:val="single" w:color="auto" w:sz="4" w:space="0"/>
              <w:right w:val="single" w:color="auto" w:sz="4" w:space="0"/>
            </w:tcBorders>
            <w:vAlign w:val="center"/>
          </w:tcPr>
          <w:p w14:paraId="20756A0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报价清单内数量仅供参考，请供应商根据采购人提供的图纸进行复核后报价，如有漏项请修改补充并标红报价。</w:t>
            </w:r>
          </w:p>
          <w:p w14:paraId="6EA8269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工程资料、结算送审资料等由采购人委托的第三方单位进行编制，第三方单位编制资料所产生的相关费用从中标供应商的结算款中直接扣除(按照采购人与第三方的协议价进行扣除)。</w:t>
            </w:r>
          </w:p>
        </w:tc>
      </w:tr>
    </w:tbl>
    <w:p w14:paraId="0CE2C6A9">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9</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5</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4"/>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4"/>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4"/>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4"/>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；盖章扫描件；</w:t>
      </w:r>
    </w:p>
    <w:p w14:paraId="4CE766E6">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684CCC38">
      <w:pPr>
        <w:keepNext w:val="0"/>
        <w:keepLines w:val="0"/>
        <w:pageBreakBefore w:val="0"/>
        <w:widowControl/>
        <w:kinsoku/>
        <w:wordWrap/>
        <w:overflowPunct/>
        <w:topLinePunct w:val="0"/>
        <w:autoSpaceDE/>
        <w:autoSpaceDN/>
        <w:bidi w:val="0"/>
        <w:adjustRightInd w:val="0"/>
        <w:snapToGrid w:val="0"/>
        <w:spacing w:line="400" w:lineRule="exact"/>
        <w:jc w:val="both"/>
        <w:textAlignment w:val="auto"/>
        <w:rPr>
          <w:rFonts w:hint="eastAsia" w:ascii="仿宋" w:hAnsi="仿宋" w:eastAsia="仿宋" w:cs="仿宋"/>
          <w:color w:val="auto"/>
          <w:kern w:val="0"/>
          <w:sz w:val="28"/>
          <w:szCs w:val="28"/>
          <w:highlight w:val="none"/>
          <w:lang w:val="en-US" w:eastAsia="zh-CN"/>
        </w:rPr>
      </w:pP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湖州南浔城投城市建设集团有限公司</w:t>
      </w:r>
    </w:p>
    <w:p w14:paraId="799ABE30">
      <w:pPr>
        <w:pStyle w:val="2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5035BE0C">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9月2日</w:t>
      </w:r>
    </w:p>
    <w:p w14:paraId="5C05F452">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67866E1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66C96404">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9</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115CFFB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64EB91F8">
      <w:pPr>
        <w:pStyle w:val="2"/>
        <w:jc w:val="both"/>
        <w:rPr>
          <w:rFonts w:hint="eastAsia" w:ascii="仿宋" w:hAnsi="仿宋" w:eastAsia="仿宋" w:cs="仿宋"/>
          <w:b/>
          <w:bCs/>
          <w:color w:val="auto"/>
          <w:sz w:val="30"/>
          <w:highlight w:val="none"/>
        </w:rPr>
      </w:pPr>
      <w:bookmarkStart w:id="41" w:name="_Toc360527291"/>
      <w:bookmarkStart w:id="42" w:name="_Toc53233055"/>
      <w:bookmarkStart w:id="43" w:name="_Toc173558759"/>
    </w:p>
    <w:p w14:paraId="63FD2F2A">
      <w:pPr>
        <w:rPr>
          <w:rFonts w:hint="eastAsia"/>
        </w:rPr>
      </w:pPr>
    </w:p>
    <w:p w14:paraId="43882A67">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ED1F5E5">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7E4A3F78">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3C0542F1">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04956868">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111463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33ACDFA">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3F85DE96">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16B05236">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1A507B1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26FFE8B1">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C5FF9A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6CDD7FDC">
      <w:pPr>
        <w:spacing w:line="360" w:lineRule="auto"/>
        <w:jc w:val="center"/>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val="en-US" w:eastAsia="zh-CN"/>
        </w:rPr>
        <w:t>采购</w:t>
      </w:r>
      <w:r>
        <w:rPr>
          <w:rFonts w:ascii="Times New Roman" w:hAnsi="Times New Roman" w:eastAsia="宋体" w:cs="Times New Roman"/>
          <w:snapToGrid/>
          <w:color w:val="auto"/>
          <w:kern w:val="2"/>
          <w:sz w:val="36"/>
          <w:szCs w:val="36"/>
          <w:lang w:eastAsia="zh-CN"/>
        </w:rPr>
        <w:t>合同</w:t>
      </w:r>
    </w:p>
    <w:p w14:paraId="22BAEAFC">
      <w:pPr>
        <w:pStyle w:val="8"/>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项目名称</w:t>
      </w:r>
      <w:r>
        <w:rPr>
          <w:rFonts w:hint="eastAsia" w:ascii="仿宋" w:hAnsi="仿宋" w:eastAsia="仿宋" w:cs="仿宋"/>
          <w:color w:val="auto"/>
          <w:kern w:val="2"/>
          <w:sz w:val="21"/>
          <w:szCs w:val="24"/>
          <w:u w:val="single"/>
          <w:lang w:val="en-US" w:eastAsia="zh-CN" w:bidi="ar-SA"/>
        </w:rPr>
        <w:t>：                          .</w:t>
      </w:r>
    </w:p>
    <w:p w14:paraId="3ABB5D14">
      <w:pPr>
        <w:pStyle w:val="8"/>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项目编号</w:t>
      </w:r>
      <w:r>
        <w:rPr>
          <w:rFonts w:hint="eastAsia" w:ascii="仿宋" w:hAnsi="仿宋" w:eastAsia="仿宋" w:cs="仿宋"/>
          <w:color w:val="auto"/>
          <w:kern w:val="2"/>
          <w:sz w:val="21"/>
          <w:szCs w:val="24"/>
          <w:u w:val="single"/>
          <w:lang w:val="en-US" w:eastAsia="zh-CN" w:bidi="ar-SA"/>
        </w:rPr>
        <w:t>：                          .</w:t>
      </w:r>
    </w:p>
    <w:p w14:paraId="0479DBBC">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合同号</w:t>
      </w:r>
      <w:r>
        <w:rPr>
          <w:rFonts w:hint="eastAsia" w:ascii="仿宋" w:hAnsi="仿宋" w:eastAsia="仿宋" w:cs="仿宋"/>
          <w:color w:val="auto"/>
          <w:kern w:val="2"/>
          <w:sz w:val="21"/>
          <w:szCs w:val="24"/>
          <w:u w:val="single"/>
          <w:lang w:val="en-US" w:eastAsia="zh-CN" w:bidi="ar-SA"/>
        </w:rPr>
        <w:t>：                          .</w:t>
      </w:r>
    </w:p>
    <w:p w14:paraId="4D4F2240">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甲方（买方）</w:t>
      </w:r>
      <w:r>
        <w:rPr>
          <w:rFonts w:hint="eastAsia" w:ascii="仿宋" w:hAnsi="仿宋" w:eastAsia="仿宋" w:cs="仿宋"/>
          <w:color w:val="auto"/>
          <w:kern w:val="2"/>
          <w:sz w:val="21"/>
          <w:szCs w:val="24"/>
          <w:u w:val="single"/>
          <w:lang w:val="en-US" w:eastAsia="zh-CN" w:bidi="ar-SA"/>
        </w:rPr>
        <w:t>：                          .</w:t>
      </w:r>
    </w:p>
    <w:p w14:paraId="142AF99E">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乙方（卖方）</w:t>
      </w:r>
      <w:r>
        <w:rPr>
          <w:rFonts w:hint="eastAsia" w:ascii="仿宋" w:hAnsi="仿宋" w:eastAsia="仿宋" w:cs="仿宋"/>
          <w:color w:val="auto"/>
          <w:kern w:val="2"/>
          <w:sz w:val="21"/>
          <w:szCs w:val="24"/>
          <w:u w:val="single"/>
          <w:lang w:val="en-US" w:eastAsia="zh-CN" w:bidi="ar-SA"/>
        </w:rPr>
        <w:t>：                          .</w:t>
      </w:r>
    </w:p>
    <w:p w14:paraId="5D7C7CA0">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甲、乙双方根据《中华人民共和国民法典》及其他有关</w:t>
      </w:r>
      <w:r>
        <w:rPr>
          <w:rFonts w:hint="eastAsia" w:ascii="仿宋" w:hAnsi="仿宋" w:eastAsia="仿宋" w:cs="仿宋"/>
          <w:color w:val="auto"/>
          <w:kern w:val="2"/>
          <w:sz w:val="21"/>
          <w:szCs w:val="24"/>
          <w:lang w:val="en-US" w:eastAsia="zh-CN" w:bidi="ar-SA"/>
        </w:rPr>
        <w:fldChar w:fldCharType="begin"/>
      </w:r>
      <w:r>
        <w:rPr>
          <w:rFonts w:hint="eastAsia" w:ascii="仿宋" w:hAnsi="仿宋" w:eastAsia="仿宋" w:cs="仿宋"/>
          <w:color w:val="auto"/>
          <w:kern w:val="2"/>
          <w:sz w:val="21"/>
          <w:szCs w:val="24"/>
          <w:lang w:val="en-US" w:eastAsia="zh-CN" w:bidi="ar-SA"/>
        </w:rPr>
        <w:instrText xml:space="preserve"> HYPERLINK "http://www.chinalawedu.com/falvfagui/" \t "_blank" \o "法律法规" </w:instrText>
      </w:r>
      <w:r>
        <w:rPr>
          <w:rFonts w:hint="eastAsia" w:ascii="仿宋" w:hAnsi="仿宋" w:eastAsia="仿宋" w:cs="仿宋"/>
          <w:color w:val="auto"/>
          <w:kern w:val="2"/>
          <w:sz w:val="21"/>
          <w:szCs w:val="24"/>
          <w:lang w:val="en-US" w:eastAsia="zh-CN" w:bidi="ar-SA"/>
        </w:rPr>
        <w:fldChar w:fldCharType="separate"/>
      </w:r>
      <w:r>
        <w:rPr>
          <w:rFonts w:hint="eastAsia" w:ascii="仿宋" w:hAnsi="仿宋" w:eastAsia="仿宋" w:cs="仿宋"/>
          <w:color w:val="auto"/>
          <w:kern w:val="2"/>
          <w:sz w:val="21"/>
          <w:szCs w:val="24"/>
          <w:lang w:val="en-US" w:eastAsia="zh-CN" w:bidi="ar-SA"/>
        </w:rPr>
        <w:t>法律法规</w:t>
      </w:r>
      <w:r>
        <w:rPr>
          <w:rFonts w:hint="eastAsia" w:ascii="仿宋" w:hAnsi="仿宋" w:eastAsia="仿宋" w:cs="仿宋"/>
          <w:color w:val="auto"/>
          <w:kern w:val="2"/>
          <w:sz w:val="21"/>
          <w:szCs w:val="24"/>
          <w:lang w:val="en-US" w:eastAsia="zh-CN" w:bidi="ar-SA"/>
        </w:rPr>
        <w:fldChar w:fldCharType="end"/>
      </w:r>
      <w:r>
        <w:rPr>
          <w:rFonts w:hint="eastAsia" w:ascii="仿宋" w:hAnsi="仿宋" w:eastAsia="仿宋" w:cs="仿宋"/>
          <w:color w:val="auto"/>
          <w:kern w:val="2"/>
          <w:sz w:val="21"/>
          <w:szCs w:val="24"/>
          <w:lang w:val="en-US" w:eastAsia="zh-CN" w:bidi="ar-SA"/>
        </w:rPr>
        <w:t>，遵循平等自愿、公正和诚实信用的原则，双方就建设材料购买事项协商一致，同意按以下条款签订本合同。</w:t>
      </w:r>
    </w:p>
    <w:p w14:paraId="1C9D904F">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一、货物内容（可另附清单）</w:t>
      </w:r>
    </w:p>
    <w:tbl>
      <w:tblPr>
        <w:tblStyle w:val="16"/>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38"/>
        <w:gridCol w:w="1175"/>
        <w:gridCol w:w="1175"/>
        <w:gridCol w:w="1274"/>
        <w:gridCol w:w="1274"/>
        <w:gridCol w:w="1274"/>
      </w:tblGrid>
      <w:tr w14:paraId="0D54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E651E4D">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序号</w:t>
            </w:r>
          </w:p>
        </w:tc>
        <w:tc>
          <w:tcPr>
            <w:tcW w:w="1638" w:type="dxa"/>
            <w:vAlign w:val="center"/>
          </w:tcPr>
          <w:p w14:paraId="7D7977E2">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物品名称</w:t>
            </w:r>
          </w:p>
        </w:tc>
        <w:tc>
          <w:tcPr>
            <w:tcW w:w="1175" w:type="dxa"/>
            <w:vAlign w:val="center"/>
          </w:tcPr>
          <w:p w14:paraId="5E41FEE4">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品牌及规格型号</w:t>
            </w:r>
          </w:p>
        </w:tc>
        <w:tc>
          <w:tcPr>
            <w:tcW w:w="1175" w:type="dxa"/>
            <w:vAlign w:val="center"/>
          </w:tcPr>
          <w:p w14:paraId="5A65A38D">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数量</w:t>
            </w:r>
          </w:p>
        </w:tc>
        <w:tc>
          <w:tcPr>
            <w:tcW w:w="1274" w:type="dxa"/>
            <w:vAlign w:val="center"/>
          </w:tcPr>
          <w:p w14:paraId="2E487DF2">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单位</w:t>
            </w:r>
          </w:p>
        </w:tc>
        <w:tc>
          <w:tcPr>
            <w:tcW w:w="1274" w:type="dxa"/>
            <w:vAlign w:val="center"/>
          </w:tcPr>
          <w:p w14:paraId="4E05B67F">
            <w:pPr>
              <w:keepNext w:val="0"/>
              <w:keepLines w:val="0"/>
              <w:widowControl/>
              <w:suppressLineNumbers w:val="0"/>
              <w:jc w:val="center"/>
              <w:textAlignment w:val="center"/>
              <w:rPr>
                <w:rFonts w:hint="eastAsia" w:ascii="仿宋" w:hAnsi="仿宋" w:eastAsia="仿宋" w:cs="仿宋"/>
                <w:color w:val="auto"/>
                <w:sz w:val="20"/>
                <w:lang w:eastAsia="zh-CN"/>
              </w:rPr>
            </w:pPr>
            <w:r>
              <w:rPr>
                <w:rFonts w:hint="eastAsia" w:ascii="宋体" w:hAnsi="宋体" w:eastAsia="宋体" w:cs="宋体"/>
                <w:b/>
                <w:bCs/>
                <w:i w:val="0"/>
                <w:iCs w:val="0"/>
                <w:color w:val="000000"/>
                <w:kern w:val="0"/>
                <w:sz w:val="22"/>
                <w:szCs w:val="22"/>
                <w:u w:val="none"/>
                <w:lang w:val="en-US" w:eastAsia="zh-CN" w:bidi="ar"/>
              </w:rPr>
              <w:t xml:space="preserve"> 开票税率 </w:t>
            </w:r>
          </w:p>
        </w:tc>
        <w:tc>
          <w:tcPr>
            <w:tcW w:w="1274" w:type="dxa"/>
            <w:vAlign w:val="center"/>
          </w:tcPr>
          <w:p w14:paraId="19B92A76">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下浮率</w:t>
            </w:r>
          </w:p>
        </w:tc>
      </w:tr>
      <w:tr w14:paraId="0C0A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11" w:type="dxa"/>
          </w:tcPr>
          <w:p w14:paraId="332DEFBF">
            <w:pPr>
              <w:pStyle w:val="8"/>
              <w:widowControl w:val="0"/>
              <w:spacing w:before="240" w:line="440" w:lineRule="exact"/>
              <w:jc w:val="center"/>
              <w:rPr>
                <w:rFonts w:hint="eastAsia" w:ascii="仿宋" w:hAnsi="仿宋" w:eastAsia="仿宋" w:cs="仿宋"/>
                <w:color w:val="auto"/>
                <w:sz w:val="20"/>
                <w:lang w:eastAsia="zh-CN"/>
              </w:rPr>
            </w:pPr>
            <w:r>
              <w:rPr>
                <w:rFonts w:hint="eastAsia" w:ascii="仿宋" w:hAnsi="仿宋" w:eastAsia="仿宋" w:cs="仿宋"/>
                <w:color w:val="auto"/>
                <w:sz w:val="20"/>
                <w:lang w:eastAsia="zh-CN"/>
              </w:rPr>
              <w:t>1</w:t>
            </w:r>
          </w:p>
        </w:tc>
        <w:tc>
          <w:tcPr>
            <w:tcW w:w="1638" w:type="dxa"/>
          </w:tcPr>
          <w:p w14:paraId="1DEA622E">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6ABA70D2">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66031FC6">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30A234D4">
            <w:pPr>
              <w:pStyle w:val="8"/>
              <w:widowControl w:val="0"/>
              <w:spacing w:before="240"/>
              <w:jc w:val="center"/>
              <w:rPr>
                <w:rFonts w:hint="eastAsia" w:ascii="仿宋" w:hAnsi="仿宋" w:eastAsia="仿宋" w:cs="仿宋"/>
                <w:color w:val="auto"/>
                <w:sz w:val="20"/>
                <w:lang w:eastAsia="zh-CN"/>
              </w:rPr>
            </w:pPr>
          </w:p>
        </w:tc>
        <w:tc>
          <w:tcPr>
            <w:tcW w:w="1274" w:type="dxa"/>
          </w:tcPr>
          <w:p w14:paraId="348EAFC0">
            <w:pPr>
              <w:pStyle w:val="8"/>
              <w:widowControl w:val="0"/>
              <w:spacing w:before="240"/>
              <w:jc w:val="center"/>
              <w:rPr>
                <w:rFonts w:hint="eastAsia" w:ascii="仿宋" w:hAnsi="仿宋" w:eastAsia="仿宋" w:cs="仿宋"/>
                <w:color w:val="auto"/>
                <w:sz w:val="20"/>
                <w:lang w:eastAsia="zh-CN"/>
              </w:rPr>
            </w:pPr>
          </w:p>
        </w:tc>
        <w:tc>
          <w:tcPr>
            <w:tcW w:w="1274" w:type="dxa"/>
          </w:tcPr>
          <w:p w14:paraId="7DA0A488">
            <w:pPr>
              <w:pStyle w:val="8"/>
              <w:widowControl w:val="0"/>
              <w:spacing w:before="240"/>
              <w:jc w:val="center"/>
              <w:rPr>
                <w:rFonts w:hint="eastAsia" w:ascii="仿宋" w:hAnsi="仿宋" w:eastAsia="仿宋" w:cs="仿宋"/>
                <w:color w:val="auto"/>
                <w:sz w:val="20"/>
                <w:lang w:eastAsia="zh-CN"/>
              </w:rPr>
            </w:pPr>
          </w:p>
        </w:tc>
      </w:tr>
      <w:tr w14:paraId="0E37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1" w:type="dxa"/>
          </w:tcPr>
          <w:p w14:paraId="63508CF9">
            <w:pPr>
              <w:pStyle w:val="8"/>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2</w:t>
            </w:r>
          </w:p>
        </w:tc>
        <w:tc>
          <w:tcPr>
            <w:tcW w:w="1638" w:type="dxa"/>
          </w:tcPr>
          <w:p w14:paraId="3B8D22D7">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17C874B7">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33E36D8F">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136170B3">
            <w:pPr>
              <w:pStyle w:val="8"/>
              <w:widowControl w:val="0"/>
              <w:spacing w:before="240"/>
              <w:jc w:val="center"/>
              <w:rPr>
                <w:rFonts w:hint="eastAsia" w:ascii="仿宋" w:hAnsi="仿宋" w:eastAsia="仿宋" w:cs="仿宋"/>
                <w:color w:val="auto"/>
                <w:sz w:val="20"/>
                <w:lang w:eastAsia="zh-CN"/>
              </w:rPr>
            </w:pPr>
          </w:p>
        </w:tc>
        <w:tc>
          <w:tcPr>
            <w:tcW w:w="1274" w:type="dxa"/>
          </w:tcPr>
          <w:p w14:paraId="699B7DE6">
            <w:pPr>
              <w:pStyle w:val="8"/>
              <w:widowControl w:val="0"/>
              <w:spacing w:before="240"/>
              <w:jc w:val="center"/>
              <w:rPr>
                <w:rFonts w:hint="eastAsia" w:ascii="仿宋" w:hAnsi="仿宋" w:eastAsia="仿宋" w:cs="仿宋"/>
                <w:color w:val="auto"/>
                <w:sz w:val="20"/>
                <w:lang w:eastAsia="zh-CN"/>
              </w:rPr>
            </w:pPr>
          </w:p>
        </w:tc>
        <w:tc>
          <w:tcPr>
            <w:tcW w:w="1274" w:type="dxa"/>
          </w:tcPr>
          <w:p w14:paraId="2D3571A6">
            <w:pPr>
              <w:pStyle w:val="8"/>
              <w:widowControl w:val="0"/>
              <w:spacing w:before="240"/>
              <w:jc w:val="center"/>
              <w:rPr>
                <w:rFonts w:hint="eastAsia" w:ascii="仿宋" w:hAnsi="仿宋" w:eastAsia="仿宋" w:cs="仿宋"/>
                <w:color w:val="auto"/>
                <w:sz w:val="20"/>
                <w:lang w:eastAsia="zh-CN"/>
              </w:rPr>
            </w:pPr>
          </w:p>
        </w:tc>
      </w:tr>
      <w:tr w14:paraId="169A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11" w:type="dxa"/>
          </w:tcPr>
          <w:p w14:paraId="4C39D6AE">
            <w:pPr>
              <w:pStyle w:val="8"/>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3</w:t>
            </w:r>
          </w:p>
        </w:tc>
        <w:tc>
          <w:tcPr>
            <w:tcW w:w="1638" w:type="dxa"/>
          </w:tcPr>
          <w:p w14:paraId="39E7355B">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540A7635">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00C6F4ED">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7FBAE6DC">
            <w:pPr>
              <w:pStyle w:val="8"/>
              <w:widowControl w:val="0"/>
              <w:spacing w:before="240"/>
              <w:jc w:val="center"/>
              <w:rPr>
                <w:rFonts w:hint="eastAsia" w:ascii="仿宋" w:hAnsi="仿宋" w:eastAsia="仿宋" w:cs="仿宋"/>
                <w:color w:val="auto"/>
                <w:sz w:val="20"/>
                <w:lang w:eastAsia="zh-CN"/>
              </w:rPr>
            </w:pPr>
          </w:p>
        </w:tc>
        <w:tc>
          <w:tcPr>
            <w:tcW w:w="1274" w:type="dxa"/>
          </w:tcPr>
          <w:p w14:paraId="35DDF0F9">
            <w:pPr>
              <w:pStyle w:val="8"/>
              <w:widowControl w:val="0"/>
              <w:spacing w:before="240"/>
              <w:jc w:val="center"/>
              <w:rPr>
                <w:rFonts w:hint="eastAsia" w:ascii="仿宋" w:hAnsi="仿宋" w:eastAsia="仿宋" w:cs="仿宋"/>
                <w:color w:val="auto"/>
                <w:sz w:val="20"/>
                <w:lang w:eastAsia="zh-CN"/>
              </w:rPr>
            </w:pPr>
          </w:p>
        </w:tc>
        <w:tc>
          <w:tcPr>
            <w:tcW w:w="1274" w:type="dxa"/>
          </w:tcPr>
          <w:p w14:paraId="4856ED2F">
            <w:pPr>
              <w:pStyle w:val="8"/>
              <w:widowControl w:val="0"/>
              <w:spacing w:before="240"/>
              <w:jc w:val="center"/>
              <w:rPr>
                <w:rFonts w:hint="eastAsia" w:ascii="仿宋" w:hAnsi="仿宋" w:eastAsia="仿宋" w:cs="仿宋"/>
                <w:color w:val="auto"/>
                <w:sz w:val="20"/>
                <w:lang w:eastAsia="zh-CN"/>
              </w:rPr>
            </w:pPr>
          </w:p>
        </w:tc>
      </w:tr>
    </w:tbl>
    <w:p w14:paraId="2E809BBF">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注：乙方的报价包括材料价款、人工费、包装费、运输费、装卸费、安装费、损耗费、检测费、验收费（含第三方验收）、技术服务（包括技术资料的提供）、培训、售后服务、服务期保障、保险费、利润、税金、以及完成本次采购项目所需的所有费用在内的交货价。</w:t>
      </w:r>
    </w:p>
    <w:p w14:paraId="4918675B">
      <w:pPr>
        <w:pStyle w:val="8"/>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二、供货时间、地点、方式</w:t>
      </w:r>
    </w:p>
    <w:p w14:paraId="631A4A60">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1、供货时间：合同签订后40个自然日内竣工验收完成，并向采购人提交竣工结算资料。</w:t>
      </w:r>
    </w:p>
    <w:p w14:paraId="2C3679D7">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2、材料交货地点和方式：乙方负责将材料运送到甲方指定地点交货，并提供产品生产合格证，运输费用由乙方承担。</w:t>
      </w:r>
    </w:p>
    <w:p w14:paraId="5851BF2C">
      <w:pPr>
        <w:pStyle w:val="8"/>
        <w:spacing w:line="440" w:lineRule="exact"/>
        <w:ind w:left="359" w:hanging="410" w:hangingChars="171"/>
        <w:rPr>
          <w:rFonts w:ascii="仿宋" w:hAnsi="仿宋" w:eastAsia="仿宋" w:cs="仿宋"/>
          <w:color w:val="auto"/>
          <w:lang w:eastAsia="zh-CN"/>
        </w:rPr>
      </w:pPr>
      <w:r>
        <w:rPr>
          <w:rFonts w:hint="eastAsia" w:ascii="仿宋" w:hAnsi="仿宋" w:eastAsia="仿宋" w:cs="仿宋"/>
          <w:color w:val="auto"/>
          <w:lang w:eastAsia="zh-CN"/>
        </w:rPr>
        <w:t>三、知识产权</w:t>
      </w:r>
    </w:p>
    <w:p w14:paraId="22CA5F48">
      <w:pPr>
        <w:pStyle w:val="8"/>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kern w:val="2"/>
          <w:sz w:val="21"/>
          <w:szCs w:val="24"/>
          <w:lang w:val="en-US" w:eastAsia="zh-CN" w:bidi="ar-SA"/>
        </w:rPr>
        <w:t>乙方应保证所提供的货物</w:t>
      </w:r>
      <w:r>
        <w:rPr>
          <w:rFonts w:hint="eastAsia" w:ascii="仿宋" w:hAnsi="仿宋" w:eastAsia="仿宋" w:cs="仿宋"/>
          <w:color w:val="auto"/>
          <w:kern w:val="2"/>
          <w:sz w:val="21"/>
          <w:szCs w:val="24"/>
          <w:lang w:val="en-US" w:eastAsia="zh-Hans" w:bidi="ar-SA"/>
        </w:rPr>
        <w:t>、服务</w:t>
      </w:r>
      <w:r>
        <w:rPr>
          <w:rFonts w:hint="eastAsia" w:ascii="仿宋" w:hAnsi="仿宋" w:eastAsia="仿宋" w:cs="仿宋"/>
          <w:color w:val="auto"/>
          <w:kern w:val="2"/>
          <w:sz w:val="21"/>
          <w:szCs w:val="24"/>
          <w:lang w:val="en-US" w:eastAsia="zh-CN" w:bidi="ar-SA"/>
        </w:rPr>
        <w:t>或其任何一部分均不会侵犯任何第三方的知识产权等合法权益。</w:t>
      </w:r>
      <w:r>
        <w:rPr>
          <w:rFonts w:hint="eastAsia" w:ascii="仿宋" w:hAnsi="仿宋" w:eastAsia="仿宋" w:cs="仿宋"/>
          <w:color w:val="auto"/>
          <w:kern w:val="2"/>
          <w:sz w:val="21"/>
          <w:szCs w:val="24"/>
          <w:lang w:val="en-US" w:eastAsia="zh-Hans" w:bidi="ar-SA"/>
        </w:rPr>
        <w:t>若乙方</w:t>
      </w:r>
      <w:r>
        <w:rPr>
          <w:rFonts w:hint="eastAsia" w:ascii="仿宋" w:hAnsi="仿宋" w:eastAsia="仿宋" w:cs="仿宋"/>
          <w:color w:val="auto"/>
          <w:kern w:val="2"/>
          <w:sz w:val="21"/>
          <w:szCs w:val="24"/>
          <w:lang w:val="en-US" w:eastAsia="zh-CN" w:bidi="ar-SA"/>
        </w:rPr>
        <w:t>提供的货物</w:t>
      </w:r>
      <w:r>
        <w:rPr>
          <w:rFonts w:hint="eastAsia" w:ascii="仿宋" w:hAnsi="仿宋" w:eastAsia="仿宋" w:cs="仿宋"/>
          <w:color w:val="auto"/>
          <w:kern w:val="2"/>
          <w:sz w:val="21"/>
          <w:szCs w:val="24"/>
          <w:lang w:val="en-US" w:eastAsia="zh-Hans" w:bidi="ar-SA"/>
        </w:rPr>
        <w:t>存在部分或全部侵犯任何一方知识产权的情形的，属于根本违约，乙方需赔</w:t>
      </w:r>
      <w:r>
        <w:rPr>
          <w:rFonts w:hint="eastAsia" w:ascii="仿宋" w:hAnsi="仿宋" w:eastAsia="仿宋" w:cs="仿宋"/>
          <w:color w:val="auto"/>
          <w:kern w:val="2"/>
          <w:sz w:val="21"/>
          <w:szCs w:val="24"/>
          <w:lang w:val="en-US" w:eastAsia="zh-CN" w:bidi="ar-SA"/>
        </w:rPr>
        <w:t>所涉标的物（价值）的30%作为</w:t>
      </w:r>
      <w:r>
        <w:rPr>
          <w:rFonts w:hint="eastAsia" w:ascii="仿宋" w:hAnsi="仿宋" w:eastAsia="仿宋" w:cs="仿宋"/>
          <w:color w:val="auto"/>
          <w:kern w:val="2"/>
          <w:sz w:val="21"/>
          <w:szCs w:val="24"/>
          <w:lang w:val="en-US" w:eastAsia="zh-Hans" w:bidi="ar-SA"/>
        </w:rPr>
        <w:t>违约金。甲方受损失额超过违约金的，乙方还需按实际损失赔偿给甲方。乙方提供的货物及其任何一部分侵犯任何第三方的知识产权的，所产生的纠纷和赔偿由乙方承担，与甲方无关。</w:t>
      </w:r>
    </w:p>
    <w:p w14:paraId="01A3A9DF">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四、产权担保</w:t>
      </w:r>
    </w:p>
    <w:p w14:paraId="36CE3137">
      <w:pPr>
        <w:pStyle w:val="8"/>
        <w:spacing w:line="440" w:lineRule="exact"/>
        <w:ind w:firstLine="420" w:firstLineChars="200"/>
        <w:rPr>
          <w:rFonts w:hint="eastAsia" w:ascii="仿宋" w:hAnsi="仿宋" w:eastAsia="仿宋" w:cs="仿宋"/>
          <w:color w:val="auto"/>
          <w:kern w:val="2"/>
          <w:sz w:val="21"/>
          <w:szCs w:val="24"/>
          <w:lang w:val="en-US" w:eastAsia="zh-Hans" w:bidi="ar-SA"/>
        </w:rPr>
      </w:pPr>
      <w:r>
        <w:rPr>
          <w:rFonts w:hint="eastAsia" w:ascii="仿宋" w:hAnsi="仿宋" w:eastAsia="仿宋" w:cs="仿宋"/>
          <w:color w:val="auto"/>
          <w:kern w:val="2"/>
          <w:sz w:val="21"/>
          <w:szCs w:val="24"/>
          <w:lang w:val="en-US" w:eastAsia="zh-Hans" w:bidi="ar-SA"/>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color w:val="auto"/>
          <w:kern w:val="2"/>
          <w:sz w:val="21"/>
          <w:szCs w:val="24"/>
          <w:lang w:val="en-US" w:eastAsia="zh-CN" w:bidi="ar-SA"/>
        </w:rPr>
        <w:t>所涉标的物（价值）的10%作为</w:t>
      </w:r>
      <w:r>
        <w:rPr>
          <w:rFonts w:hint="eastAsia" w:ascii="仿宋" w:hAnsi="仿宋" w:eastAsia="仿宋" w:cs="仿宋"/>
          <w:color w:val="auto"/>
          <w:kern w:val="2"/>
          <w:sz w:val="21"/>
          <w:szCs w:val="24"/>
          <w:lang w:val="en-US" w:eastAsia="zh-Hans" w:bidi="ar-SA"/>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367EBE1D">
      <w:pPr>
        <w:pStyle w:val="8"/>
        <w:spacing w:line="440" w:lineRule="exact"/>
        <w:ind w:left="357" w:hanging="408" w:hangingChars="170"/>
        <w:rPr>
          <w:rFonts w:ascii="仿宋" w:hAnsi="仿宋" w:eastAsia="仿宋" w:cs="仿宋"/>
          <w:color w:val="auto"/>
          <w:lang w:eastAsia="zh-CN"/>
        </w:rPr>
      </w:pPr>
      <w:r>
        <w:rPr>
          <w:rFonts w:hint="eastAsia" w:ascii="仿宋" w:hAnsi="仿宋" w:eastAsia="仿宋" w:cs="仿宋"/>
          <w:color w:val="auto"/>
          <w:lang w:eastAsia="zh-CN"/>
        </w:rPr>
        <w:t>五、履约保证金</w:t>
      </w:r>
    </w:p>
    <w:p w14:paraId="53CD84BF">
      <w:pPr>
        <w:rPr>
          <w:rFonts w:ascii="宋体" w:hAnsi="宋体" w:eastAsia="宋体" w:cs="宋体"/>
          <w:snapToGrid/>
          <w:sz w:val="22"/>
          <w:szCs w:val="22"/>
          <w:lang w:eastAsia="zh-CN"/>
        </w:rPr>
      </w:pPr>
      <w:r>
        <w:rPr>
          <w:rFonts w:hint="eastAsia" w:ascii="仿宋" w:hAnsi="仿宋" w:eastAsia="仿宋" w:cs="仿宋"/>
          <w:color w:val="auto"/>
          <w:lang w:eastAsia="zh-CN"/>
        </w:rPr>
        <w:t>乙方在</w:t>
      </w:r>
      <w:r>
        <w:rPr>
          <w:rFonts w:hint="eastAsia" w:ascii="仿宋" w:hAnsi="仿宋" w:eastAsia="仿宋" w:cs="仿宋"/>
          <w:color w:val="auto"/>
          <w:lang w:eastAsia="zh-Hans"/>
        </w:rPr>
        <w:t>与甲方</w:t>
      </w:r>
      <w:r>
        <w:rPr>
          <w:rFonts w:hint="eastAsia" w:ascii="仿宋" w:hAnsi="仿宋" w:eastAsia="仿宋" w:cs="仿宋"/>
          <w:color w:val="auto"/>
          <w:lang w:eastAsia="zh-CN"/>
        </w:rPr>
        <w:t>签订合同前，应向甲方缴纳履约保证金，履约保证金的金额为</w:t>
      </w:r>
      <w:r>
        <w:rPr>
          <w:rFonts w:hint="eastAsia" w:ascii="仿宋" w:hAnsi="仿宋" w:eastAsia="仿宋" w:cs="仿宋"/>
          <w:color w:val="auto"/>
          <w:highlight w:val="none"/>
          <w:lang w:eastAsia="zh-CN"/>
        </w:rPr>
        <w:t>大写：</w:t>
      </w:r>
      <w:r>
        <w:rPr>
          <w:rFonts w:hint="eastAsia" w:ascii="仿宋" w:hAnsi="仿宋" w:eastAsia="仿宋" w:cs="仿宋"/>
          <w:color w:val="auto"/>
          <w:highlight w:val="none"/>
          <w:lang w:val="en-US" w:eastAsia="zh-CN"/>
        </w:rPr>
        <w:t>叁万玖仟肆佰元整</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39400</w:t>
      </w:r>
      <w:r>
        <w:rPr>
          <w:rFonts w:hint="eastAsia" w:ascii="仿宋" w:hAnsi="仿宋" w:eastAsia="仿宋" w:cs="仿宋"/>
          <w:color w:val="auto"/>
          <w:highlight w:val="none"/>
          <w:lang w:eastAsia="zh-CN"/>
        </w:rPr>
        <w:t>元（</w:t>
      </w:r>
      <w:r>
        <w:rPr>
          <w:rFonts w:hint="eastAsia" w:ascii="仿宋" w:hAnsi="仿宋" w:eastAsia="仿宋" w:cs="仿宋"/>
          <w:b/>
          <w:highlight w:val="none"/>
          <w:lang w:val="en-US" w:eastAsia="zh-CN"/>
        </w:rPr>
        <w:t>采购预算价</w:t>
      </w:r>
      <w:r>
        <w:rPr>
          <w:rFonts w:hint="eastAsia" w:ascii="仿宋" w:hAnsi="仿宋" w:eastAsia="仿宋" w:cs="仿宋"/>
          <w:b/>
          <w:highlight w:val="none"/>
          <w:lang w:eastAsia="zh-CN"/>
        </w:rPr>
        <w:t>的2%。</w:t>
      </w:r>
      <w:r>
        <w:rPr>
          <w:rFonts w:hint="eastAsia" w:ascii="仿宋" w:hAnsi="仿宋" w:eastAsia="仿宋" w:cs="仿宋"/>
          <w:color w:val="auto"/>
          <w:highlight w:val="none"/>
          <w:lang w:eastAsia="zh-CN"/>
        </w:rPr>
        <w:t>）。履约保证金在本项目</w:t>
      </w:r>
      <w:r>
        <w:rPr>
          <w:rFonts w:hint="eastAsia" w:ascii="仿宋" w:hAnsi="仿宋" w:eastAsia="仿宋" w:cs="仿宋"/>
          <w:color w:val="auto"/>
          <w:highlight w:val="none"/>
          <w:lang w:val="en-US" w:eastAsia="zh-Hans"/>
        </w:rPr>
        <w:t>所涉工程项目</w:t>
      </w:r>
      <w:r>
        <w:rPr>
          <w:rFonts w:hint="eastAsia" w:ascii="仿宋" w:hAnsi="仿宋" w:eastAsia="仿宋" w:cs="仿宋"/>
          <w:color w:val="auto"/>
          <w:highlight w:val="none"/>
          <w:lang w:eastAsia="zh-CN"/>
        </w:rPr>
        <w:t>竣工验收通过并</w:t>
      </w:r>
      <w:r>
        <w:rPr>
          <w:rFonts w:hint="eastAsia" w:ascii="仿宋" w:hAnsi="仿宋" w:eastAsia="仿宋" w:cs="仿宋"/>
          <w:color w:val="auto"/>
          <w:highlight w:val="none"/>
          <w:lang w:eastAsia="zh-Hans"/>
        </w:rPr>
        <w:t>扣除相应违约金等费用后（如有）</w:t>
      </w:r>
      <w:r>
        <w:rPr>
          <w:rFonts w:hint="eastAsia" w:ascii="仿宋" w:hAnsi="仿宋" w:eastAsia="仿宋" w:cs="仿宋"/>
          <w:color w:val="auto"/>
          <w:highlight w:val="none"/>
          <w:lang w:eastAsia="zh-CN"/>
        </w:rPr>
        <w:t>按合同约定退还(无息)。</w:t>
      </w:r>
    </w:p>
    <w:p w14:paraId="0A86081E">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六、转包或分包</w:t>
      </w:r>
    </w:p>
    <w:p w14:paraId="433AFFA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1.本合同范围的货物，应由乙方直接供应，不得转让他人供应；</w:t>
      </w:r>
    </w:p>
    <w:p w14:paraId="32E476F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2.除非得到甲方的书面同意，乙方不得将本合同范围的货物全部或部分分包给他人供应；</w:t>
      </w:r>
    </w:p>
    <w:p w14:paraId="5A3D952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3、如有转让和未经甲方书面同意的分包行为，甲方有权解除合同，没收履约保证金并追究乙方的违约责任，</w:t>
      </w:r>
      <w:r>
        <w:rPr>
          <w:rFonts w:hint="eastAsia" w:ascii="仿宋" w:hAnsi="仿宋" w:eastAsia="仿宋" w:cs="仿宋"/>
          <w:color w:val="auto"/>
          <w:lang w:eastAsia="zh-Hans"/>
        </w:rPr>
        <w:t>乙方还需退还甲方已支付的全部货款</w:t>
      </w:r>
      <w:r>
        <w:rPr>
          <w:rFonts w:hint="eastAsia" w:ascii="仿宋" w:hAnsi="仿宋" w:eastAsia="仿宋" w:cs="仿宋"/>
          <w:color w:val="auto"/>
          <w:lang w:eastAsia="zh-CN"/>
        </w:rPr>
        <w:t>。</w:t>
      </w:r>
    </w:p>
    <w:p w14:paraId="789F5503">
      <w:pPr>
        <w:spacing w:line="440" w:lineRule="exact"/>
        <w:rPr>
          <w:rFonts w:ascii="仿宋" w:hAnsi="仿宋" w:eastAsia="仿宋" w:cs="仿宋"/>
          <w:color w:val="auto"/>
          <w:lang w:eastAsia="zh-CN"/>
        </w:rPr>
      </w:pPr>
      <w:r>
        <w:rPr>
          <w:rFonts w:hint="eastAsia" w:ascii="仿宋" w:hAnsi="仿宋" w:eastAsia="仿宋" w:cs="仿宋"/>
          <w:color w:val="auto"/>
          <w:lang w:eastAsia="zh-CN"/>
        </w:rPr>
        <w:t>七、付款及结算方式</w:t>
      </w:r>
    </w:p>
    <w:p w14:paraId="1ED8E038">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1、乙方的报价是履行合同的最终价格，包含材料（含运输费、装卸费、运输保险费）、安装、税金、招标代理服务费等各项交付甲方使用的一切所有费用。</w:t>
      </w:r>
    </w:p>
    <w:p w14:paraId="509A54F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2、甲方每次付款前，乙方需提供合法有效、等额、税率为13%的增值税专用发票，否则，甲方有权顺延付款时间，且乙方不得以此为由拒绝或延迟履行本合同项下义务。</w:t>
      </w:r>
    </w:p>
    <w:p w14:paraId="37AAA57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甲方根据现场施工进度向乙方书面下单清单中的建设材料，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47B2CFFD">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 xml:space="preserve">4、付款方式为： </w:t>
      </w:r>
      <w:r>
        <w:rPr>
          <w:rFonts w:hint="eastAsia" w:ascii="仿宋" w:hAnsi="仿宋" w:eastAsia="仿宋" w:cs="仿宋"/>
          <w:color w:val="auto"/>
          <w:u w:val="single"/>
          <w:lang w:eastAsia="zh-CN"/>
        </w:rPr>
        <w:t>合同签订后支付采购预算价的30%，材料进场后支付至采购预算价的60%，项目竣工验收完成并向采购人提交竣工结算资料后支付至采购预算价的75%，项目审计结算完成后支付至最终结算款的97.5%，最终结算款的2.5%作为质保金待质保期结束后无质量问题或使用问题后付清（无息），如材料存在质量问题或后续保修，则相应扣除质保金，质保金扣除不足部分，则由乙方补足。供应商收款前须提供支付金额准确的13%增值税专用发票，否则采购人有权不予支付。</w:t>
      </w:r>
    </w:p>
    <w:p w14:paraId="469BCE61">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u w:val="single"/>
          <w:lang w:eastAsia="zh-CN"/>
        </w:rPr>
        <w:t>注：按付款方式及报价明细中标人及时开具并交付13%增值税发票给发包人，合同款项存在由第三方公司支付的可能性</w:t>
      </w:r>
      <w:r>
        <w:rPr>
          <w:rFonts w:hint="eastAsia" w:ascii="仿宋" w:hAnsi="仿宋" w:eastAsia="仿宋" w:cs="仿宋"/>
          <w:color w:val="auto"/>
          <w:u w:val="single"/>
          <w:lang w:eastAsia="zh-Hans"/>
        </w:rPr>
        <w:t>，</w:t>
      </w:r>
      <w:r>
        <w:rPr>
          <w:rFonts w:hint="eastAsia" w:ascii="仿宋" w:hAnsi="仿宋" w:eastAsia="仿宋" w:cs="仿宋"/>
          <w:color w:val="auto"/>
          <w:u w:val="single"/>
          <w:lang w:val="en-US" w:eastAsia="zh-Hans"/>
        </w:rPr>
        <w:t>乙方对此知悉并认可</w:t>
      </w:r>
      <w:r>
        <w:rPr>
          <w:rFonts w:hint="eastAsia" w:ascii="仿宋" w:hAnsi="仿宋" w:eastAsia="仿宋" w:cs="仿宋"/>
          <w:color w:val="auto"/>
          <w:u w:val="single"/>
          <w:lang w:eastAsia="zh-CN"/>
        </w:rPr>
        <w:t>。</w:t>
      </w:r>
    </w:p>
    <w:p w14:paraId="740C435B">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5.结算方式：以</w:t>
      </w:r>
      <w:r>
        <w:rPr>
          <w:rFonts w:hint="eastAsia" w:ascii="仿宋" w:hAnsi="仿宋" w:eastAsia="仿宋" w:cs="仿宋"/>
          <w:color w:val="auto"/>
          <w:lang w:val="en-US" w:eastAsia="zh-CN"/>
        </w:rPr>
        <w:t>甲方</w:t>
      </w:r>
      <w:r>
        <w:rPr>
          <w:rFonts w:hint="eastAsia" w:ascii="仿宋" w:hAnsi="仿宋" w:eastAsia="仿宋" w:cs="仿宋"/>
          <w:color w:val="auto"/>
          <w:lang w:eastAsia="zh-CN"/>
        </w:rPr>
        <w:t>委托的第三方审计公司出具的审计价为基准价×中标下浮率-其他扣款（如有）进行结算。</w:t>
      </w:r>
    </w:p>
    <w:p w14:paraId="50ADE39E">
      <w:pPr>
        <w:spacing w:line="440" w:lineRule="exact"/>
        <w:rPr>
          <w:rFonts w:ascii="仿宋" w:hAnsi="仿宋" w:eastAsia="仿宋" w:cs="仿宋"/>
          <w:color w:val="auto"/>
          <w:lang w:eastAsia="zh-CN"/>
        </w:rPr>
      </w:pPr>
      <w:r>
        <w:rPr>
          <w:rFonts w:hint="eastAsia" w:ascii="仿宋" w:hAnsi="仿宋" w:eastAsia="仿宋" w:cs="仿宋"/>
          <w:color w:val="auto"/>
          <w:lang w:eastAsia="zh-CN"/>
        </w:rPr>
        <w:t>八、合同期限</w:t>
      </w:r>
    </w:p>
    <w:p w14:paraId="7C146FC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1.合同期限：</w:t>
      </w:r>
      <w:r>
        <w:rPr>
          <w:rFonts w:hint="eastAsia" w:ascii="仿宋" w:hAnsi="仿宋" w:eastAsia="仿宋" w:cs="仿宋"/>
          <w:color w:val="auto"/>
          <w:u w:val="single"/>
          <w:lang w:eastAsia="zh-CN"/>
        </w:rPr>
        <w:t>合同经双方法定代表人或授权代表签字并加盖单位公章后生效，合同期限为   年   月   日-    年   月   日。</w:t>
      </w:r>
    </w:p>
    <w:p w14:paraId="53D6BB8B">
      <w:pPr>
        <w:spacing w:line="440" w:lineRule="exact"/>
        <w:rPr>
          <w:rFonts w:ascii="仿宋" w:hAnsi="仿宋" w:eastAsia="仿宋" w:cs="仿宋"/>
          <w:color w:val="auto"/>
          <w:lang w:eastAsia="zh-CN"/>
        </w:rPr>
      </w:pPr>
      <w:r>
        <w:rPr>
          <w:rFonts w:hint="eastAsia" w:ascii="仿宋" w:hAnsi="仿宋" w:eastAsia="仿宋" w:cs="仿宋"/>
          <w:color w:val="auto"/>
          <w:lang w:eastAsia="zh-CN"/>
        </w:rPr>
        <w:t>九、税费</w:t>
      </w:r>
    </w:p>
    <w:p w14:paraId="2139250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本合同执行中相关的一切税费均由乙方负担，适用税率应按照相关法律法规的规定为准。</w:t>
      </w:r>
    </w:p>
    <w:p w14:paraId="5C37EF56">
      <w:pPr>
        <w:numPr>
          <w:ilvl w:val="0"/>
          <w:numId w:val="1"/>
        </w:numPr>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质保期</w:t>
      </w:r>
    </w:p>
    <w:p w14:paraId="33729D87">
      <w:pPr>
        <w:numPr>
          <w:ilvl w:val="0"/>
          <w:numId w:val="0"/>
        </w:num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本项目质保期</w:t>
      </w:r>
      <w:r>
        <w:rPr>
          <w:rFonts w:hint="eastAsia" w:ascii="仿宋" w:hAnsi="仿宋" w:eastAsia="仿宋" w:cs="仿宋"/>
          <w:color w:val="auto"/>
          <w:lang w:eastAsia="zh-CN"/>
        </w:rPr>
        <w:t>：2年</w:t>
      </w:r>
    </w:p>
    <w:p w14:paraId="2AB1BFD0">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十一、售后服务及承诺</w:t>
      </w:r>
    </w:p>
    <w:p w14:paraId="4C7AE0BA">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1．乙方应明确承诺售后服务各项内容和措施，提供详细的服务地点、联系人、电话等有关资料；</w:t>
      </w:r>
    </w:p>
    <w:p w14:paraId="5E2CFC8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2．在售后服务期内，因货物的维修和保养所发生的一切费用均由乙方承担；售后服务期满后只收取维修的配件成本费。</w:t>
      </w:r>
    </w:p>
    <w:p w14:paraId="7419896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3.乙方在收到甲方维修通知后必须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小时之内及时进行现场响应。</w:t>
      </w:r>
    </w:p>
    <w:p w14:paraId="1A4E2E4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4.售后服务期与售后服务期承诺时间相同。</w:t>
      </w:r>
    </w:p>
    <w:p w14:paraId="4BFFA01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5、质保期后产品维修材料的供应价格不高于市场报价。</w:t>
      </w:r>
    </w:p>
    <w:p w14:paraId="5B1BF7B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6、由于材料本身缺陷造成的质量问题，即使质保期已过，乙方也必须免费及时解决该质量问题，并应赔偿甲方因该质量问题遭受到的损失。</w:t>
      </w:r>
    </w:p>
    <w:p w14:paraId="7B3E1013">
      <w:pPr>
        <w:spacing w:line="440" w:lineRule="exact"/>
        <w:rPr>
          <w:rFonts w:ascii="仿宋" w:hAnsi="仿宋" w:eastAsia="仿宋" w:cs="仿宋"/>
          <w:color w:val="auto"/>
          <w:lang w:eastAsia="zh-CN"/>
        </w:rPr>
      </w:pPr>
      <w:r>
        <w:rPr>
          <w:rFonts w:hint="eastAsia" w:ascii="仿宋" w:hAnsi="仿宋" w:eastAsia="仿宋" w:cs="仿宋"/>
          <w:color w:val="auto"/>
          <w:lang w:eastAsia="zh-CN"/>
        </w:rPr>
        <w:t>备件：</w:t>
      </w:r>
    </w:p>
    <w:p w14:paraId="20569D9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正如合同条款所规定，乙方可能被要求提供下列与备件有关的材料、通知和资料：</w:t>
      </w:r>
    </w:p>
    <w:p w14:paraId="0361FFE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1．甲方从乙方选购备件，但前提条件是该选择并不能免除乙方在合同保证期内所承担的义务；</w:t>
      </w:r>
    </w:p>
    <w:p w14:paraId="5146FE6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2．在备件停产的情况下，乙方应</w:t>
      </w:r>
      <w:r>
        <w:rPr>
          <w:rFonts w:hint="eastAsia" w:ascii="仿宋" w:hAnsi="仿宋" w:eastAsia="仿宋" w:cs="仿宋"/>
          <w:color w:val="auto"/>
          <w:lang w:eastAsia="zh-Hans"/>
        </w:rPr>
        <w:t>至少提前</w:t>
      </w:r>
      <w:r>
        <w:rPr>
          <w:rFonts w:hint="eastAsia" w:ascii="仿宋" w:hAnsi="仿宋" w:eastAsia="仿宋" w:cs="仿宋"/>
          <w:color w:val="auto"/>
          <w:u w:val="single"/>
          <w:lang w:eastAsia="zh-CN"/>
        </w:rPr>
        <w:t>30</w:t>
      </w:r>
      <w:r>
        <w:rPr>
          <w:rFonts w:hint="eastAsia" w:ascii="仿宋" w:hAnsi="仿宋" w:eastAsia="仿宋" w:cs="仿宋"/>
          <w:color w:val="auto"/>
          <w:lang w:eastAsia="zh-Hans"/>
        </w:rPr>
        <w:t>日将</w:t>
      </w:r>
      <w:r>
        <w:rPr>
          <w:rFonts w:hint="eastAsia" w:ascii="仿宋" w:hAnsi="仿宋" w:eastAsia="仿宋" w:cs="仿宋"/>
          <w:color w:val="auto"/>
          <w:lang w:eastAsia="zh-CN"/>
        </w:rPr>
        <w:t>要停止生产的计划通知甲方使甲方有足够的时间采购所需的备件；</w:t>
      </w:r>
    </w:p>
    <w:p w14:paraId="7EAE277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3．在备件停产后，如果甲方要求，乙方应免费向甲方提供备件的蓝图等相关技术资料。</w:t>
      </w:r>
    </w:p>
    <w:p w14:paraId="68E736F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十二、技术质量保证</w:t>
      </w:r>
    </w:p>
    <w:p w14:paraId="5B2AE3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1．乙方应保证提供的货物完全符合规定的质量、规格和性能的要求。乙方应保证货物经过正常使用和保养条件下，在其使用寿命内应具有满意的性能。</w:t>
      </w:r>
    </w:p>
    <w:p w14:paraId="198C18A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2．合同货物提交前，乙方应将其有关技术资料一套，如使用指南或服务手册和示意图提交给甲方；</w:t>
      </w:r>
    </w:p>
    <w:p w14:paraId="7430986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3．售后服务期以项目到货并经招标人组织验收合格起计算；</w:t>
      </w:r>
    </w:p>
    <w:p w14:paraId="6F56322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4．乙方对提供的货物执行一定的保质期限，乙方应对保质期内由于货物的缺陷（非</w:t>
      </w:r>
      <w:r>
        <w:rPr>
          <w:rFonts w:hint="eastAsia" w:ascii="仿宋" w:hAnsi="仿宋" w:eastAsia="仿宋" w:cs="仿宋"/>
          <w:color w:val="auto"/>
          <w:lang w:val="en-US" w:eastAsia="zh-CN"/>
        </w:rPr>
        <w:t>乙方</w:t>
      </w:r>
      <w:r>
        <w:rPr>
          <w:rFonts w:hint="eastAsia" w:ascii="仿宋" w:hAnsi="仿宋" w:eastAsia="仿宋" w:cs="仿宋"/>
          <w:color w:val="auto"/>
          <w:lang w:eastAsia="zh-CN"/>
        </w:rPr>
        <w:t>因素）而引发的任何不足负责，费用由乙方承担；</w:t>
      </w:r>
    </w:p>
    <w:p w14:paraId="2FD20DF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5．甲方应尽快以书面形式通知乙方由于货物缺陷而发生的索赔；</w:t>
      </w:r>
    </w:p>
    <w:p w14:paraId="54ECF8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6．乙方在收到通知后3天内应免费更换有缺陷的材料；</w:t>
      </w:r>
    </w:p>
    <w:p w14:paraId="5C33ED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7．如果乙方在收到通知后3天内没有弥补缺陷，甲方可采取必要的补救措施，但风险和费用将由乙方负责。</w:t>
      </w:r>
    </w:p>
    <w:p w14:paraId="7B651B1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十三、验收</w:t>
      </w:r>
    </w:p>
    <w:p w14:paraId="609481E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75CC76E2">
      <w:pPr>
        <w:spacing w:line="440" w:lineRule="exact"/>
        <w:rPr>
          <w:rFonts w:ascii="仿宋" w:hAnsi="仿宋" w:eastAsia="仿宋" w:cs="仿宋"/>
          <w:color w:val="auto"/>
          <w:lang w:eastAsia="zh-CN"/>
        </w:rPr>
      </w:pPr>
      <w:r>
        <w:rPr>
          <w:rFonts w:hint="eastAsia" w:ascii="仿宋" w:hAnsi="仿宋" w:eastAsia="仿宋" w:cs="仿宋"/>
          <w:color w:val="auto"/>
          <w:lang w:eastAsia="zh-CN"/>
        </w:rPr>
        <w:t>十四、货物包装、发运及运输</w:t>
      </w:r>
    </w:p>
    <w:p w14:paraId="748AEC1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乙方应在货物发运前对其进行满足运输距离、防潮、防震、防锈和防破损装卸</w:t>
      </w:r>
    </w:p>
    <w:p w14:paraId="5192BC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等要求包装，以保证货物安全运达甲方指定地点。</w:t>
      </w:r>
    </w:p>
    <w:p w14:paraId="3E77B5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使用说明书、质量检验证明书、随配附件和工具以及清单一并附于货物内。</w:t>
      </w:r>
    </w:p>
    <w:p w14:paraId="1902DA3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乙方在货物发运手续办理完毕后24小时内或货到甲方48小时前通知甲方，以准备接货。</w:t>
      </w:r>
    </w:p>
    <w:p w14:paraId="544E45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 货物在经甲方验收</w:t>
      </w:r>
      <w:r>
        <w:rPr>
          <w:rFonts w:hint="eastAsia" w:ascii="仿宋" w:hAnsi="仿宋" w:eastAsia="仿宋" w:cs="仿宋"/>
          <w:color w:val="auto"/>
          <w:lang w:eastAsia="zh-Hans"/>
        </w:rPr>
        <w:t>通过</w:t>
      </w:r>
      <w:r>
        <w:rPr>
          <w:rFonts w:hint="eastAsia" w:ascii="仿宋" w:hAnsi="仿宋" w:eastAsia="仿宋" w:cs="仿宋"/>
          <w:color w:val="auto"/>
          <w:lang w:eastAsia="zh-CN"/>
        </w:rPr>
        <w:t>前发生的风险均由乙方负责。</w:t>
      </w:r>
    </w:p>
    <w:p w14:paraId="00B50A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 货物在规定的交付期限内由乙方送达甲方指定的地点</w:t>
      </w:r>
      <w:r>
        <w:rPr>
          <w:rFonts w:hint="eastAsia" w:ascii="仿宋" w:hAnsi="仿宋" w:eastAsia="仿宋" w:cs="仿宋"/>
          <w:color w:val="auto"/>
          <w:lang w:eastAsia="zh-Hans"/>
        </w:rPr>
        <w:t>并经甲方初步验收后</w:t>
      </w:r>
      <w:r>
        <w:rPr>
          <w:rFonts w:hint="eastAsia" w:ascii="仿宋" w:hAnsi="仿宋" w:eastAsia="仿宋" w:cs="仿宋"/>
          <w:color w:val="auto"/>
          <w:lang w:eastAsia="zh-CN"/>
        </w:rPr>
        <w:t>视为交付，乙方同时需负责卸货并通知甲方货物已送达。</w:t>
      </w:r>
      <w:r>
        <w:rPr>
          <w:rFonts w:hint="eastAsia" w:ascii="仿宋" w:hAnsi="仿宋" w:eastAsia="仿宋" w:cs="仿宋"/>
          <w:color w:val="auto"/>
          <w:lang w:eastAsia="zh-Hans"/>
        </w:rPr>
        <w:t>甲方对货物的初步验收并不免除乙方对货物负有的质量保证责任。</w:t>
      </w:r>
    </w:p>
    <w:p w14:paraId="739681CF">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Hans"/>
        </w:rPr>
        <w:t>6.在货物运输、装卸、搬运、</w:t>
      </w:r>
      <w:r>
        <w:rPr>
          <w:rFonts w:hint="eastAsia" w:ascii="仿宋" w:hAnsi="仿宋" w:eastAsia="仿宋" w:cs="仿宋"/>
          <w:color w:val="auto"/>
          <w:lang w:val="en-US" w:eastAsia="zh-CN"/>
        </w:rPr>
        <w:t>安装</w:t>
      </w:r>
      <w:r>
        <w:rPr>
          <w:rFonts w:hint="eastAsia" w:ascii="仿宋" w:hAnsi="仿宋" w:eastAsia="仿宋" w:cs="仿宋"/>
          <w:color w:val="auto"/>
          <w:lang w:eastAsia="zh-Hans"/>
        </w:rPr>
        <w:t>调试等期间，乙方应注意安全，并自觉做好疫情防护</w:t>
      </w:r>
      <w:r>
        <w:rPr>
          <w:rFonts w:hint="eastAsia" w:ascii="仿宋" w:hAnsi="仿宋" w:eastAsia="仿宋" w:cs="仿宋"/>
          <w:color w:val="auto"/>
          <w:lang w:eastAsia="zh-CN"/>
        </w:rPr>
        <w:t>、安全生产等</w:t>
      </w:r>
      <w:r>
        <w:rPr>
          <w:rFonts w:hint="eastAsia" w:ascii="仿宋" w:hAnsi="仿宋" w:eastAsia="仿宋" w:cs="仿宋"/>
          <w:color w:val="auto"/>
          <w:lang w:eastAsia="zh-Hans"/>
        </w:rPr>
        <w:t>工作，</w:t>
      </w:r>
      <w:r>
        <w:rPr>
          <w:rFonts w:hint="eastAsia" w:ascii="仿宋" w:hAnsi="仿宋" w:eastAsia="仿宋" w:cs="仿宋"/>
          <w:color w:val="auto"/>
          <w:lang w:val="en-US" w:eastAsia="zh-Hans"/>
        </w:rPr>
        <w:t>发生安全事故的</w:t>
      </w:r>
      <w:r>
        <w:rPr>
          <w:rFonts w:hint="eastAsia" w:ascii="仿宋" w:hAnsi="仿宋" w:eastAsia="仿宋" w:cs="仿宋"/>
          <w:color w:val="auto"/>
          <w:lang w:eastAsia="zh-Hans"/>
        </w:rPr>
        <w:t>，全部由乙方负责。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063152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7.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0F0C758F">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十五、违约责任</w:t>
      </w:r>
    </w:p>
    <w:p w14:paraId="1BE5776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乙方逾期交付货物的，</w:t>
      </w:r>
      <w:r>
        <w:rPr>
          <w:rFonts w:hint="eastAsia" w:ascii="仿宋" w:hAnsi="仿宋" w:eastAsia="仿宋" w:cs="仿宋"/>
          <w:color w:val="auto"/>
          <w:lang w:eastAsia="zh-Hans"/>
        </w:rPr>
        <w:t>每逾期一日，</w:t>
      </w:r>
      <w:r>
        <w:rPr>
          <w:rFonts w:hint="eastAsia" w:ascii="仿宋" w:hAnsi="仿宋" w:eastAsia="仿宋" w:cs="仿宋"/>
          <w:color w:val="auto"/>
          <w:lang w:eastAsia="zh-CN"/>
        </w:rPr>
        <w:t>乙方应按伍仟元/天向甲方支付违约金，由甲方从待付货款中或从乙方的履约保证金中进行扣除。逾期超过约定日期10个自然日不能交货的，甲方可解除本合同。</w:t>
      </w:r>
    </w:p>
    <w:p w14:paraId="01F7E2B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color w:val="auto"/>
          <w:lang w:eastAsia="zh-Hans"/>
        </w:rPr>
        <w:t>并要求赔偿</w:t>
      </w:r>
      <w:r>
        <w:rPr>
          <w:rFonts w:hint="eastAsia" w:ascii="仿宋" w:hAnsi="仿宋" w:eastAsia="仿宋" w:cs="仿宋"/>
          <w:color w:val="auto"/>
          <w:lang w:eastAsia="zh-CN"/>
        </w:rPr>
        <w:t>合同总值10%的违约金。</w:t>
      </w:r>
    </w:p>
    <w:p w14:paraId="3FD24F74">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3、</w:t>
      </w:r>
      <w:r>
        <w:rPr>
          <w:rFonts w:hint="eastAsia" w:ascii="仿宋" w:hAnsi="仿宋" w:eastAsia="仿宋" w:cs="仿宋"/>
          <w:color w:val="auto"/>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354337D5">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4</w:t>
      </w:r>
      <w:r>
        <w:rPr>
          <w:rFonts w:hint="eastAsia" w:ascii="仿宋" w:hAnsi="仿宋" w:eastAsia="仿宋" w:cs="仿宋"/>
          <w:color w:val="auto"/>
          <w:lang w:eastAsia="zh-Hans"/>
        </w:rPr>
        <w:t>、除本合同另有约定外，乙方违反本合同约定的，甲方有权视情况要求乙方支付合同总金额 5 % - 20 %的违约金。乙方</w:t>
      </w:r>
      <w:r>
        <w:rPr>
          <w:rFonts w:hint="eastAsia" w:ascii="仿宋" w:hAnsi="仿宋" w:eastAsia="仿宋" w:cs="仿宋"/>
          <w:color w:val="auto"/>
          <w:lang w:eastAsia="zh-CN"/>
        </w:rPr>
        <w:t>经甲方书面催告后仍未改正的</w:t>
      </w:r>
      <w:r>
        <w:rPr>
          <w:rFonts w:hint="eastAsia" w:ascii="仿宋" w:hAnsi="仿宋" w:eastAsia="仿宋" w:cs="仿宋"/>
          <w:color w:val="auto"/>
          <w:lang w:eastAsia="zh-Hans"/>
        </w:rPr>
        <w:t>，甲方有权解除本合同。</w:t>
      </w:r>
    </w:p>
    <w:p w14:paraId="147C1716">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w:t>
      </w:r>
      <w:r>
        <w:rPr>
          <w:rFonts w:hint="eastAsia" w:ascii="仿宋" w:hAnsi="仿宋" w:eastAsia="仿宋" w:cs="仿宋"/>
          <w:color w:val="auto"/>
          <w:lang w:eastAsia="zh-Hans"/>
        </w:rPr>
        <w:t xml:space="preserve">、乙方因逾期交货或因其他违约行为导致甲方解除合同的，乙方应向甲方支付合同总值20%的违约金，如造成甲方损失超过违约金的，超出部分由乙方继续承担赔偿责任。 </w:t>
      </w:r>
    </w:p>
    <w:p w14:paraId="5CC7240A">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6</w:t>
      </w:r>
      <w:r>
        <w:rPr>
          <w:rFonts w:hint="eastAsia" w:ascii="仿宋" w:hAnsi="仿宋" w:eastAsia="仿宋" w:cs="仿宋"/>
          <w:color w:val="auto"/>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59F2A0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1565550">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十六、不可抗力事件处理</w:t>
      </w:r>
    </w:p>
    <w:p w14:paraId="2F7AEB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在合同有效期内，任何一方因不可抗力事件导致不能履行合同，则合同履行期可延长，其延长期与不可抗力影响期相同。</w:t>
      </w:r>
    </w:p>
    <w:p w14:paraId="0F6DDE2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不可抗力事件发生后，受不可抗力影响的一方应立即通知对方并采取必要措施减少损害，并在7日内寄送有关权威机构出具的证明。一方违约后发生不可抗力的，不免除其违约责任。</w:t>
      </w:r>
    </w:p>
    <w:p w14:paraId="0A824C5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不可抗力事件延续120天以上，双方应通过友好协商，确定是否继续履行合同。</w:t>
      </w:r>
    </w:p>
    <w:p w14:paraId="7B8335C1">
      <w:pPr>
        <w:spacing w:line="440" w:lineRule="exact"/>
        <w:ind w:firstLine="420" w:firstLineChars="200"/>
        <w:jc w:val="both"/>
        <w:rPr>
          <w:rFonts w:ascii="仿宋" w:hAnsi="仿宋" w:eastAsia="仿宋" w:cs="仿宋"/>
          <w:color w:val="auto"/>
          <w:lang w:eastAsia="zh-CN"/>
        </w:rPr>
      </w:pPr>
      <w:r>
        <w:rPr>
          <w:rFonts w:hint="eastAsia" w:ascii="仿宋" w:hAnsi="仿宋" w:eastAsia="仿宋" w:cs="仿宋"/>
          <w:color w:val="auto"/>
          <w:lang w:eastAsia="zh-CN"/>
        </w:rPr>
        <w:t>4.一方违约后发生不可抗力的，违约方不可主张免责。</w:t>
      </w:r>
    </w:p>
    <w:p w14:paraId="1A47D10B">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十七、纠纷解决</w:t>
      </w:r>
    </w:p>
    <w:p w14:paraId="7165ADD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双方在执行合同中所发生的一切争议，应通过协商解决。双方协商一致并签订补充协议，补充协议与本协议具有同等法律</w:t>
      </w:r>
      <w:r>
        <w:rPr>
          <w:rFonts w:hint="eastAsia" w:ascii="仿宋" w:hAnsi="仿宋" w:eastAsia="仿宋" w:cs="仿宋"/>
          <w:color w:val="auto"/>
          <w:lang w:eastAsia="zh-Hans"/>
        </w:rPr>
        <w:t>效</w:t>
      </w:r>
      <w:r>
        <w:rPr>
          <w:rFonts w:hint="eastAsia" w:ascii="仿宋" w:hAnsi="仿宋" w:eastAsia="仿宋" w:cs="仿宋"/>
          <w:color w:val="auto"/>
          <w:lang w:eastAsia="zh-CN"/>
        </w:rPr>
        <w:t>力，且补充协议不得对本协议及招标文件进行实质性修改。如协商不成，可向甲方所在地法院（湖州市南浔区人民法院）起诉。</w:t>
      </w:r>
    </w:p>
    <w:p w14:paraId="1F8D44CE">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十八、合同生效及其他</w:t>
      </w:r>
    </w:p>
    <w:p w14:paraId="378FCD3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合同经双方法定代表人或其法定代表人或其授权代理人</w:t>
      </w:r>
      <w:r>
        <w:rPr>
          <w:rFonts w:hint="eastAsia" w:ascii="仿宋" w:hAnsi="仿宋" w:eastAsia="仿宋" w:cs="仿宋"/>
          <w:color w:val="auto"/>
          <w:lang w:val="en-US" w:eastAsia="zh-CN"/>
        </w:rPr>
        <w:t>签字</w:t>
      </w:r>
      <w:r>
        <w:rPr>
          <w:rFonts w:hint="eastAsia" w:ascii="仿宋" w:hAnsi="仿宋" w:eastAsia="仿宋" w:cs="仿宋"/>
          <w:color w:val="auto"/>
          <w:lang w:eastAsia="zh-CN"/>
        </w:rPr>
        <w:t>并加盖单位公章后生效。</w:t>
      </w:r>
    </w:p>
    <w:p w14:paraId="0D7048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2.本合同未尽事宜，遵照《民法典》有关条文执行。</w:t>
      </w:r>
    </w:p>
    <w:p w14:paraId="4795BF75">
      <w:pPr>
        <w:spacing w:line="440" w:lineRule="exact"/>
        <w:ind w:firstLine="420" w:firstLineChars="200"/>
        <w:rPr>
          <w:rFonts w:hint="eastAsia" w:ascii="仿宋" w:hAnsi="仿宋" w:eastAsia="仿宋" w:cs="仿宋"/>
          <w:color w:val="auto"/>
          <w:highlight w:val="none"/>
        </w:rPr>
      </w:pPr>
      <w:r>
        <w:rPr>
          <w:rFonts w:hint="eastAsia" w:ascii="仿宋" w:hAnsi="仿宋" w:eastAsia="仿宋" w:cs="仿宋"/>
          <w:color w:val="auto"/>
          <w:lang w:eastAsia="zh-CN"/>
        </w:rPr>
        <w:t>3.本合同正本一式 肆 份，甲乙双方各执贰份</w:t>
      </w:r>
      <w:r>
        <w:rPr>
          <w:rFonts w:hint="eastAsia" w:ascii="仿宋" w:hAnsi="仿宋" w:eastAsia="仿宋" w:cs="仿宋"/>
          <w:color w:val="auto"/>
          <w:lang w:eastAsia="zh-Hans"/>
        </w:rPr>
        <w:t>，具有同等法律效力</w:t>
      </w:r>
      <w:r>
        <w:rPr>
          <w:rFonts w:hint="eastAsia" w:ascii="仿宋" w:hAnsi="仿宋" w:eastAsia="仿宋" w:cs="仿宋"/>
          <w:color w:val="auto"/>
          <w:lang w:eastAsia="zh-CN"/>
        </w:rPr>
        <w:t>。</w:t>
      </w:r>
    </w:p>
    <w:p w14:paraId="7CC3FF25">
      <w:pPr>
        <w:pStyle w:val="8"/>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kern w:val="2"/>
          <w:sz w:val="21"/>
          <w:szCs w:val="24"/>
          <w:highlight w:val="none"/>
          <w:lang w:val="en-US" w:eastAsia="zh-CN" w:bidi="ar-SA"/>
        </w:rPr>
        <w:t xml:space="preserve">甲方：                    乙方：          </w:t>
      </w:r>
      <w:r>
        <w:rPr>
          <w:rFonts w:hint="eastAsia" w:ascii="仿宋" w:hAnsi="仿宋" w:eastAsia="仿宋" w:cs="仿宋"/>
          <w:color w:val="auto"/>
          <w:highlight w:val="none"/>
        </w:rPr>
        <w:t xml:space="preserve">              </w:t>
      </w:r>
    </w:p>
    <w:p w14:paraId="711A8E9F">
      <w:pPr>
        <w:tabs>
          <w:tab w:val="left" w:pos="1440"/>
        </w:tabs>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highlight w:val="none"/>
        </w:rPr>
        <w:t xml:space="preserve">地址：                    地址：         </w:t>
      </w:r>
    </w:p>
    <w:p w14:paraId="1CED09C0">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法定代表人：        </w:t>
      </w:r>
    </w:p>
    <w:p w14:paraId="38067172">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电话：                    电话：</w:t>
      </w:r>
    </w:p>
    <w:p w14:paraId="571E077D">
      <w:pPr>
        <w:tabs>
          <w:tab w:val="left" w:pos="1440"/>
        </w:tabs>
        <w:spacing w:line="440" w:lineRule="exact"/>
        <w:ind w:firstLine="21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开户银行：                开户银行：                  签订地点：</w:t>
      </w:r>
      <w:r>
        <w:rPr>
          <w:rFonts w:hint="eastAsia" w:ascii="仿宋" w:hAnsi="仿宋" w:eastAsia="仿宋" w:cs="仿宋"/>
          <w:color w:val="auto"/>
          <w:highlight w:val="none"/>
          <w:lang w:val="en-US" w:eastAsia="zh-CN"/>
        </w:rPr>
        <w:t>湖州市南浔区</w:t>
      </w:r>
    </w:p>
    <w:p w14:paraId="70563755">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1"/>
      <w:bookmarkEnd w:id="42"/>
      <w:bookmarkEnd w:id="43"/>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22"/>
        <w:rPr>
          <w:rFonts w:hint="eastAsia" w:ascii="仿宋" w:hAnsi="仿宋" w:eastAsia="仿宋" w:cs="仿宋"/>
          <w:b/>
          <w:bCs/>
          <w:color w:val="auto"/>
          <w:spacing w:val="24"/>
          <w:sz w:val="30"/>
          <w:highlight w:val="none"/>
        </w:rPr>
      </w:pPr>
    </w:p>
    <w:p w14:paraId="6D4B26DF">
      <w:pPr>
        <w:pStyle w:val="22"/>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both"/>
        <w:rPr>
          <w:rFonts w:hint="eastAsia" w:ascii="仿宋" w:hAnsi="仿宋" w:eastAsia="仿宋" w:cs="仿宋"/>
          <w:b/>
          <w:bCs/>
          <w:color w:val="auto"/>
          <w:spacing w:val="24"/>
          <w:sz w:val="30"/>
          <w:highlight w:val="none"/>
        </w:rPr>
      </w:pPr>
    </w:p>
    <w:p w14:paraId="1CB3988F">
      <w:pPr>
        <w:rPr>
          <w:rFonts w:hint="eastAsia" w:ascii="仿宋" w:hAnsi="仿宋" w:eastAsia="仿宋" w:cs="仿宋"/>
          <w:b/>
          <w:bCs/>
          <w:color w:val="auto"/>
          <w:spacing w:val="24"/>
          <w:sz w:val="30"/>
          <w:highlight w:val="none"/>
        </w:rPr>
      </w:pPr>
    </w:p>
    <w:p w14:paraId="33F567CA">
      <w:pPr>
        <w:pStyle w:val="20"/>
        <w:rPr>
          <w:rFonts w:hint="eastAsia"/>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603E4681">
      <w:pPr>
        <w:pStyle w:val="4"/>
        <w:spacing w:line="300" w:lineRule="auto"/>
        <w:ind w:firstLine="0"/>
        <w:jc w:val="center"/>
        <w:rPr>
          <w:rFonts w:hint="eastAsia" w:ascii="仿宋" w:hAnsi="仿宋" w:eastAsia="仿宋" w:cs="仿宋"/>
          <w:b/>
          <w:bCs/>
          <w:color w:val="auto"/>
          <w:spacing w:val="24"/>
          <w:sz w:val="30"/>
          <w:highlight w:val="none"/>
          <w:lang w:val="en-US" w:eastAsia="zh-CN"/>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66AEFCE8">
      <w:pPr>
        <w:pStyle w:val="4"/>
        <w:spacing w:line="300" w:lineRule="auto"/>
        <w:ind w:firstLine="468" w:firstLineChars="156"/>
        <w:jc w:val="center"/>
        <w:rPr>
          <w:rFonts w:hint="default"/>
          <w:color w:val="auto"/>
          <w:highlight w:val="none"/>
          <w:lang w:val="en-US" w:eastAsia="zh-CN"/>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084C128C">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7E3A77"/>
    <w:multiLevelType w:val="singleLevel"/>
    <w:tmpl w:val="387E3A77"/>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DFD7426"/>
    <w:rsid w:val="0FD21262"/>
    <w:rsid w:val="11562735"/>
    <w:rsid w:val="11787CB6"/>
    <w:rsid w:val="12146BB0"/>
    <w:rsid w:val="12C81DAF"/>
    <w:rsid w:val="16777BD5"/>
    <w:rsid w:val="181565E3"/>
    <w:rsid w:val="2059474E"/>
    <w:rsid w:val="21C51012"/>
    <w:rsid w:val="25AF3D08"/>
    <w:rsid w:val="2AA94975"/>
    <w:rsid w:val="2D0C791F"/>
    <w:rsid w:val="2F7470EF"/>
    <w:rsid w:val="325C28A5"/>
    <w:rsid w:val="32FE6C00"/>
    <w:rsid w:val="33AB0665"/>
    <w:rsid w:val="34F15D3F"/>
    <w:rsid w:val="38D40CC2"/>
    <w:rsid w:val="39900A80"/>
    <w:rsid w:val="3F165BB1"/>
    <w:rsid w:val="46324066"/>
    <w:rsid w:val="49D37593"/>
    <w:rsid w:val="54A24E4E"/>
    <w:rsid w:val="55522C02"/>
    <w:rsid w:val="57DD2B3F"/>
    <w:rsid w:val="5BFD48F3"/>
    <w:rsid w:val="6A035EF8"/>
    <w:rsid w:val="6C1A6A01"/>
    <w:rsid w:val="6C605AC3"/>
    <w:rsid w:val="6C900C0D"/>
    <w:rsid w:val="71767646"/>
    <w:rsid w:val="7A9B3740"/>
    <w:rsid w:val="7B311871"/>
    <w:rsid w:val="7C9A1138"/>
    <w:rsid w:val="7D1E4059"/>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annotation text"/>
    <w:basedOn w:val="1"/>
    <w:qFormat/>
    <w:uiPriority w:val="0"/>
    <w:pPr>
      <w:jc w:val="left"/>
    </w:pPr>
    <w:rPr>
      <w:rFonts w:ascii="Times New Roman" w:hAnsi="Times New Roman"/>
    </w:rPr>
  </w:style>
  <w:style w:type="paragraph" w:styleId="6">
    <w:name w:val="Body Text"/>
    <w:basedOn w:val="1"/>
    <w:next w:val="7"/>
    <w:qFormat/>
    <w:uiPriority w:val="0"/>
    <w:pPr>
      <w:spacing w:line="0" w:lineRule="atLeast"/>
    </w:pPr>
    <w:rPr>
      <w:sz w:val="30"/>
      <w:szCs w:val="20"/>
    </w:rPr>
  </w:style>
  <w:style w:type="paragraph" w:styleId="7">
    <w:name w:val="Body Text First Indent"/>
    <w:basedOn w:val="6"/>
    <w:next w:val="1"/>
    <w:qFormat/>
    <w:uiPriority w:val="0"/>
    <w:pPr>
      <w:ind w:firstLine="100" w:firstLineChars="100"/>
    </w:pPr>
    <w:rPr>
      <w:sz w:val="21"/>
    </w:rPr>
  </w:style>
  <w:style w:type="paragraph" w:styleId="8">
    <w:name w:val="Plain Text"/>
    <w:basedOn w:val="1"/>
    <w:qFormat/>
    <w:uiPriority w:val="0"/>
    <w:pPr>
      <w:spacing w:beforeLines="50" w:afterLines="50" w:line="400" w:lineRule="exact"/>
    </w:pPr>
    <w:rPr>
      <w:rFonts w:ascii="宋体" w:hAnsi="Courier New"/>
      <w:sz w:val="24"/>
    </w:rPr>
  </w:style>
  <w:style w:type="paragraph" w:styleId="9">
    <w:name w:val="toc 8"/>
    <w:basedOn w:val="1"/>
    <w:next w:val="1"/>
    <w:qFormat/>
    <w:uiPriority w:val="0"/>
    <w:pPr>
      <w:ind w:left="1400" w:leftChars="1400"/>
    </w:pPr>
    <w:rPr>
      <w:rFonts w:ascii="Calibri" w:hAnsi="Calibri"/>
      <w:szCs w:val="22"/>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before="120" w:beforeLines="0" w:after="120" w:afterLines="0"/>
      <w:jc w:val="left"/>
    </w:pPr>
    <w:rPr>
      <w:rFonts w:ascii="Times New Roman" w:hAnsi="Times New Roman" w:eastAsia="宋体" w:cs="Times New Roman"/>
      <w:b/>
      <w:bCs/>
      <w:caps/>
      <w:sz w:val="20"/>
      <w:szCs w:val="20"/>
    </w:rPr>
  </w:style>
  <w:style w:type="paragraph" w:styleId="13">
    <w:name w:val="Body Text 2"/>
    <w:basedOn w:val="1"/>
    <w:qFormat/>
    <w:uiPriority w:val="0"/>
    <w:pPr>
      <w:widowControl/>
      <w:jc w:val="center"/>
    </w:pPr>
    <w:rPr>
      <w:rFonts w:ascii="黑体" w:eastAsia="黑体"/>
      <w:b/>
      <w:kern w:val="0"/>
      <w:sz w:val="52"/>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14:textFill>
        <w14:solidFill>
          <w14:schemeClr w14:val="hlink"/>
        </w14:solidFill>
      </w14:textFill>
    </w:rPr>
  </w:style>
  <w:style w:type="paragraph" w:customStyle="1" w:styleId="20">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22">
    <w:name w:val="_Style 1"/>
    <w:qFormat/>
    <w:uiPriority w:val="0"/>
    <w:rPr>
      <w:rFonts w:ascii="Times New Roman" w:hAnsi="Times New Roman" w:eastAsia="宋体" w:cs="Times New Roman"/>
      <w:kern w:val="2"/>
      <w:sz w:val="28"/>
      <w:szCs w:val="22"/>
      <w:lang w:val="en-US" w:eastAsia="zh-CN" w:bidi="ar-SA"/>
    </w:rPr>
  </w:style>
  <w:style w:type="paragraph" w:customStyle="1" w:styleId="23">
    <w:name w:val="Normal Indent"/>
    <w:basedOn w:val="1"/>
    <w:qFormat/>
    <w:uiPriority w:val="0"/>
    <w:pPr>
      <w:ind w:firstLine="420"/>
    </w:pPr>
    <w:rPr>
      <w:szCs w:val="20"/>
    </w:rPr>
  </w:style>
  <w:style w:type="paragraph" w:customStyle="1" w:styleId="24">
    <w:name w:val="Plain Text"/>
    <w:basedOn w:val="1"/>
    <w:qFormat/>
    <w:uiPriority w:val="0"/>
    <w:pPr>
      <w:spacing w:before="156" w:beforeLines="50" w:after="156" w:afterLines="50" w:line="400" w:lineRule="exact"/>
    </w:pPr>
    <w:rPr>
      <w:rFonts w:ascii="宋体" w:hAnsi="Courier New"/>
      <w:sz w:val="24"/>
    </w:rPr>
  </w:style>
  <w:style w:type="paragraph" w:customStyle="1" w:styleId="25">
    <w:name w:val="标题 2_0_0"/>
    <w:basedOn w:val="26"/>
    <w:next w:val="26"/>
    <w:qFormat/>
    <w:uiPriority w:val="0"/>
    <w:pPr>
      <w:keepNext/>
      <w:keepLines/>
      <w:spacing w:before="260" w:after="260" w:line="415" w:lineRule="auto"/>
      <w:outlineLvl w:val="1"/>
    </w:pPr>
    <w:rPr>
      <w:rFonts w:ascii="Cambria" w:hAnsi="Cambria"/>
      <w:b/>
      <w:bCs/>
      <w:sz w:val="32"/>
      <w:szCs w:val="32"/>
    </w:rPr>
  </w:style>
  <w:style w:type="paragraph" w:customStyle="1" w:styleId="26">
    <w:name w:val="正文_0_0"/>
    <w:basedOn w:val="27"/>
    <w:qFormat/>
    <w:uiPriority w:val="99"/>
    <w:pPr>
      <w:widowControl w:val="0"/>
      <w:jc w:val="both"/>
    </w:pPr>
    <w:rPr>
      <w:kern w:val="2"/>
      <w:sz w:val="21"/>
      <w:szCs w:val="24"/>
      <w:lang w:val="en-US" w:eastAsia="zh-CN" w:bidi="ar-SA"/>
    </w:rPr>
  </w:style>
  <w:style w:type="paragraph" w:customStyle="1" w:styleId="27">
    <w:name w:val="正文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9478</Words>
  <Characters>9760</Characters>
  <Lines>0</Lines>
  <Paragraphs>0</Paragraphs>
  <TotalTime>12</TotalTime>
  <ScaleCrop>false</ScaleCrop>
  <LinksUpToDate>false</LinksUpToDate>
  <CharactersWithSpaces>10281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2024-09-02T09:22:42Z</cp:lastPrinted>
  <dcterms:modified xsi:type="dcterms:W3CDTF">2024-09-02T09:27:20Z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841267AF98CF4931B3810E6088A40C74_13</vt:lpwstr>
  </property>
</Properties>
</file>