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南浔区垂虹公园、金象湖公园、市民广场亮化年度养护工程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南浔区垂虹公园、金象湖公园、市民广场亮化年度养护工程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南浔区垂虹公园、金象湖公园、市民广场亮化年度养护工程</w:t>
      </w:r>
      <w:r>
        <w:rPr>
          <w:rFonts w:hint="eastAsia" w:ascii="宋体" w:hAnsi="宋体" w:cs="TimesNewRomanPSMT"/>
          <w:color w:val="FF0000"/>
          <w:kern w:val="0"/>
          <w:szCs w:val="21"/>
          <w:lang w:val="en-US" w:eastAsia="zh-CN"/>
        </w:rPr>
        <w:t>，该项目内的景观灯维修或更换，具体按现场实际情况及业主要求为主</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宋体"/>
          <w:color w:val="FF0000"/>
          <w:kern w:val="0"/>
          <w:szCs w:val="21"/>
          <w:u w:val="single"/>
          <w:lang w:val="en-US" w:eastAsia="zh-CN"/>
        </w:rPr>
        <w:t>南浔区垂虹公园、金象湖公园、市民广场亮化年度养护工程</w:t>
      </w:r>
      <w:r>
        <w:rPr>
          <w:rFonts w:hint="eastAsia" w:ascii="宋体" w:hAnsi="宋体" w:cs="TimesNewRomanPSMT"/>
          <w:color w:val="FF0000"/>
          <w:kern w:val="0"/>
          <w:szCs w:val="21"/>
          <w:lang w:val="en-US" w:eastAsia="zh-CN"/>
        </w:rPr>
        <w:t>，该项目内的景观灯维修或更换，具体按现场实际情况及业主要求为主</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南浔区垂虹公园、金象湖公园、市民广场亮化年度养护</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color w:val="FF0000"/>
          <w:kern w:val="0"/>
          <w:szCs w:val="21"/>
          <w:lang w:val="en-US" w:eastAsia="zh-CN"/>
        </w:rPr>
        <w:t>该项目内的景观灯维修或更换，具体按现场实际情况及业主要求为主</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施工劳务资质不分等级</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2021年6月11日至2021年6月13日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11.5</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仿宋_GB2312"/>
                <w:color w:val="auto"/>
                <w:sz w:val="21"/>
                <w:szCs w:val="21"/>
                <w:lang w:val="en-US" w:eastAsia="zh-CN"/>
              </w:rPr>
              <w:t>周工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南浔区垂虹公园、金象湖公园、市民广场亮化年度养护工程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int="default" w:hAnsi="宋体"/>
                <w:color w:val="FF0000"/>
                <w:szCs w:val="21"/>
                <w:lang w:val="en-US"/>
              </w:rPr>
            </w:pPr>
            <w:r>
              <w:rPr>
                <w:rFonts w:hint="eastAsia" w:ascii="宋体" w:hAnsi="宋体" w:cs="TimesNewRomanPSMT"/>
                <w:color w:val="FF0000"/>
                <w:kern w:val="0"/>
                <w:szCs w:val="21"/>
                <w:lang w:val="en-US" w:eastAsia="zh-CN"/>
              </w:rPr>
              <w:t>该项目内的景观灯维修或更换，具体按现场实际情况及业主要求为主。</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cs="Times New Roman"/>
                <w:color w:val="auto"/>
                <w:sz w:val="21"/>
                <w:szCs w:val="21"/>
                <w:lang w:val="en-US"/>
              </w:rPr>
            </w:pPr>
            <w:r>
              <w:rPr>
                <w:rFonts w:hint="eastAsia" w:hAnsi="宋体"/>
                <w:color w:val="auto"/>
                <w:sz w:val="21"/>
                <w:szCs w:val="21"/>
              </w:rPr>
              <w:t>绝对工期：</w:t>
            </w:r>
            <w:r>
              <w:rPr>
                <w:rFonts w:hint="eastAsia" w:hAnsi="宋体"/>
                <w:color w:val="FF0000"/>
                <w:sz w:val="21"/>
                <w:szCs w:val="21"/>
                <w:lang w:val="en-US" w:eastAsia="zh-CN"/>
              </w:rPr>
              <w:t>成交通知书后一年</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246996219"/>
      <w:bookmarkStart w:id="4" w:name="_Toc152045575"/>
      <w:bookmarkStart w:id="5" w:name="_Toc179632593"/>
      <w:bookmarkStart w:id="6" w:name="_Toc246996962"/>
      <w:bookmarkStart w:id="7" w:name="_Toc152042351"/>
      <w:bookmarkStart w:id="8" w:name="_Toc247085733"/>
      <w:bookmarkStart w:id="9" w:name="_Toc296602462"/>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246996220"/>
      <w:bookmarkStart w:id="13" w:name="_Toc179632594"/>
      <w:bookmarkStart w:id="14" w:name="_Toc296602463"/>
      <w:bookmarkStart w:id="15" w:name="_Toc144974544"/>
      <w:bookmarkStart w:id="16" w:name="_Toc152045576"/>
      <w:bookmarkStart w:id="17" w:name="_Toc247085734"/>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296602464"/>
      <w:bookmarkStart w:id="21" w:name="_Toc179632595"/>
      <w:bookmarkStart w:id="22" w:name="_Toc144974545"/>
      <w:bookmarkStart w:id="23" w:name="_Toc152045577"/>
      <w:bookmarkStart w:id="24" w:name="_Toc247085735"/>
      <w:bookmarkStart w:id="25" w:name="_Toc246996221"/>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246996965"/>
      <w:bookmarkStart w:id="29" w:name="_Toc246996222"/>
      <w:bookmarkStart w:id="30" w:name="_Toc152045578"/>
      <w:bookmarkStart w:id="31" w:name="_Toc179632596"/>
      <w:bookmarkStart w:id="32" w:name="_Toc296602465"/>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179632597"/>
      <w:bookmarkStart w:id="38" w:name="_Toc152045579"/>
      <w:bookmarkStart w:id="39" w:name="_Toc152042356"/>
      <w:bookmarkStart w:id="40" w:name="_Toc246996223"/>
      <w:bookmarkStart w:id="41" w:name="_Toc246996966"/>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8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1、当有效报价小于等于6家时，对通过商务评审的所有有效的响应报价进行算术平均，将算术平均值作为</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w:t>
            </w:r>
          </w:p>
          <w:p>
            <w:pPr>
              <w:widowControl/>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2、当有效报价大于6家时，对通过商务评审的所有有效报价中去掉一个最高价、一个最低价后的剩余投标报价进行算术平均，将算术平均值作为</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K=（投标报价—</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*100%</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hint="eastAsia" w:ascii="仿宋" w:hAnsi="仿宋" w:eastAsia="宋体" w:cs="仿宋"/>
                <w:color w:val="auto"/>
                <w:highlight w:val="none"/>
                <w:lang w:eastAsia="zh-CN"/>
              </w:rPr>
            </w:pPr>
            <w:r>
              <w:rPr>
                <w:rFonts w:hint="eastAsia" w:ascii="宋体" w:hAnsi="宋体" w:eastAsia="宋体" w:cs="宋体"/>
                <w:color w:val="000000"/>
                <w:sz w:val="21"/>
                <w:szCs w:val="21"/>
                <w:lang w:val="zh-CN"/>
              </w:rPr>
              <w:t>注：各投标人的价格得分按此方法计算后，结果保留2位小数，第3位四舍五入</w:t>
            </w:r>
            <w:r>
              <w:rPr>
                <w:rFonts w:hint="eastAsia" w:ascii="仿宋" w:hAnsi="仿宋" w:eastAsia="仿宋" w:cs="仿宋"/>
                <w:color w:val="auto"/>
                <w:highlight w:val="none"/>
                <w:lang w:eastAsia="zh-CN"/>
              </w:rPr>
              <w:t>。</w:t>
            </w:r>
          </w:p>
          <w:p>
            <w:pPr>
              <w:widowControl/>
              <w:jc w:val="left"/>
              <w:rPr>
                <w:rFonts w:ascii="宋体" w:cs="宋体"/>
                <w:kern w:val="0"/>
                <w:szCs w:val="21"/>
              </w:rPr>
            </w:pP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景观灯、草坪灯、电线、电缆、配电箱等</w:t>
      </w:r>
      <w:bookmarkStart w:id="44" w:name="_GoBack"/>
      <w:bookmarkEnd w:id="44"/>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2D6729"/>
    <w:rsid w:val="059841B5"/>
    <w:rsid w:val="05BF6198"/>
    <w:rsid w:val="065A2B02"/>
    <w:rsid w:val="07870DD4"/>
    <w:rsid w:val="07933142"/>
    <w:rsid w:val="08103BAC"/>
    <w:rsid w:val="08687625"/>
    <w:rsid w:val="08785560"/>
    <w:rsid w:val="08D46119"/>
    <w:rsid w:val="09451A80"/>
    <w:rsid w:val="099F3E40"/>
    <w:rsid w:val="09CF5737"/>
    <w:rsid w:val="0A5A5EBE"/>
    <w:rsid w:val="0AAC6BE4"/>
    <w:rsid w:val="0AB32181"/>
    <w:rsid w:val="0AB61377"/>
    <w:rsid w:val="0ADE2021"/>
    <w:rsid w:val="0AE66846"/>
    <w:rsid w:val="0B4A311D"/>
    <w:rsid w:val="0BA056F7"/>
    <w:rsid w:val="0BAF2250"/>
    <w:rsid w:val="0C715A9F"/>
    <w:rsid w:val="0C9A18B3"/>
    <w:rsid w:val="0CA72033"/>
    <w:rsid w:val="0CB57E44"/>
    <w:rsid w:val="0D00419D"/>
    <w:rsid w:val="0D060ACA"/>
    <w:rsid w:val="0D1E7589"/>
    <w:rsid w:val="0D2C79B1"/>
    <w:rsid w:val="0DA10CD9"/>
    <w:rsid w:val="0DAA3778"/>
    <w:rsid w:val="0DC937C0"/>
    <w:rsid w:val="0DDE73FA"/>
    <w:rsid w:val="0E703A00"/>
    <w:rsid w:val="0EB964D6"/>
    <w:rsid w:val="0ED9012F"/>
    <w:rsid w:val="0EE11F93"/>
    <w:rsid w:val="0F062706"/>
    <w:rsid w:val="0F07103E"/>
    <w:rsid w:val="0F2E3A4B"/>
    <w:rsid w:val="0FA00107"/>
    <w:rsid w:val="0FAE4BA9"/>
    <w:rsid w:val="0FDA2C64"/>
    <w:rsid w:val="10163297"/>
    <w:rsid w:val="10B412E9"/>
    <w:rsid w:val="11151C5F"/>
    <w:rsid w:val="11342AE3"/>
    <w:rsid w:val="11547BE0"/>
    <w:rsid w:val="11E20196"/>
    <w:rsid w:val="11F57B67"/>
    <w:rsid w:val="122C41A2"/>
    <w:rsid w:val="1260013F"/>
    <w:rsid w:val="12C90B50"/>
    <w:rsid w:val="13745BA1"/>
    <w:rsid w:val="13CD26E2"/>
    <w:rsid w:val="149B3D57"/>
    <w:rsid w:val="14BD4BDD"/>
    <w:rsid w:val="14DD050E"/>
    <w:rsid w:val="14F711DC"/>
    <w:rsid w:val="15461AA9"/>
    <w:rsid w:val="1546360D"/>
    <w:rsid w:val="15A47628"/>
    <w:rsid w:val="15DF0493"/>
    <w:rsid w:val="1636706C"/>
    <w:rsid w:val="16661441"/>
    <w:rsid w:val="16692D06"/>
    <w:rsid w:val="16C0024D"/>
    <w:rsid w:val="170A42C5"/>
    <w:rsid w:val="17193619"/>
    <w:rsid w:val="1727041B"/>
    <w:rsid w:val="172B78C9"/>
    <w:rsid w:val="174C7528"/>
    <w:rsid w:val="1766153D"/>
    <w:rsid w:val="177D0DF0"/>
    <w:rsid w:val="178D7750"/>
    <w:rsid w:val="17E7607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33FA6"/>
    <w:rsid w:val="1C3800B2"/>
    <w:rsid w:val="1C5B3FD4"/>
    <w:rsid w:val="1C811351"/>
    <w:rsid w:val="1C97489E"/>
    <w:rsid w:val="1C9F69B8"/>
    <w:rsid w:val="1CBE1763"/>
    <w:rsid w:val="1CD70817"/>
    <w:rsid w:val="1CDA4153"/>
    <w:rsid w:val="1D8E30F7"/>
    <w:rsid w:val="1EF403AD"/>
    <w:rsid w:val="1F207B44"/>
    <w:rsid w:val="1FA03DAE"/>
    <w:rsid w:val="1FAA3C18"/>
    <w:rsid w:val="1FD0793F"/>
    <w:rsid w:val="1FED51FB"/>
    <w:rsid w:val="203D5C7A"/>
    <w:rsid w:val="204F4146"/>
    <w:rsid w:val="20CC075D"/>
    <w:rsid w:val="210B711D"/>
    <w:rsid w:val="217A2E8F"/>
    <w:rsid w:val="21AD2AA9"/>
    <w:rsid w:val="22B34C3F"/>
    <w:rsid w:val="23073830"/>
    <w:rsid w:val="243E2265"/>
    <w:rsid w:val="2472448D"/>
    <w:rsid w:val="252400AA"/>
    <w:rsid w:val="25372ADE"/>
    <w:rsid w:val="25BB1B2D"/>
    <w:rsid w:val="25DE77BD"/>
    <w:rsid w:val="25EC2C8E"/>
    <w:rsid w:val="25FF2DDD"/>
    <w:rsid w:val="2648468A"/>
    <w:rsid w:val="27225448"/>
    <w:rsid w:val="27266761"/>
    <w:rsid w:val="2746156A"/>
    <w:rsid w:val="278D5A4A"/>
    <w:rsid w:val="280B7FEB"/>
    <w:rsid w:val="28450F6C"/>
    <w:rsid w:val="284C16B1"/>
    <w:rsid w:val="28577024"/>
    <w:rsid w:val="28A66FD2"/>
    <w:rsid w:val="29081179"/>
    <w:rsid w:val="2926030A"/>
    <w:rsid w:val="298D54E1"/>
    <w:rsid w:val="29912B2A"/>
    <w:rsid w:val="29933E95"/>
    <w:rsid w:val="2A502BDE"/>
    <w:rsid w:val="2A610E88"/>
    <w:rsid w:val="2AF77B9D"/>
    <w:rsid w:val="2AFB52E4"/>
    <w:rsid w:val="2B040840"/>
    <w:rsid w:val="2B2733B9"/>
    <w:rsid w:val="2B297FDE"/>
    <w:rsid w:val="2B2E699C"/>
    <w:rsid w:val="2B797A36"/>
    <w:rsid w:val="2C023541"/>
    <w:rsid w:val="2C2C542E"/>
    <w:rsid w:val="2C7173E0"/>
    <w:rsid w:val="2C8E4D82"/>
    <w:rsid w:val="2CD03054"/>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11414C"/>
    <w:rsid w:val="302A57BB"/>
    <w:rsid w:val="303B7986"/>
    <w:rsid w:val="30AE1D52"/>
    <w:rsid w:val="30E7266C"/>
    <w:rsid w:val="30EA5331"/>
    <w:rsid w:val="311A0F54"/>
    <w:rsid w:val="313B3B99"/>
    <w:rsid w:val="315111F1"/>
    <w:rsid w:val="316A42B7"/>
    <w:rsid w:val="317B512E"/>
    <w:rsid w:val="31F34B0C"/>
    <w:rsid w:val="31F74D74"/>
    <w:rsid w:val="32293DF3"/>
    <w:rsid w:val="329C70DF"/>
    <w:rsid w:val="32AB700C"/>
    <w:rsid w:val="33352B46"/>
    <w:rsid w:val="334A7AE4"/>
    <w:rsid w:val="336A45BE"/>
    <w:rsid w:val="33D93647"/>
    <w:rsid w:val="33E24E2C"/>
    <w:rsid w:val="33F3561C"/>
    <w:rsid w:val="33F4138D"/>
    <w:rsid w:val="34B93D28"/>
    <w:rsid w:val="34C67B9A"/>
    <w:rsid w:val="34E300BF"/>
    <w:rsid w:val="351C19E0"/>
    <w:rsid w:val="351F234A"/>
    <w:rsid w:val="35530BF6"/>
    <w:rsid w:val="360D6341"/>
    <w:rsid w:val="375B657B"/>
    <w:rsid w:val="37727DA2"/>
    <w:rsid w:val="37BC4D26"/>
    <w:rsid w:val="37C2711A"/>
    <w:rsid w:val="3822589D"/>
    <w:rsid w:val="38761F63"/>
    <w:rsid w:val="38B54B43"/>
    <w:rsid w:val="394E7DD5"/>
    <w:rsid w:val="396A5DF5"/>
    <w:rsid w:val="39734A06"/>
    <w:rsid w:val="39A8483F"/>
    <w:rsid w:val="39CB45BD"/>
    <w:rsid w:val="39FC39DC"/>
    <w:rsid w:val="3A0F0192"/>
    <w:rsid w:val="3A451C64"/>
    <w:rsid w:val="3A6A62BD"/>
    <w:rsid w:val="3AF10675"/>
    <w:rsid w:val="3B3D4C60"/>
    <w:rsid w:val="3B4343B6"/>
    <w:rsid w:val="3B4D3B9C"/>
    <w:rsid w:val="3B6D0AC3"/>
    <w:rsid w:val="3D2C178A"/>
    <w:rsid w:val="3D6067DA"/>
    <w:rsid w:val="3DD570E9"/>
    <w:rsid w:val="3E0747AF"/>
    <w:rsid w:val="3E1A638D"/>
    <w:rsid w:val="3EB1152D"/>
    <w:rsid w:val="3F30557D"/>
    <w:rsid w:val="3F3C3A0D"/>
    <w:rsid w:val="3F5259BF"/>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52442F"/>
    <w:rsid w:val="475E748F"/>
    <w:rsid w:val="47901A9F"/>
    <w:rsid w:val="47922799"/>
    <w:rsid w:val="47D97FC7"/>
    <w:rsid w:val="480F276E"/>
    <w:rsid w:val="484527E2"/>
    <w:rsid w:val="48613C38"/>
    <w:rsid w:val="48C30900"/>
    <w:rsid w:val="49AB468B"/>
    <w:rsid w:val="4A600199"/>
    <w:rsid w:val="4BE50202"/>
    <w:rsid w:val="4CC625AA"/>
    <w:rsid w:val="4D1F409E"/>
    <w:rsid w:val="4D36595B"/>
    <w:rsid w:val="4D6F1D0C"/>
    <w:rsid w:val="4D755439"/>
    <w:rsid w:val="4DBC074D"/>
    <w:rsid w:val="4DC73A64"/>
    <w:rsid w:val="4DE60D42"/>
    <w:rsid w:val="4E69264D"/>
    <w:rsid w:val="4EFB7579"/>
    <w:rsid w:val="4F0931EA"/>
    <w:rsid w:val="4F676E75"/>
    <w:rsid w:val="502A6AFD"/>
    <w:rsid w:val="504101F5"/>
    <w:rsid w:val="50484332"/>
    <w:rsid w:val="505D1263"/>
    <w:rsid w:val="50BE50C2"/>
    <w:rsid w:val="50E10D0C"/>
    <w:rsid w:val="51564AF1"/>
    <w:rsid w:val="51673292"/>
    <w:rsid w:val="51EC3B57"/>
    <w:rsid w:val="51F5100B"/>
    <w:rsid w:val="522D1344"/>
    <w:rsid w:val="528A7AE7"/>
    <w:rsid w:val="529A2FFC"/>
    <w:rsid w:val="53781CF8"/>
    <w:rsid w:val="53832185"/>
    <w:rsid w:val="53920CEE"/>
    <w:rsid w:val="543812D4"/>
    <w:rsid w:val="54B81E43"/>
    <w:rsid w:val="55662A4C"/>
    <w:rsid w:val="55F33201"/>
    <w:rsid w:val="560F30B7"/>
    <w:rsid w:val="563E6EEB"/>
    <w:rsid w:val="56737795"/>
    <w:rsid w:val="56A2724A"/>
    <w:rsid w:val="56AB1218"/>
    <w:rsid w:val="56BC578B"/>
    <w:rsid w:val="57255C57"/>
    <w:rsid w:val="57C12963"/>
    <w:rsid w:val="57DC33A1"/>
    <w:rsid w:val="586303D1"/>
    <w:rsid w:val="588501DB"/>
    <w:rsid w:val="58DA7D32"/>
    <w:rsid w:val="58E30090"/>
    <w:rsid w:val="58FC4C31"/>
    <w:rsid w:val="59370951"/>
    <w:rsid w:val="594611C8"/>
    <w:rsid w:val="599855CB"/>
    <w:rsid w:val="59AC7755"/>
    <w:rsid w:val="59D35FCF"/>
    <w:rsid w:val="59E27657"/>
    <w:rsid w:val="59E618A3"/>
    <w:rsid w:val="5A03560E"/>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A11C4"/>
    <w:rsid w:val="5DA12F2E"/>
    <w:rsid w:val="5DAE13CF"/>
    <w:rsid w:val="5DCD250B"/>
    <w:rsid w:val="5DDC456A"/>
    <w:rsid w:val="5E1A42F9"/>
    <w:rsid w:val="5E4279B3"/>
    <w:rsid w:val="5E57556F"/>
    <w:rsid w:val="5E6A285E"/>
    <w:rsid w:val="5E7078F9"/>
    <w:rsid w:val="5E711CDA"/>
    <w:rsid w:val="5E781148"/>
    <w:rsid w:val="5E8848F0"/>
    <w:rsid w:val="5EA83096"/>
    <w:rsid w:val="5F3A110B"/>
    <w:rsid w:val="5F544ADE"/>
    <w:rsid w:val="5FC0322F"/>
    <w:rsid w:val="5FD37C5B"/>
    <w:rsid w:val="600F3DFF"/>
    <w:rsid w:val="606D64A0"/>
    <w:rsid w:val="60C46ED4"/>
    <w:rsid w:val="612753A8"/>
    <w:rsid w:val="61347170"/>
    <w:rsid w:val="619E2C47"/>
    <w:rsid w:val="61A27AD0"/>
    <w:rsid w:val="62467775"/>
    <w:rsid w:val="628A613F"/>
    <w:rsid w:val="62936CE6"/>
    <w:rsid w:val="62CC2286"/>
    <w:rsid w:val="63365241"/>
    <w:rsid w:val="63613D1C"/>
    <w:rsid w:val="63D52DC3"/>
    <w:rsid w:val="63EE2185"/>
    <w:rsid w:val="640A5C6B"/>
    <w:rsid w:val="64130890"/>
    <w:rsid w:val="64144701"/>
    <w:rsid w:val="64157928"/>
    <w:rsid w:val="64474BA2"/>
    <w:rsid w:val="64DA205C"/>
    <w:rsid w:val="657151FB"/>
    <w:rsid w:val="65735D84"/>
    <w:rsid w:val="65CA5EB8"/>
    <w:rsid w:val="66444926"/>
    <w:rsid w:val="668A54E2"/>
    <w:rsid w:val="66B81965"/>
    <w:rsid w:val="66EE52A3"/>
    <w:rsid w:val="671B2005"/>
    <w:rsid w:val="675020B8"/>
    <w:rsid w:val="679A55A8"/>
    <w:rsid w:val="68105AAB"/>
    <w:rsid w:val="689322AD"/>
    <w:rsid w:val="68D9424D"/>
    <w:rsid w:val="692D1F13"/>
    <w:rsid w:val="693A030E"/>
    <w:rsid w:val="693E4DC3"/>
    <w:rsid w:val="6A0D0E38"/>
    <w:rsid w:val="6ABA4B0F"/>
    <w:rsid w:val="6B2B2B84"/>
    <w:rsid w:val="6C7B2A22"/>
    <w:rsid w:val="6CDD11CD"/>
    <w:rsid w:val="6CE05267"/>
    <w:rsid w:val="6CE40271"/>
    <w:rsid w:val="6D37629B"/>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2117ED"/>
    <w:rsid w:val="733A35E5"/>
    <w:rsid w:val="7353025C"/>
    <w:rsid w:val="73557AEB"/>
    <w:rsid w:val="737F302F"/>
    <w:rsid w:val="739F6EDB"/>
    <w:rsid w:val="73F522EE"/>
    <w:rsid w:val="74271298"/>
    <w:rsid w:val="744A1C86"/>
    <w:rsid w:val="74766500"/>
    <w:rsid w:val="748962D3"/>
    <w:rsid w:val="75322E1E"/>
    <w:rsid w:val="75BF0392"/>
    <w:rsid w:val="75FA5640"/>
    <w:rsid w:val="761F46F4"/>
    <w:rsid w:val="764C4219"/>
    <w:rsid w:val="76C0056C"/>
    <w:rsid w:val="76E04287"/>
    <w:rsid w:val="76F43E80"/>
    <w:rsid w:val="76FD1966"/>
    <w:rsid w:val="774A57ED"/>
    <w:rsid w:val="77737FCB"/>
    <w:rsid w:val="784E71DF"/>
    <w:rsid w:val="785A6DAA"/>
    <w:rsid w:val="789E6EBD"/>
    <w:rsid w:val="78C20EA8"/>
    <w:rsid w:val="790B6D58"/>
    <w:rsid w:val="79291E78"/>
    <w:rsid w:val="79AF1C6D"/>
    <w:rsid w:val="79CC6A81"/>
    <w:rsid w:val="7A2F1CB5"/>
    <w:rsid w:val="7AA179F0"/>
    <w:rsid w:val="7AA8278C"/>
    <w:rsid w:val="7AE84FBC"/>
    <w:rsid w:val="7AF761D9"/>
    <w:rsid w:val="7B320699"/>
    <w:rsid w:val="7BD27F57"/>
    <w:rsid w:val="7BF6377E"/>
    <w:rsid w:val="7C1266C5"/>
    <w:rsid w:val="7C84703D"/>
    <w:rsid w:val="7CB53C71"/>
    <w:rsid w:val="7CB63B55"/>
    <w:rsid w:val="7CBC31DA"/>
    <w:rsid w:val="7D2E1A4A"/>
    <w:rsid w:val="7D846C0E"/>
    <w:rsid w:val="7D963331"/>
    <w:rsid w:val="7D9C539A"/>
    <w:rsid w:val="7DB55021"/>
    <w:rsid w:val="7E1259A1"/>
    <w:rsid w:val="7EEC1F1A"/>
    <w:rsid w:val="7EF121CF"/>
    <w:rsid w:val="7F3A4641"/>
    <w:rsid w:val="7F4F4E90"/>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1</TotalTime>
  <ScaleCrop>false</ScaleCrop>
  <LinksUpToDate>false</LinksUpToDate>
  <CharactersWithSpaces>11545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2021-06-09T05:48:00Z</cp:lastPrinted>
  <dcterms:modified xsi:type="dcterms:W3CDTF">2021-06-11T08:28:46Z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6C7A591E7EB7451AB1F76F941FD7FC59</vt:lpwstr>
  </property>
</Properties>
</file>