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s>
        <w:adjustRightInd w:val="0"/>
        <w:snapToGrid w:val="0"/>
        <w:spacing w:line="360" w:lineRule="auto"/>
        <w:jc w:val="center"/>
        <w:rPr>
          <w:rFonts w:ascii="宋体" w:hAnsi="宋体" w:cs="宋体"/>
          <w:bCs/>
          <w:snapToGrid w:val="0"/>
          <w:sz w:val="32"/>
        </w:rPr>
      </w:pPr>
    </w:p>
    <w:p>
      <w:pPr>
        <w:adjustRightInd w:val="0"/>
        <w:snapToGrid w:val="0"/>
        <w:spacing w:line="360" w:lineRule="auto"/>
        <w:jc w:val="center"/>
        <w:rPr>
          <w:rFonts w:ascii="宋体" w:hAnsi="宋体" w:cs="宋体"/>
          <w:bCs/>
          <w:snapToGrid w:val="0"/>
          <w:sz w:val="32"/>
        </w:rPr>
      </w:pPr>
    </w:p>
    <w:p>
      <w:pPr>
        <w:adjustRightInd w:val="0"/>
        <w:snapToGrid w:val="0"/>
        <w:spacing w:line="360" w:lineRule="auto"/>
        <w:jc w:val="center"/>
        <w:rPr>
          <w:rFonts w:ascii="宋体" w:hAnsi="宋体" w:cs="宋体"/>
          <w:b/>
          <w:snapToGrid w:val="0"/>
          <w:sz w:val="44"/>
          <w:szCs w:val="44"/>
        </w:rPr>
      </w:pPr>
      <w:r>
        <w:rPr>
          <w:rFonts w:hint="eastAsia" w:ascii="宋体" w:hAnsi="宋体" w:cs="宋体"/>
          <w:b/>
          <w:snapToGrid w:val="0"/>
          <w:sz w:val="44"/>
          <w:szCs w:val="44"/>
        </w:rPr>
        <w:t>湖州南浔城投城市建设集团有限公司年度（2021-2022）乡镇道路绿化养护工程</w:t>
      </w:r>
    </w:p>
    <w:p>
      <w:pPr>
        <w:adjustRightInd w:val="0"/>
        <w:snapToGrid w:val="0"/>
        <w:spacing w:line="360" w:lineRule="auto"/>
        <w:jc w:val="center"/>
        <w:rPr>
          <w:rFonts w:ascii="宋体" w:hAnsi="宋体" w:cs="宋体"/>
          <w:b/>
          <w:snapToGrid w:val="0"/>
          <w:sz w:val="52"/>
        </w:rPr>
      </w:pPr>
    </w:p>
    <w:p>
      <w:pPr>
        <w:jc w:val="center"/>
        <w:rPr>
          <w:rFonts w:ascii="宋体" w:hAnsi="宋体"/>
          <w:sz w:val="72"/>
          <w:szCs w:val="72"/>
        </w:rPr>
      </w:pPr>
      <w:r>
        <w:rPr>
          <w:rFonts w:hint="eastAsia" w:ascii="宋体" w:hAnsi="宋体"/>
          <w:b/>
          <w:sz w:val="72"/>
          <w:szCs w:val="72"/>
        </w:rPr>
        <w:t>公开招标采购文件</w:t>
      </w:r>
    </w:p>
    <w:p>
      <w:pPr>
        <w:adjustRightInd w:val="0"/>
        <w:snapToGrid w:val="0"/>
        <w:spacing w:line="360" w:lineRule="auto"/>
        <w:jc w:val="center"/>
        <w:rPr>
          <w:rFonts w:ascii="宋体" w:hAnsi="宋体" w:cs="宋体"/>
          <w:bCs/>
          <w:snapToGrid w:val="0"/>
          <w:sz w:val="30"/>
        </w:rPr>
      </w:pPr>
    </w:p>
    <w:p>
      <w:pPr>
        <w:adjustRightInd w:val="0"/>
        <w:snapToGrid w:val="0"/>
        <w:spacing w:line="360" w:lineRule="auto"/>
        <w:jc w:val="center"/>
        <w:rPr>
          <w:rFonts w:ascii="宋体" w:hAnsi="宋体" w:cs="宋体"/>
          <w:bCs/>
          <w:snapToGrid w:val="0"/>
          <w:sz w:val="30"/>
        </w:rPr>
      </w:pPr>
      <w:r>
        <w:rPr>
          <w:rFonts w:hint="eastAsia" w:ascii="宋体" w:hAnsi="宋体" w:cs="宋体"/>
          <w:bCs/>
          <w:snapToGrid w:val="0"/>
          <w:sz w:val="30"/>
        </w:rPr>
        <w:t xml:space="preserve">招标文件编号：ZJJY2021-114    </w:t>
      </w:r>
    </w:p>
    <w:p>
      <w:pPr>
        <w:adjustRightInd w:val="0"/>
        <w:snapToGrid w:val="0"/>
        <w:spacing w:line="360" w:lineRule="auto"/>
        <w:jc w:val="center"/>
        <w:rPr>
          <w:rFonts w:ascii="宋体" w:hAnsi="宋体" w:cs="宋体"/>
          <w:b/>
          <w:snapToGrid w:val="0"/>
          <w:sz w:val="32"/>
        </w:rPr>
      </w:pPr>
    </w:p>
    <w:p>
      <w:pPr>
        <w:pStyle w:val="21"/>
        <w:ind w:firstLine="321"/>
        <w:rPr>
          <w:rFonts w:ascii="宋体" w:hAnsi="宋体" w:cs="宋体"/>
          <w:b/>
          <w:snapToGrid w:val="0"/>
          <w:sz w:val="32"/>
        </w:rPr>
      </w:pPr>
    </w:p>
    <w:p>
      <w:pPr>
        <w:pStyle w:val="21"/>
        <w:ind w:firstLine="321"/>
        <w:rPr>
          <w:rFonts w:ascii="宋体" w:hAnsi="宋体" w:cs="宋体"/>
          <w:b/>
          <w:snapToGrid w:val="0"/>
          <w:sz w:val="32"/>
        </w:rPr>
      </w:pPr>
    </w:p>
    <w:p>
      <w:pPr>
        <w:adjustRightInd w:val="0"/>
        <w:snapToGrid w:val="0"/>
        <w:spacing w:line="360" w:lineRule="auto"/>
        <w:rPr>
          <w:rFonts w:ascii="宋体" w:hAnsi="宋体" w:cs="宋体"/>
          <w:bCs/>
          <w:snapToGrid w:val="0"/>
          <w:sz w:val="32"/>
        </w:rPr>
      </w:pPr>
    </w:p>
    <w:p>
      <w:pPr>
        <w:adjustRightInd w:val="0"/>
        <w:snapToGrid w:val="0"/>
        <w:spacing w:line="360" w:lineRule="auto"/>
        <w:ind w:left="1920" w:hanging="1920" w:hangingChars="600"/>
        <w:rPr>
          <w:rFonts w:ascii="宋体" w:hAnsi="宋体" w:cs="宋体"/>
          <w:bCs/>
          <w:snapToGrid w:val="0"/>
          <w:sz w:val="32"/>
          <w:u w:val="single"/>
        </w:rPr>
      </w:pPr>
      <w:r>
        <w:rPr>
          <w:rFonts w:hint="eastAsia" w:ascii="宋体" w:hAnsi="宋体" w:cs="宋体"/>
          <w:bCs/>
          <w:snapToGrid w:val="0"/>
          <w:sz w:val="32"/>
        </w:rPr>
        <w:t>项目名称：</w:t>
      </w:r>
      <w:r>
        <w:rPr>
          <w:rFonts w:hint="eastAsia" w:ascii="宋体" w:hAnsi="宋体" w:cs="宋体"/>
          <w:bCs/>
          <w:snapToGrid w:val="0"/>
          <w:sz w:val="32"/>
          <w:u w:val="single"/>
        </w:rPr>
        <w:t>湖州南浔城投城市建设集团有限公司年度（2021-2022）乡镇道路绿化养护工程</w:t>
      </w:r>
    </w:p>
    <w:p>
      <w:pPr>
        <w:adjustRightInd w:val="0"/>
        <w:snapToGrid w:val="0"/>
        <w:spacing w:line="360" w:lineRule="auto"/>
        <w:rPr>
          <w:rFonts w:ascii="宋体" w:hAnsi="宋体" w:cs="宋体"/>
          <w:bCs/>
          <w:snapToGrid w:val="0"/>
          <w:sz w:val="32"/>
        </w:rPr>
      </w:pPr>
    </w:p>
    <w:p>
      <w:pPr>
        <w:adjustRightInd w:val="0"/>
        <w:snapToGrid w:val="0"/>
        <w:spacing w:line="360" w:lineRule="auto"/>
        <w:rPr>
          <w:rFonts w:ascii="宋体" w:hAnsi="宋体" w:cs="宋体"/>
          <w:bCs/>
          <w:snapToGrid w:val="0"/>
          <w:sz w:val="32"/>
          <w:u w:val="single"/>
        </w:rPr>
      </w:pPr>
      <w:r>
        <w:rPr>
          <w:rFonts w:hint="eastAsia" w:ascii="宋体" w:hAnsi="宋体" w:cs="宋体"/>
          <w:bCs/>
          <w:snapToGrid w:val="0"/>
          <w:spacing w:val="60"/>
          <w:sz w:val="32"/>
        </w:rPr>
        <w:t>采购单位</w:t>
      </w:r>
      <w:r>
        <w:rPr>
          <w:rFonts w:hint="eastAsia" w:ascii="宋体" w:hAnsi="宋体" w:cs="宋体"/>
          <w:bCs/>
          <w:snapToGrid w:val="0"/>
          <w:sz w:val="32"/>
        </w:rPr>
        <w:t>：</w:t>
      </w:r>
      <w:r>
        <w:rPr>
          <w:rFonts w:hint="eastAsia" w:ascii="宋体" w:hAnsi="宋体" w:cs="宋体"/>
          <w:bCs/>
          <w:snapToGrid w:val="0"/>
          <w:sz w:val="32"/>
          <w:u w:val="single"/>
        </w:rPr>
        <w:t>湖州南浔城投城市建设集团有限公司</w:t>
      </w:r>
    </w:p>
    <w:p>
      <w:pPr>
        <w:adjustRightInd w:val="0"/>
        <w:snapToGrid w:val="0"/>
        <w:spacing w:line="360" w:lineRule="auto"/>
        <w:rPr>
          <w:rFonts w:ascii="宋体" w:hAnsi="宋体" w:cs="宋体"/>
          <w:bCs/>
          <w:snapToGrid w:val="0"/>
          <w:sz w:val="32"/>
        </w:rPr>
      </w:pPr>
    </w:p>
    <w:p>
      <w:pPr>
        <w:adjustRightInd w:val="0"/>
        <w:snapToGrid w:val="0"/>
        <w:spacing w:line="360" w:lineRule="auto"/>
        <w:rPr>
          <w:rFonts w:ascii="宋体" w:hAnsi="宋体" w:cs="宋体"/>
          <w:bCs/>
          <w:snapToGrid w:val="0"/>
          <w:sz w:val="32"/>
        </w:rPr>
      </w:pPr>
      <w:r>
        <w:rPr>
          <w:rFonts w:hint="eastAsia" w:ascii="宋体" w:hAnsi="宋体" w:cs="宋体"/>
          <w:bCs/>
          <w:snapToGrid w:val="0"/>
          <w:sz w:val="32"/>
        </w:rPr>
        <w:t>招标代理机构：</w:t>
      </w:r>
      <w:r>
        <w:rPr>
          <w:rFonts w:hint="eastAsia" w:ascii="宋体" w:hAnsi="宋体" w:cs="宋体"/>
          <w:bCs/>
          <w:snapToGrid w:val="0"/>
          <w:sz w:val="32"/>
          <w:u w:val="single"/>
        </w:rPr>
        <w:t>浙江金业管理咨询有限公司</w:t>
      </w:r>
    </w:p>
    <w:p>
      <w:pPr>
        <w:adjustRightInd w:val="0"/>
        <w:snapToGrid w:val="0"/>
        <w:spacing w:line="360" w:lineRule="auto"/>
        <w:ind w:firstLine="842" w:firstLineChars="262"/>
        <w:rPr>
          <w:rFonts w:ascii="宋体" w:hAnsi="宋体" w:cs="宋体"/>
          <w:b/>
          <w:snapToGrid w:val="0"/>
          <w:sz w:val="32"/>
        </w:rPr>
      </w:pPr>
    </w:p>
    <w:p>
      <w:pPr>
        <w:adjustRightInd w:val="0"/>
        <w:snapToGrid w:val="0"/>
        <w:spacing w:line="360" w:lineRule="auto"/>
        <w:jc w:val="center"/>
        <w:rPr>
          <w:rFonts w:ascii="宋体" w:hAnsi="宋体" w:cs="宋体"/>
          <w:bCs/>
          <w:snapToGrid w:val="0"/>
          <w:sz w:val="32"/>
        </w:rPr>
      </w:pPr>
      <w:r>
        <w:rPr>
          <w:rFonts w:hint="eastAsia" w:ascii="宋体" w:hAnsi="宋体" w:cs="宋体"/>
          <w:bCs/>
          <w:snapToGrid w:val="0"/>
          <w:sz w:val="32"/>
          <w:u w:val="single"/>
        </w:rPr>
        <w:t>2021</w:t>
      </w:r>
      <w:r>
        <w:rPr>
          <w:rFonts w:hint="eastAsia" w:ascii="宋体" w:hAnsi="宋体" w:cs="宋体"/>
          <w:bCs/>
          <w:snapToGrid w:val="0"/>
          <w:sz w:val="32"/>
        </w:rPr>
        <w:t>年</w:t>
      </w:r>
      <w:r>
        <w:rPr>
          <w:rFonts w:hint="eastAsia" w:ascii="宋体" w:hAnsi="宋体" w:cs="宋体"/>
          <w:bCs/>
          <w:snapToGrid w:val="0"/>
          <w:sz w:val="32"/>
          <w:u w:val="single"/>
          <w:lang w:val="en-US" w:eastAsia="zh-CN"/>
        </w:rPr>
        <w:t>7</w:t>
      </w:r>
      <w:r>
        <w:rPr>
          <w:rFonts w:hint="eastAsia" w:ascii="宋体" w:hAnsi="宋体" w:cs="宋体"/>
          <w:bCs/>
          <w:snapToGrid w:val="0"/>
          <w:sz w:val="32"/>
        </w:rPr>
        <w:t>月</w:t>
      </w:r>
    </w:p>
    <w:p>
      <w:pPr>
        <w:spacing w:line="360" w:lineRule="auto"/>
        <w:jc w:val="center"/>
        <w:outlineLvl w:val="0"/>
        <w:rPr>
          <w:rFonts w:ascii="宋体" w:hAnsi="宋体" w:cs="宋体"/>
          <w:b/>
          <w:sz w:val="44"/>
          <w:szCs w:val="44"/>
        </w:rPr>
        <w:sectPr>
          <w:headerReference r:id="rId3" w:type="default"/>
          <w:footerReference r:id="rId4" w:type="default"/>
          <w:pgSz w:w="11907" w:h="16840"/>
          <w:pgMar w:top="1134" w:right="1247" w:bottom="1191" w:left="1128" w:header="851" w:footer="992" w:gutter="0"/>
          <w:cols w:space="720" w:num="1"/>
          <w:docGrid w:linePitch="381" w:charSpace="0"/>
        </w:sectPr>
      </w:pPr>
      <w:bookmarkStart w:id="0" w:name="_Toc20907"/>
    </w:p>
    <w:p>
      <w:pPr>
        <w:spacing w:line="360" w:lineRule="auto"/>
        <w:jc w:val="center"/>
        <w:outlineLvl w:val="0"/>
        <w:rPr>
          <w:rFonts w:ascii="宋体" w:hAnsi="宋体" w:cs="宋体"/>
        </w:rPr>
      </w:pPr>
      <w:r>
        <w:rPr>
          <w:rFonts w:hint="eastAsia" w:ascii="宋体" w:hAnsi="宋体" w:cs="宋体"/>
          <w:b/>
          <w:sz w:val="44"/>
          <w:szCs w:val="44"/>
        </w:rPr>
        <w:t>目  录</w:t>
      </w:r>
      <w:bookmarkEnd w:id="0"/>
    </w:p>
    <w:p>
      <w:pPr>
        <w:pStyle w:val="33"/>
        <w:tabs>
          <w:tab w:val="right" w:leader="dot" w:pos="9532"/>
        </w:tabs>
        <w:spacing w:line="360" w:lineRule="auto"/>
        <w:rPr>
          <w:rFonts w:ascii="宋体" w:hAnsi="宋体" w:cs="宋体"/>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"_Toc28990" </w:instrText>
      </w:r>
      <w:r>
        <w:fldChar w:fldCharType="separate"/>
      </w:r>
      <w:r>
        <w:rPr>
          <w:rFonts w:hint="eastAsia" w:ascii="宋体" w:hAnsi="宋体" w:cs="宋体"/>
          <w:szCs w:val="44"/>
        </w:rPr>
        <w:t>第一章  公开招标采购公告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_Toc28990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33"/>
        <w:tabs>
          <w:tab w:val="right" w:leader="dot" w:pos="9532"/>
        </w:tabs>
        <w:spacing w:line="360" w:lineRule="auto"/>
        <w:rPr>
          <w:rFonts w:ascii="宋体" w:hAnsi="宋体" w:cs="宋体"/>
        </w:rPr>
      </w:pPr>
      <w:r>
        <w:fldChar w:fldCharType="begin"/>
      </w:r>
      <w:r>
        <w:instrText xml:space="preserve"> HYPERLINK \l "_Toc27574" </w:instrText>
      </w:r>
      <w:r>
        <w:fldChar w:fldCharType="separate"/>
      </w:r>
      <w:r>
        <w:rPr>
          <w:rFonts w:hint="eastAsia" w:ascii="宋体" w:hAnsi="宋体" w:cs="宋体"/>
          <w:szCs w:val="44"/>
        </w:rPr>
        <w:t>第二章  招标需求</w:t>
      </w:r>
      <w:r>
        <w:rPr>
          <w:rFonts w:hint="eastAsia" w:ascii="宋体" w:hAnsi="宋体" w:cs="宋体"/>
        </w:rPr>
        <w:tab/>
      </w:r>
      <w:r>
        <w:rPr>
          <w:rFonts w:hint="eastAsia" w:ascii="宋体" w:hAnsi="宋体" w:cs="宋体"/>
        </w:rPr>
        <w:t>6</w:t>
      </w:r>
      <w:r>
        <w:rPr>
          <w:rFonts w:hint="eastAsia" w:ascii="宋体" w:hAnsi="宋体" w:cs="宋体"/>
        </w:rPr>
        <w:fldChar w:fldCharType="end"/>
      </w:r>
    </w:p>
    <w:p>
      <w:pPr>
        <w:pStyle w:val="33"/>
        <w:tabs>
          <w:tab w:val="right" w:leader="dot" w:pos="9532"/>
        </w:tabs>
        <w:spacing w:line="360" w:lineRule="auto"/>
        <w:rPr>
          <w:rFonts w:ascii="宋体" w:hAnsi="宋体" w:cs="宋体"/>
        </w:rPr>
      </w:pPr>
      <w:r>
        <w:fldChar w:fldCharType="begin"/>
      </w:r>
      <w:r>
        <w:instrText xml:space="preserve"> HYPERLINK \l "_Toc23238" </w:instrText>
      </w:r>
      <w:r>
        <w:fldChar w:fldCharType="separate"/>
      </w:r>
      <w:r>
        <w:rPr>
          <w:rFonts w:hint="eastAsia" w:ascii="宋体" w:hAnsi="宋体" w:cs="宋体"/>
          <w:szCs w:val="44"/>
        </w:rPr>
        <w:t>第三章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_Toc23238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36"/>
        <w:tabs>
          <w:tab w:val="right" w:leader="dot" w:pos="9532"/>
        </w:tabs>
        <w:spacing w:line="360" w:lineRule="auto"/>
        <w:ind w:left="560"/>
        <w:rPr>
          <w:rFonts w:ascii="宋体" w:hAnsi="宋体" w:cs="宋体"/>
        </w:rPr>
      </w:pPr>
      <w:r>
        <w:fldChar w:fldCharType="begin"/>
      </w:r>
      <w:r>
        <w:instrText xml:space="preserve"> HYPERLINK \l "_Toc9577" </w:instrText>
      </w:r>
      <w:r>
        <w:fldChar w:fldCharType="separate"/>
      </w:r>
      <w:r>
        <w:rPr>
          <w:rFonts w:hint="eastAsia" w:ascii="宋体" w:hAnsi="宋体" w:cs="宋体"/>
          <w:szCs w:val="32"/>
        </w:rPr>
        <w:t>一、总  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_Toc9577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36"/>
        <w:tabs>
          <w:tab w:val="right" w:leader="dot" w:pos="9532"/>
        </w:tabs>
        <w:spacing w:line="360" w:lineRule="auto"/>
        <w:ind w:left="560"/>
        <w:rPr>
          <w:rFonts w:ascii="宋体" w:hAnsi="宋体" w:cs="宋体"/>
        </w:rPr>
      </w:pPr>
      <w:r>
        <w:fldChar w:fldCharType="begin"/>
      </w:r>
      <w:r>
        <w:instrText xml:space="preserve"> HYPERLINK \l "_Toc13309" </w:instrText>
      </w:r>
      <w:r>
        <w:fldChar w:fldCharType="separate"/>
      </w:r>
      <w:r>
        <w:rPr>
          <w:rFonts w:hint="eastAsia" w:ascii="宋体" w:hAnsi="宋体" w:cs="宋体"/>
          <w:szCs w:val="32"/>
        </w:rPr>
        <w:t>二、招标文件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_Toc13309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36"/>
        <w:tabs>
          <w:tab w:val="right" w:leader="dot" w:pos="9532"/>
        </w:tabs>
        <w:spacing w:line="360" w:lineRule="auto"/>
        <w:ind w:left="560"/>
        <w:rPr>
          <w:rFonts w:ascii="宋体" w:hAnsi="宋体" w:cs="宋体"/>
        </w:rPr>
      </w:pPr>
      <w:r>
        <w:fldChar w:fldCharType="begin"/>
      </w:r>
      <w:r>
        <w:instrText xml:space="preserve"> HYPERLINK \l "_Toc3451" </w:instrText>
      </w:r>
      <w:r>
        <w:fldChar w:fldCharType="separate"/>
      </w:r>
      <w:r>
        <w:rPr>
          <w:rFonts w:hint="eastAsia" w:ascii="宋体" w:hAnsi="宋体" w:cs="宋体"/>
          <w:szCs w:val="32"/>
        </w:rPr>
        <w:t>三、投标文件的编制要求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_Toc3451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36"/>
        <w:tabs>
          <w:tab w:val="right" w:leader="dot" w:pos="9532"/>
        </w:tabs>
        <w:spacing w:line="360" w:lineRule="auto"/>
        <w:ind w:left="560"/>
        <w:rPr>
          <w:rFonts w:ascii="宋体" w:hAnsi="宋体" w:cs="宋体"/>
        </w:rPr>
      </w:pPr>
      <w:r>
        <w:fldChar w:fldCharType="begin"/>
      </w:r>
      <w:r>
        <w:instrText xml:space="preserve"> HYPERLINK \l "_Toc16193" </w:instrText>
      </w:r>
      <w:r>
        <w:fldChar w:fldCharType="separate"/>
      </w:r>
      <w:r>
        <w:rPr>
          <w:rFonts w:hint="eastAsia" w:ascii="宋体" w:hAnsi="宋体" w:cs="宋体"/>
          <w:szCs w:val="32"/>
        </w:rPr>
        <w:t>四、开标</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5</w:t>
      </w:r>
    </w:p>
    <w:p>
      <w:pPr>
        <w:pStyle w:val="36"/>
        <w:tabs>
          <w:tab w:val="right" w:leader="dot" w:pos="9532"/>
        </w:tabs>
        <w:spacing w:line="360" w:lineRule="auto"/>
        <w:ind w:left="560"/>
        <w:rPr>
          <w:rFonts w:ascii="宋体" w:hAnsi="宋体" w:cs="宋体"/>
        </w:rPr>
      </w:pPr>
      <w:r>
        <w:fldChar w:fldCharType="begin"/>
      </w:r>
      <w:r>
        <w:instrText xml:space="preserve"> HYPERLINK \l "_Toc17761" </w:instrText>
      </w:r>
      <w:r>
        <w:fldChar w:fldCharType="separate"/>
      </w:r>
      <w:r>
        <w:rPr>
          <w:rFonts w:hint="eastAsia" w:ascii="宋体" w:hAnsi="宋体" w:cs="宋体"/>
          <w:szCs w:val="32"/>
        </w:rPr>
        <w:t>五、评标</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6</w:t>
      </w:r>
    </w:p>
    <w:p>
      <w:pPr>
        <w:pStyle w:val="36"/>
        <w:tabs>
          <w:tab w:val="right" w:leader="dot" w:pos="9532"/>
        </w:tabs>
        <w:spacing w:line="360" w:lineRule="auto"/>
        <w:ind w:left="560"/>
        <w:rPr>
          <w:rFonts w:ascii="宋体" w:hAnsi="宋体" w:cs="宋体"/>
        </w:rPr>
      </w:pPr>
      <w:r>
        <w:fldChar w:fldCharType="begin"/>
      </w:r>
      <w:r>
        <w:instrText xml:space="preserve"> HYPERLINK \l "_Toc7711" </w:instrText>
      </w:r>
      <w:r>
        <w:fldChar w:fldCharType="separate"/>
      </w:r>
      <w:r>
        <w:rPr>
          <w:rFonts w:hint="eastAsia" w:ascii="宋体" w:hAnsi="宋体" w:cs="宋体"/>
          <w:szCs w:val="32"/>
        </w:rPr>
        <w:t>六、定标</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7</w:t>
      </w:r>
    </w:p>
    <w:p>
      <w:pPr>
        <w:pStyle w:val="36"/>
        <w:tabs>
          <w:tab w:val="right" w:leader="dot" w:pos="9532"/>
        </w:tabs>
        <w:spacing w:line="360" w:lineRule="auto"/>
        <w:ind w:left="560"/>
        <w:rPr>
          <w:rFonts w:ascii="宋体" w:hAnsi="宋体" w:cs="宋体"/>
        </w:rPr>
      </w:pPr>
      <w:r>
        <w:fldChar w:fldCharType="begin"/>
      </w:r>
      <w:r>
        <w:instrText xml:space="preserve"> HYPERLINK \l "_Toc23098" </w:instrText>
      </w:r>
      <w:r>
        <w:fldChar w:fldCharType="separate"/>
      </w:r>
      <w:r>
        <w:rPr>
          <w:rFonts w:hint="eastAsia" w:ascii="宋体" w:hAnsi="宋体" w:cs="宋体"/>
          <w:szCs w:val="32"/>
        </w:rPr>
        <w:t>七、合同授予</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7</w:t>
      </w:r>
    </w:p>
    <w:p>
      <w:pPr>
        <w:pStyle w:val="33"/>
        <w:tabs>
          <w:tab w:val="right" w:leader="dot" w:pos="9532"/>
        </w:tabs>
        <w:spacing w:line="360" w:lineRule="auto"/>
        <w:rPr>
          <w:rFonts w:ascii="宋体" w:hAnsi="宋体" w:cs="宋体"/>
        </w:rPr>
      </w:pPr>
      <w:r>
        <w:fldChar w:fldCharType="begin"/>
      </w:r>
      <w:r>
        <w:instrText xml:space="preserve"> HYPERLINK \l "_Toc31705" </w:instrText>
      </w:r>
      <w:r>
        <w:fldChar w:fldCharType="separate"/>
      </w:r>
      <w:r>
        <w:rPr>
          <w:rFonts w:hint="eastAsia" w:ascii="宋体" w:hAnsi="宋体" w:cs="宋体"/>
          <w:szCs w:val="44"/>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_Toc31705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33"/>
        <w:tabs>
          <w:tab w:val="right" w:leader="dot" w:pos="9532"/>
        </w:tabs>
        <w:spacing w:line="360" w:lineRule="auto"/>
        <w:rPr>
          <w:rFonts w:ascii="宋体" w:hAnsi="宋体" w:cs="宋体"/>
        </w:rPr>
      </w:pPr>
      <w:r>
        <w:fldChar w:fldCharType="begin"/>
      </w:r>
      <w:r>
        <w:instrText xml:space="preserve"> HYPERLINK \l "_Toc16549" </w:instrText>
      </w:r>
      <w:r>
        <w:fldChar w:fldCharType="separate"/>
      </w:r>
      <w:r>
        <w:rPr>
          <w:rFonts w:hint="eastAsia" w:ascii="宋体" w:hAnsi="宋体" w:cs="宋体"/>
          <w:szCs w:val="44"/>
        </w:rPr>
        <w:t>第五章  合同主要条款</w:t>
      </w:r>
      <w:r>
        <w:rPr>
          <w:rFonts w:hint="eastAsia" w:ascii="宋体" w:hAnsi="宋体" w:cs="宋体"/>
        </w:rPr>
        <w:tab/>
      </w:r>
      <w:r>
        <w:rPr>
          <w:rFonts w:hint="eastAsia" w:ascii="宋体" w:hAnsi="宋体" w:cs="宋体"/>
        </w:rPr>
        <w:t>4</w:t>
      </w:r>
      <w:r>
        <w:rPr>
          <w:rFonts w:hint="eastAsia" w:ascii="宋体" w:hAnsi="宋体" w:cs="宋体"/>
        </w:rPr>
        <w:fldChar w:fldCharType="end"/>
      </w:r>
      <w:r>
        <w:rPr>
          <w:rFonts w:hint="eastAsia" w:ascii="宋体" w:hAnsi="宋体" w:cs="宋体"/>
        </w:rPr>
        <w:t>4</w:t>
      </w:r>
    </w:p>
    <w:p>
      <w:pPr>
        <w:pStyle w:val="33"/>
        <w:tabs>
          <w:tab w:val="right" w:leader="dot" w:pos="9532"/>
        </w:tabs>
        <w:spacing w:line="360" w:lineRule="auto"/>
        <w:rPr>
          <w:rFonts w:ascii="宋体" w:hAnsi="宋体" w:cs="宋体"/>
        </w:rPr>
      </w:pPr>
      <w:r>
        <w:fldChar w:fldCharType="begin"/>
      </w:r>
      <w:r>
        <w:instrText xml:space="preserve"> HYPERLINK \l "_Toc11931" </w:instrText>
      </w:r>
      <w:r>
        <w:fldChar w:fldCharType="separate"/>
      </w:r>
      <w:r>
        <w:rPr>
          <w:rFonts w:hint="eastAsia" w:ascii="宋体" w:hAnsi="宋体" w:cs="宋体"/>
          <w:szCs w:val="44"/>
        </w:rPr>
        <w:t>第六章  投标格式与附件（表）</w:t>
      </w:r>
      <w:r>
        <w:rPr>
          <w:rFonts w:hint="eastAsia" w:ascii="宋体" w:hAnsi="宋体" w:cs="宋体"/>
        </w:rPr>
        <w:tab/>
      </w:r>
      <w:r>
        <w:rPr>
          <w:rFonts w:hint="eastAsia" w:ascii="宋体" w:hAnsi="宋体" w:cs="宋体"/>
        </w:rPr>
        <w:t>5</w:t>
      </w:r>
      <w:r>
        <w:rPr>
          <w:rFonts w:hint="eastAsia" w:ascii="宋体" w:hAnsi="宋体" w:cs="宋体"/>
        </w:rPr>
        <w:fldChar w:fldCharType="end"/>
      </w:r>
      <w:r>
        <w:rPr>
          <w:rFonts w:hint="eastAsia" w:ascii="宋体" w:hAnsi="宋体" w:cs="宋体"/>
        </w:rPr>
        <w:t>7</w:t>
      </w:r>
    </w:p>
    <w:p>
      <w:r>
        <w:rPr>
          <w:rFonts w:hint="eastAsia"/>
        </w:rPr>
        <w:t xml:space="preserve"> </w:t>
      </w:r>
    </w:p>
    <w:p>
      <w:pPr>
        <w:adjustRightInd w:val="0"/>
        <w:snapToGrid w:val="0"/>
        <w:spacing w:line="360" w:lineRule="auto"/>
        <w:ind w:firstLine="600"/>
        <w:rPr>
          <w:rFonts w:ascii="宋体" w:hAnsi="宋体" w:cs="宋体"/>
          <w:sz w:val="30"/>
          <w:szCs w:val="30"/>
        </w:rPr>
      </w:pPr>
      <w:r>
        <w:rPr>
          <w:rFonts w:hint="eastAsia" w:ascii="宋体" w:hAnsi="宋体" w:cs="宋体"/>
          <w:szCs w:val="30"/>
        </w:rPr>
        <w:fldChar w:fldCharType="end"/>
      </w:r>
    </w:p>
    <w:p>
      <w:pPr>
        <w:adjustRightInd w:val="0"/>
        <w:snapToGrid w:val="0"/>
        <w:spacing w:line="360" w:lineRule="auto"/>
        <w:ind w:firstLine="600"/>
        <w:rPr>
          <w:rFonts w:ascii="宋体" w:hAnsi="宋体" w:cs="宋体"/>
          <w:sz w:val="30"/>
          <w:szCs w:val="30"/>
        </w:rPr>
      </w:pPr>
    </w:p>
    <w:p>
      <w:pPr>
        <w:adjustRightInd w:val="0"/>
        <w:snapToGrid w:val="0"/>
        <w:spacing w:line="360" w:lineRule="auto"/>
        <w:ind w:firstLine="600"/>
        <w:rPr>
          <w:rFonts w:ascii="宋体" w:hAnsi="宋体" w:cs="宋体"/>
          <w:sz w:val="30"/>
          <w:szCs w:val="30"/>
        </w:rPr>
      </w:pPr>
    </w:p>
    <w:p>
      <w:pPr>
        <w:adjustRightInd w:val="0"/>
        <w:snapToGrid w:val="0"/>
        <w:spacing w:line="360" w:lineRule="auto"/>
        <w:ind w:firstLine="600"/>
        <w:rPr>
          <w:rFonts w:ascii="宋体" w:hAnsi="宋体" w:cs="宋体"/>
          <w:sz w:val="30"/>
          <w:szCs w:val="30"/>
        </w:rPr>
      </w:pPr>
    </w:p>
    <w:p>
      <w:pPr>
        <w:adjustRightInd w:val="0"/>
        <w:snapToGrid w:val="0"/>
        <w:spacing w:line="360" w:lineRule="auto"/>
        <w:ind w:firstLine="600"/>
        <w:rPr>
          <w:rFonts w:ascii="宋体" w:hAnsi="宋体" w:cs="宋体"/>
          <w:sz w:val="30"/>
          <w:szCs w:val="30"/>
        </w:rPr>
      </w:pPr>
    </w:p>
    <w:p>
      <w:pPr>
        <w:adjustRightInd w:val="0"/>
        <w:snapToGrid w:val="0"/>
        <w:spacing w:line="360" w:lineRule="auto"/>
        <w:ind w:firstLine="600"/>
        <w:rPr>
          <w:rFonts w:ascii="宋体" w:hAnsi="宋体" w:cs="宋体"/>
          <w:sz w:val="30"/>
          <w:szCs w:val="30"/>
        </w:rPr>
      </w:pPr>
    </w:p>
    <w:p>
      <w:pPr>
        <w:adjustRightInd w:val="0"/>
        <w:snapToGrid w:val="0"/>
        <w:spacing w:line="360" w:lineRule="auto"/>
        <w:ind w:firstLine="600"/>
        <w:rPr>
          <w:rFonts w:ascii="宋体" w:hAnsi="宋体" w:cs="宋体"/>
          <w:sz w:val="30"/>
          <w:szCs w:val="30"/>
        </w:rPr>
      </w:pPr>
    </w:p>
    <w:p>
      <w:pPr>
        <w:adjustRightInd w:val="0"/>
        <w:snapToGrid w:val="0"/>
        <w:spacing w:line="360" w:lineRule="auto"/>
        <w:ind w:firstLine="600"/>
        <w:rPr>
          <w:rFonts w:ascii="宋体" w:hAnsi="宋体" w:cs="宋体"/>
          <w:sz w:val="30"/>
          <w:szCs w:val="30"/>
        </w:rPr>
      </w:pPr>
    </w:p>
    <w:p>
      <w:pPr>
        <w:spacing w:line="360" w:lineRule="auto"/>
        <w:jc w:val="center"/>
        <w:outlineLvl w:val="0"/>
        <w:rPr>
          <w:rFonts w:ascii="宋体" w:hAnsi="宋体" w:cs="宋体"/>
          <w:b/>
          <w:sz w:val="44"/>
          <w:szCs w:val="44"/>
        </w:rPr>
        <w:sectPr>
          <w:pgSz w:w="11910" w:h="16840"/>
          <w:pgMar w:top="1440" w:right="1080" w:bottom="1440" w:left="1080" w:header="1086" w:footer="1068" w:gutter="0"/>
          <w:cols w:space="720" w:num="1"/>
        </w:sectPr>
      </w:pPr>
      <w:bookmarkStart w:id="1" w:name="_Toc28990"/>
    </w:p>
    <w:p>
      <w:pPr>
        <w:spacing w:line="360" w:lineRule="auto"/>
        <w:jc w:val="center"/>
        <w:outlineLvl w:val="0"/>
        <w:rPr>
          <w:rFonts w:ascii="宋体" w:hAnsi="宋体" w:cs="宋体"/>
          <w:sz w:val="21"/>
          <w:szCs w:val="21"/>
        </w:rPr>
      </w:pPr>
      <w:r>
        <w:rPr>
          <w:rFonts w:hint="eastAsia" w:ascii="宋体" w:hAnsi="宋体" w:cs="宋体"/>
          <w:b/>
          <w:sz w:val="44"/>
          <w:szCs w:val="44"/>
        </w:rPr>
        <w:t>第一章  公开招标采购公告</w:t>
      </w:r>
      <w:bookmarkEnd w:id="1"/>
    </w:p>
    <w:p>
      <w:pPr>
        <w:pStyle w:val="29"/>
        <w:adjustRightInd w:val="0"/>
        <w:snapToGrid w:val="0"/>
        <w:spacing w:line="360" w:lineRule="auto"/>
        <w:ind w:firstLine="480"/>
        <w:rPr>
          <w:rFonts w:cs="宋体"/>
          <w:sz w:val="24"/>
          <w:szCs w:val="24"/>
        </w:rPr>
      </w:pPr>
      <w:r>
        <w:rPr>
          <w:rFonts w:hint="eastAsia" w:cs="宋体"/>
          <w:kern w:val="0"/>
          <w:sz w:val="24"/>
          <w:u w:val="single"/>
        </w:rPr>
        <w:t>湖州南浔城投城市建设集团有限公司</w:t>
      </w:r>
      <w:r>
        <w:rPr>
          <w:rFonts w:hint="eastAsia" w:cs="宋体"/>
          <w:sz w:val="24"/>
          <w:szCs w:val="24"/>
        </w:rPr>
        <w:t>的</w:t>
      </w:r>
      <w:r>
        <w:rPr>
          <w:rFonts w:hint="eastAsia" w:cs="宋体"/>
          <w:sz w:val="24"/>
          <w:szCs w:val="24"/>
          <w:u w:val="single"/>
        </w:rPr>
        <w:t>湖州南浔城投城市建设集团有限公司年度（2021-2022）乡镇道路绿化养护工程现</w:t>
      </w:r>
      <w:r>
        <w:rPr>
          <w:rFonts w:hint="eastAsia" w:cs="宋体"/>
          <w:sz w:val="24"/>
          <w:szCs w:val="24"/>
        </w:rPr>
        <w:t>进行公开招标采购，欢迎中华人民共和国境内的合格投标人前来参加投标。</w:t>
      </w:r>
    </w:p>
    <w:p>
      <w:pPr>
        <w:pStyle w:val="29"/>
        <w:numPr>
          <w:ilvl w:val="0"/>
          <w:numId w:val="1"/>
        </w:numPr>
        <w:adjustRightInd w:val="0"/>
        <w:snapToGrid w:val="0"/>
        <w:spacing w:line="360" w:lineRule="auto"/>
        <w:ind w:firstLineChars="0"/>
        <w:outlineLvl w:val="1"/>
        <w:rPr>
          <w:rFonts w:cs="宋体"/>
          <w:sz w:val="24"/>
          <w:szCs w:val="24"/>
        </w:rPr>
      </w:pPr>
      <w:bookmarkStart w:id="2" w:name="_Toc7519"/>
      <w:r>
        <w:rPr>
          <w:rFonts w:hint="eastAsia" w:cs="宋体"/>
          <w:b/>
          <w:sz w:val="24"/>
          <w:szCs w:val="24"/>
        </w:rPr>
        <w:t>项目编号：</w:t>
      </w:r>
      <w:bookmarkEnd w:id="2"/>
      <w:r>
        <w:rPr>
          <w:rFonts w:hint="eastAsia" w:cs="宋体"/>
          <w:sz w:val="24"/>
          <w:szCs w:val="24"/>
        </w:rPr>
        <w:t xml:space="preserve">ZJJY2021-114     </w:t>
      </w:r>
    </w:p>
    <w:p>
      <w:pPr>
        <w:pStyle w:val="29"/>
        <w:numPr>
          <w:ilvl w:val="0"/>
          <w:numId w:val="1"/>
        </w:numPr>
        <w:adjustRightInd w:val="0"/>
        <w:snapToGrid w:val="0"/>
        <w:spacing w:line="360" w:lineRule="auto"/>
        <w:ind w:firstLineChars="0"/>
        <w:outlineLvl w:val="1"/>
        <w:rPr>
          <w:rFonts w:cs="宋体"/>
          <w:sz w:val="24"/>
          <w:szCs w:val="24"/>
        </w:rPr>
      </w:pPr>
      <w:bookmarkStart w:id="3" w:name="_Toc3936"/>
      <w:r>
        <w:rPr>
          <w:rFonts w:hint="eastAsia" w:cs="宋体"/>
          <w:b/>
          <w:sz w:val="24"/>
          <w:szCs w:val="24"/>
        </w:rPr>
        <w:t>项目组织形式：</w:t>
      </w:r>
      <w:bookmarkEnd w:id="3"/>
      <w:r>
        <w:rPr>
          <w:rFonts w:hint="eastAsia" w:cs="宋体"/>
          <w:sz w:val="24"/>
          <w:szCs w:val="24"/>
        </w:rPr>
        <w:t>分散采购委托代理</w:t>
      </w:r>
    </w:p>
    <w:p>
      <w:pPr>
        <w:pStyle w:val="29"/>
        <w:numPr>
          <w:ilvl w:val="0"/>
          <w:numId w:val="1"/>
        </w:numPr>
        <w:adjustRightInd w:val="0"/>
        <w:snapToGrid w:val="0"/>
        <w:spacing w:line="360" w:lineRule="auto"/>
        <w:ind w:firstLineChars="0"/>
        <w:outlineLvl w:val="1"/>
        <w:rPr>
          <w:rFonts w:cs="宋体"/>
          <w:sz w:val="24"/>
          <w:szCs w:val="24"/>
        </w:rPr>
      </w:pPr>
      <w:bookmarkStart w:id="4" w:name="_Toc20830"/>
      <w:r>
        <w:rPr>
          <w:rFonts w:hint="eastAsia" w:cs="宋体"/>
          <w:b/>
          <w:sz w:val="24"/>
          <w:szCs w:val="24"/>
        </w:rPr>
        <w:t>招标方式：</w:t>
      </w:r>
      <w:r>
        <w:rPr>
          <w:rFonts w:hint="eastAsia" w:cs="宋体"/>
          <w:sz w:val="24"/>
          <w:szCs w:val="24"/>
        </w:rPr>
        <w:t>公开招标</w:t>
      </w:r>
      <w:bookmarkEnd w:id="4"/>
    </w:p>
    <w:p>
      <w:pPr>
        <w:pStyle w:val="29"/>
        <w:numPr>
          <w:ilvl w:val="0"/>
          <w:numId w:val="1"/>
        </w:numPr>
        <w:adjustRightInd w:val="0"/>
        <w:snapToGrid w:val="0"/>
        <w:spacing w:line="360" w:lineRule="auto"/>
        <w:ind w:firstLineChars="0"/>
        <w:outlineLvl w:val="1"/>
        <w:rPr>
          <w:rFonts w:cs="宋体"/>
          <w:b/>
          <w:sz w:val="24"/>
          <w:szCs w:val="24"/>
        </w:rPr>
      </w:pPr>
      <w:bookmarkStart w:id="5" w:name="_Toc4561"/>
      <w:r>
        <w:rPr>
          <w:rFonts w:hint="eastAsia" w:cs="宋体"/>
          <w:b/>
          <w:sz w:val="24"/>
          <w:szCs w:val="24"/>
        </w:rPr>
        <w:t>采购内容：</w:t>
      </w:r>
      <w:bookmarkEnd w:id="5"/>
    </w:p>
    <w:tbl>
      <w:tblPr>
        <w:tblStyle w:val="42"/>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119"/>
        <w:gridCol w:w="1701"/>
        <w:gridCol w:w="992"/>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8" w:type="dxa"/>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标项</w:t>
            </w:r>
          </w:p>
        </w:tc>
        <w:tc>
          <w:tcPr>
            <w:tcW w:w="3119" w:type="dxa"/>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采购内容</w:t>
            </w:r>
          </w:p>
        </w:tc>
        <w:tc>
          <w:tcPr>
            <w:tcW w:w="1701" w:type="dxa"/>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业主单位</w:t>
            </w:r>
          </w:p>
        </w:tc>
        <w:tc>
          <w:tcPr>
            <w:tcW w:w="992" w:type="dxa"/>
          </w:tcPr>
          <w:p>
            <w:pPr>
              <w:pStyle w:val="27"/>
              <w:spacing w:line="500" w:lineRule="exact"/>
              <w:jc w:val="center"/>
              <w:rPr>
                <w:rFonts w:hint="eastAsia" w:cs="宋体" w:asciiTheme="minorEastAsia" w:hAnsiTheme="minorEastAsia" w:eastAsiaTheme="minorEastAsia"/>
                <w:color w:val="000000"/>
              </w:rPr>
            </w:pPr>
            <w:r>
              <w:rPr>
                <w:rFonts w:hint="eastAsia" w:cs="宋体" w:asciiTheme="minorEastAsia" w:hAnsiTheme="minorEastAsia" w:eastAsiaTheme="minorEastAsia"/>
                <w:color w:val="000000"/>
              </w:rPr>
              <w:t>养护面积（㎡）</w:t>
            </w:r>
          </w:p>
        </w:tc>
        <w:tc>
          <w:tcPr>
            <w:tcW w:w="1701" w:type="dxa"/>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服务期</w:t>
            </w:r>
          </w:p>
        </w:tc>
        <w:tc>
          <w:tcPr>
            <w:tcW w:w="1417" w:type="dxa"/>
          </w:tcPr>
          <w:p>
            <w:pPr>
              <w:pStyle w:val="27"/>
              <w:spacing w:line="500" w:lineRule="exact"/>
              <w:jc w:val="center"/>
              <w:rPr>
                <w:rFonts w:hAnsi="宋体" w:cs="宋体"/>
                <w:color w:val="000000"/>
                <w:sz w:val="24"/>
                <w:szCs w:val="24"/>
              </w:rPr>
            </w:pPr>
            <w:r>
              <w:rPr>
                <w:rFonts w:hint="eastAsia" w:cs="宋体" w:asciiTheme="minorEastAsia" w:hAnsiTheme="minorEastAsia" w:eastAsiaTheme="minorEastAsia"/>
                <w:color w:val="000000"/>
              </w:rPr>
              <w:t>采购单价（最高限价）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8"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3119" w:type="dxa"/>
            <w:vAlign w:val="center"/>
          </w:tcPr>
          <w:p>
            <w:pPr>
              <w:pStyle w:val="27"/>
              <w:spacing w:line="46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2020年南浔区美丽乡村景观线善琏镇三新线养护工程</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湖州南浔湖笔文化发展有限公司</w:t>
            </w:r>
          </w:p>
        </w:tc>
        <w:tc>
          <w:tcPr>
            <w:tcW w:w="992"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159702.35</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2020/8/8</w:t>
            </w:r>
            <w:r>
              <w:rPr>
                <w:rFonts w:hint="eastAsia" w:cs="宋体" w:asciiTheme="minorEastAsia" w:hAnsiTheme="minorEastAsia" w:eastAsiaTheme="minorEastAsia"/>
                <w:color w:val="000000"/>
              </w:rPr>
              <w:t>—</w:t>
            </w:r>
            <w:r>
              <w:rPr>
                <w:rFonts w:cs="宋体" w:asciiTheme="minorEastAsia" w:hAnsiTheme="minorEastAsia" w:eastAsiaTheme="minorEastAsia"/>
                <w:color w:val="000000"/>
              </w:rPr>
              <w:t>2021/8/7</w:t>
            </w:r>
          </w:p>
        </w:tc>
        <w:tc>
          <w:tcPr>
            <w:tcW w:w="1417" w:type="dxa"/>
            <w:vMerge w:val="restart"/>
            <w:vAlign w:val="center"/>
          </w:tcPr>
          <w:p>
            <w:pPr>
              <w:pStyle w:val="27"/>
              <w:spacing w:line="500" w:lineRule="exact"/>
              <w:jc w:val="center"/>
              <w:rPr>
                <w:rFonts w:hAnsi="宋体" w:cs="宋体"/>
                <w:color w:val="FF0000"/>
                <w:sz w:val="24"/>
                <w:szCs w:val="24"/>
              </w:rPr>
            </w:pPr>
            <w:r>
              <w:rPr>
                <w:rFonts w:hint="eastAsia" w:hAnsi="宋体" w:cs="宋体"/>
                <w:color w:val="FF0000"/>
                <w:sz w:val="24"/>
                <w:szCs w:val="24"/>
              </w:rPr>
              <w:t>5元/平方米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8" w:type="dxa"/>
            <w:vMerge w:val="restart"/>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3119" w:type="dxa"/>
            <w:vAlign w:val="center"/>
          </w:tcPr>
          <w:p>
            <w:pPr>
              <w:pStyle w:val="27"/>
              <w:spacing w:line="46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2020年南浔区美丽乡村景观线和孚镇和菱线养护工程</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湖州南浔临湖建设集团有限公司</w:t>
            </w:r>
          </w:p>
        </w:tc>
        <w:tc>
          <w:tcPr>
            <w:tcW w:w="992"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86881</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2020/7/15</w:t>
            </w:r>
            <w:r>
              <w:rPr>
                <w:rFonts w:hint="eastAsia" w:cs="宋体" w:asciiTheme="minorEastAsia" w:hAnsiTheme="minorEastAsia" w:eastAsiaTheme="minorEastAsia"/>
                <w:color w:val="000000"/>
              </w:rPr>
              <w:t>—</w:t>
            </w:r>
            <w:r>
              <w:rPr>
                <w:rFonts w:cs="宋体" w:asciiTheme="minorEastAsia" w:hAnsiTheme="minorEastAsia" w:eastAsiaTheme="minorEastAsia"/>
                <w:color w:val="000000"/>
              </w:rPr>
              <w:t>2021/</w:t>
            </w:r>
            <w:r>
              <w:rPr>
                <w:rFonts w:hint="eastAsia" w:cs="宋体" w:asciiTheme="minorEastAsia" w:hAnsiTheme="minorEastAsia" w:eastAsiaTheme="minorEastAsia"/>
                <w:color w:val="000000"/>
              </w:rPr>
              <w:t>7</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14</w:t>
            </w:r>
          </w:p>
        </w:tc>
        <w:tc>
          <w:tcPr>
            <w:tcW w:w="1417" w:type="dxa"/>
            <w:vMerge w:val="continue"/>
          </w:tcPr>
          <w:p>
            <w:pPr>
              <w:pStyle w:val="27"/>
              <w:spacing w:line="500" w:lineRule="exact"/>
              <w:jc w:val="center"/>
              <w:rPr>
                <w:rFonts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8" w:type="dxa"/>
            <w:vMerge w:val="continue"/>
            <w:vAlign w:val="center"/>
          </w:tcPr>
          <w:p>
            <w:pPr>
              <w:pStyle w:val="27"/>
              <w:spacing w:line="500" w:lineRule="exact"/>
              <w:jc w:val="center"/>
              <w:rPr>
                <w:rFonts w:hint="eastAsia" w:cs="宋体" w:asciiTheme="minorEastAsia" w:hAnsiTheme="minorEastAsia" w:eastAsiaTheme="minorEastAsia"/>
                <w:color w:val="000000"/>
              </w:rPr>
            </w:pPr>
          </w:p>
        </w:tc>
        <w:tc>
          <w:tcPr>
            <w:tcW w:w="3119" w:type="dxa"/>
            <w:vAlign w:val="center"/>
          </w:tcPr>
          <w:p>
            <w:pPr>
              <w:pStyle w:val="27"/>
              <w:spacing w:line="460" w:lineRule="exact"/>
              <w:jc w:val="center"/>
              <w:rPr>
                <w:rFonts w:hint="eastAsia" w:cs="宋体" w:asciiTheme="minorEastAsia" w:hAnsiTheme="minorEastAsia" w:eastAsiaTheme="minorEastAsia"/>
                <w:color w:val="000000"/>
              </w:rPr>
            </w:pPr>
            <w:r>
              <w:rPr>
                <w:rFonts w:hint="eastAsia" w:cs="宋体" w:asciiTheme="minorEastAsia" w:hAnsiTheme="minorEastAsia" w:eastAsiaTheme="minorEastAsia"/>
                <w:color w:val="000000"/>
              </w:rPr>
              <w:t>2020年南浔区美丽乡村景观线和孚镇陈塔荻港公路驿站养护工程</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湖州南浔临湖建设集团有限公司</w:t>
            </w:r>
          </w:p>
        </w:tc>
        <w:tc>
          <w:tcPr>
            <w:tcW w:w="992"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6880.1</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2020/8/1</w:t>
            </w:r>
            <w:r>
              <w:rPr>
                <w:rFonts w:hint="eastAsia" w:cs="宋体" w:asciiTheme="minorEastAsia" w:hAnsiTheme="minorEastAsia" w:eastAsiaTheme="minorEastAsia"/>
                <w:color w:val="000000"/>
              </w:rPr>
              <w:t>—</w:t>
            </w:r>
            <w:r>
              <w:rPr>
                <w:rFonts w:cs="宋体" w:asciiTheme="minorEastAsia" w:hAnsiTheme="minorEastAsia" w:eastAsiaTheme="minorEastAsia"/>
                <w:color w:val="000000"/>
              </w:rPr>
              <w:t>2021/</w:t>
            </w:r>
            <w:r>
              <w:rPr>
                <w:rFonts w:hint="eastAsia" w:cs="宋体" w:asciiTheme="minorEastAsia" w:hAnsiTheme="minorEastAsia" w:eastAsiaTheme="minorEastAsia"/>
                <w:color w:val="000000"/>
              </w:rPr>
              <w:t>7</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31</w:t>
            </w:r>
          </w:p>
        </w:tc>
        <w:tc>
          <w:tcPr>
            <w:tcW w:w="1417" w:type="dxa"/>
            <w:vMerge w:val="continue"/>
          </w:tcPr>
          <w:p>
            <w:pPr>
              <w:pStyle w:val="27"/>
              <w:spacing w:line="500" w:lineRule="exact"/>
              <w:jc w:val="center"/>
              <w:rPr>
                <w:rFonts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8" w:type="dxa"/>
            <w:vMerge w:val="restart"/>
            <w:vAlign w:val="center"/>
          </w:tcPr>
          <w:p>
            <w:pPr>
              <w:pStyle w:val="27"/>
              <w:spacing w:line="500" w:lineRule="exact"/>
              <w:jc w:val="center"/>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val="en-US" w:eastAsia="zh-CN"/>
              </w:rPr>
              <w:t>3</w:t>
            </w:r>
          </w:p>
        </w:tc>
        <w:tc>
          <w:tcPr>
            <w:tcW w:w="3119" w:type="dxa"/>
            <w:vAlign w:val="center"/>
          </w:tcPr>
          <w:p>
            <w:pPr>
              <w:pStyle w:val="27"/>
              <w:spacing w:line="460" w:lineRule="exact"/>
              <w:jc w:val="center"/>
              <w:rPr>
                <w:rFonts w:hint="eastAsia" w:cs="宋体" w:asciiTheme="minorEastAsia" w:hAnsiTheme="minorEastAsia" w:eastAsiaTheme="minorEastAsia"/>
                <w:color w:val="000000"/>
              </w:rPr>
            </w:pPr>
            <w:r>
              <w:rPr>
                <w:rFonts w:hint="eastAsia" w:cs="宋体" w:asciiTheme="minorEastAsia" w:hAnsiTheme="minorEastAsia" w:eastAsiaTheme="minorEastAsia"/>
                <w:color w:val="000000"/>
              </w:rPr>
              <w:t>2020年南浔区美丽乡村景观线双林镇墙莫线（花城-姚家坝）养护工程</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湖州双林建设发展有限公司</w:t>
            </w:r>
          </w:p>
        </w:tc>
        <w:tc>
          <w:tcPr>
            <w:tcW w:w="992"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120250.9</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2020/8/</w:t>
            </w:r>
            <w:r>
              <w:rPr>
                <w:rFonts w:hint="eastAsia" w:cs="宋体" w:asciiTheme="minorEastAsia" w:hAnsiTheme="minorEastAsia" w:eastAsiaTheme="minorEastAsia"/>
                <w:color w:val="000000"/>
              </w:rPr>
              <w:t>2</w:t>
            </w:r>
            <w:r>
              <w:rPr>
                <w:rFonts w:cs="宋体" w:asciiTheme="minorEastAsia" w:hAnsiTheme="minorEastAsia" w:eastAsiaTheme="minorEastAsia"/>
                <w:color w:val="000000"/>
              </w:rPr>
              <w:t>8</w:t>
            </w:r>
            <w:r>
              <w:rPr>
                <w:rFonts w:hint="eastAsia" w:cs="宋体" w:asciiTheme="minorEastAsia" w:hAnsiTheme="minorEastAsia" w:eastAsiaTheme="minorEastAsia"/>
                <w:color w:val="000000"/>
              </w:rPr>
              <w:t>—</w:t>
            </w:r>
            <w:r>
              <w:rPr>
                <w:rFonts w:cs="宋体" w:asciiTheme="minorEastAsia" w:hAnsiTheme="minorEastAsia" w:eastAsiaTheme="minorEastAsia"/>
                <w:color w:val="000000"/>
              </w:rPr>
              <w:t>2021/8/</w:t>
            </w:r>
            <w:r>
              <w:rPr>
                <w:rFonts w:hint="eastAsia" w:cs="宋体" w:asciiTheme="minorEastAsia" w:hAnsiTheme="minorEastAsia" w:eastAsiaTheme="minorEastAsia"/>
                <w:color w:val="000000"/>
              </w:rPr>
              <w:t>2</w:t>
            </w:r>
            <w:r>
              <w:rPr>
                <w:rFonts w:cs="宋体" w:asciiTheme="minorEastAsia" w:hAnsiTheme="minorEastAsia" w:eastAsiaTheme="minorEastAsia"/>
                <w:color w:val="000000"/>
              </w:rPr>
              <w:t>7</w:t>
            </w:r>
          </w:p>
        </w:tc>
        <w:tc>
          <w:tcPr>
            <w:tcW w:w="1417" w:type="dxa"/>
            <w:vMerge w:val="continue"/>
          </w:tcPr>
          <w:p>
            <w:pPr>
              <w:pStyle w:val="27"/>
              <w:spacing w:line="500" w:lineRule="exact"/>
              <w:jc w:val="center"/>
              <w:rPr>
                <w:rFonts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8" w:type="dxa"/>
            <w:vMerge w:val="continue"/>
            <w:vAlign w:val="center"/>
          </w:tcPr>
          <w:p>
            <w:pPr>
              <w:pStyle w:val="27"/>
              <w:spacing w:line="500" w:lineRule="exact"/>
              <w:jc w:val="center"/>
              <w:rPr>
                <w:rFonts w:hint="eastAsia" w:cs="宋体" w:asciiTheme="minorEastAsia" w:hAnsiTheme="minorEastAsia" w:eastAsiaTheme="minorEastAsia"/>
                <w:color w:val="000000"/>
              </w:rPr>
            </w:pPr>
          </w:p>
        </w:tc>
        <w:tc>
          <w:tcPr>
            <w:tcW w:w="3119" w:type="dxa"/>
            <w:vAlign w:val="center"/>
          </w:tcPr>
          <w:p>
            <w:pPr>
              <w:pStyle w:val="27"/>
              <w:spacing w:line="460" w:lineRule="exact"/>
              <w:jc w:val="center"/>
              <w:rPr>
                <w:rFonts w:hint="eastAsia" w:cs="宋体" w:asciiTheme="minorEastAsia" w:hAnsiTheme="minorEastAsia" w:eastAsiaTheme="minorEastAsia"/>
                <w:color w:val="000000"/>
              </w:rPr>
            </w:pPr>
            <w:r>
              <w:rPr>
                <w:rFonts w:hint="eastAsia" w:cs="宋体" w:asciiTheme="minorEastAsia" w:hAnsiTheme="minorEastAsia" w:eastAsiaTheme="minorEastAsia"/>
                <w:color w:val="000000"/>
              </w:rPr>
              <w:t>2020年南浔区美丽乡村景观线双林镇三新线双林段养护工程</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湖州双林建设发展有限公司</w:t>
            </w:r>
          </w:p>
        </w:tc>
        <w:tc>
          <w:tcPr>
            <w:tcW w:w="992"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73044</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2020/7/15</w:t>
            </w:r>
            <w:r>
              <w:rPr>
                <w:rFonts w:hint="eastAsia" w:cs="宋体" w:asciiTheme="minorEastAsia" w:hAnsiTheme="minorEastAsia" w:eastAsiaTheme="minorEastAsia"/>
                <w:color w:val="000000"/>
              </w:rPr>
              <w:t>—</w:t>
            </w:r>
            <w:r>
              <w:rPr>
                <w:rFonts w:cs="宋体" w:asciiTheme="minorEastAsia" w:hAnsiTheme="minorEastAsia" w:eastAsiaTheme="minorEastAsia"/>
                <w:color w:val="000000"/>
              </w:rPr>
              <w:t>2021/</w:t>
            </w:r>
            <w:r>
              <w:rPr>
                <w:rFonts w:hint="eastAsia" w:cs="宋体" w:asciiTheme="minorEastAsia" w:hAnsiTheme="minorEastAsia" w:eastAsiaTheme="minorEastAsia"/>
                <w:color w:val="000000"/>
              </w:rPr>
              <w:t>7</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14</w:t>
            </w:r>
          </w:p>
        </w:tc>
        <w:tc>
          <w:tcPr>
            <w:tcW w:w="1417" w:type="dxa"/>
            <w:vMerge w:val="continue"/>
          </w:tcPr>
          <w:p>
            <w:pPr>
              <w:pStyle w:val="27"/>
              <w:spacing w:line="500" w:lineRule="exact"/>
              <w:jc w:val="center"/>
              <w:rPr>
                <w:rFonts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8" w:type="dxa"/>
            <w:vMerge w:val="continue"/>
            <w:vAlign w:val="center"/>
          </w:tcPr>
          <w:p>
            <w:pPr>
              <w:pStyle w:val="27"/>
              <w:spacing w:line="500" w:lineRule="exact"/>
              <w:jc w:val="center"/>
              <w:rPr>
                <w:rFonts w:hint="eastAsia" w:cs="宋体" w:asciiTheme="minorEastAsia" w:hAnsiTheme="minorEastAsia" w:eastAsiaTheme="minorEastAsia"/>
                <w:color w:val="000000"/>
              </w:rPr>
            </w:pPr>
          </w:p>
        </w:tc>
        <w:tc>
          <w:tcPr>
            <w:tcW w:w="3119" w:type="dxa"/>
            <w:vAlign w:val="center"/>
          </w:tcPr>
          <w:p>
            <w:pPr>
              <w:pStyle w:val="27"/>
              <w:spacing w:line="460" w:lineRule="exact"/>
              <w:jc w:val="center"/>
              <w:rPr>
                <w:rFonts w:hint="eastAsia" w:cs="宋体" w:asciiTheme="minorEastAsia" w:hAnsiTheme="minorEastAsia" w:eastAsiaTheme="minorEastAsia"/>
                <w:color w:val="000000"/>
              </w:rPr>
            </w:pPr>
            <w:r>
              <w:rPr>
                <w:rFonts w:hint="eastAsia" w:cs="宋体" w:asciiTheme="minorEastAsia" w:hAnsiTheme="minorEastAsia" w:eastAsiaTheme="minorEastAsia"/>
                <w:color w:val="000000"/>
              </w:rPr>
              <w:t>2020年南浔区美丽乡村景观线双林镇三新线（士林桥-铁镜桥）养护工程</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湖州双林建设发展有限公司</w:t>
            </w:r>
          </w:p>
        </w:tc>
        <w:tc>
          <w:tcPr>
            <w:tcW w:w="992"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11688.55</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2020/</w:t>
            </w:r>
            <w:r>
              <w:rPr>
                <w:rFonts w:hint="eastAsia" w:cs="宋体" w:asciiTheme="minorEastAsia" w:hAnsiTheme="minorEastAsia" w:eastAsiaTheme="minorEastAsia"/>
                <w:color w:val="000000"/>
              </w:rPr>
              <w:t>10</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29—</w:t>
            </w:r>
            <w:r>
              <w:rPr>
                <w:rFonts w:cs="宋体" w:asciiTheme="minorEastAsia" w:hAnsiTheme="minorEastAsia" w:eastAsiaTheme="minorEastAsia"/>
                <w:color w:val="000000"/>
              </w:rPr>
              <w:t>2021/</w:t>
            </w:r>
            <w:r>
              <w:rPr>
                <w:rFonts w:hint="eastAsia" w:cs="宋体" w:asciiTheme="minorEastAsia" w:hAnsiTheme="minorEastAsia" w:eastAsiaTheme="minorEastAsia"/>
                <w:color w:val="000000"/>
              </w:rPr>
              <w:t>10</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28</w:t>
            </w:r>
          </w:p>
        </w:tc>
        <w:tc>
          <w:tcPr>
            <w:tcW w:w="1417" w:type="dxa"/>
            <w:vMerge w:val="continue"/>
          </w:tcPr>
          <w:p>
            <w:pPr>
              <w:pStyle w:val="27"/>
              <w:spacing w:line="500" w:lineRule="exact"/>
              <w:jc w:val="center"/>
              <w:rPr>
                <w:rFonts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pPr>
              <w:pStyle w:val="27"/>
              <w:spacing w:line="500" w:lineRule="exact"/>
              <w:jc w:val="center"/>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val="en-US" w:eastAsia="zh-CN"/>
              </w:rPr>
              <w:t>4</w:t>
            </w:r>
          </w:p>
        </w:tc>
        <w:tc>
          <w:tcPr>
            <w:tcW w:w="3119" w:type="dxa"/>
            <w:vAlign w:val="center"/>
          </w:tcPr>
          <w:p>
            <w:pPr>
              <w:pStyle w:val="27"/>
              <w:spacing w:line="46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2020年南浔区美丽乡村景观线千金镇菱新线养护工程</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湖州千金瑞兴建设开发有限公司</w:t>
            </w:r>
          </w:p>
        </w:tc>
        <w:tc>
          <w:tcPr>
            <w:tcW w:w="992"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141210</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2020/7/15</w:t>
            </w:r>
            <w:r>
              <w:rPr>
                <w:rFonts w:hint="eastAsia" w:cs="宋体" w:asciiTheme="minorEastAsia" w:hAnsiTheme="minorEastAsia" w:eastAsiaTheme="minorEastAsia"/>
                <w:color w:val="000000"/>
              </w:rPr>
              <w:t>—</w:t>
            </w:r>
            <w:r>
              <w:rPr>
                <w:rFonts w:cs="宋体" w:asciiTheme="minorEastAsia" w:hAnsiTheme="minorEastAsia" w:eastAsiaTheme="minorEastAsia"/>
                <w:color w:val="000000"/>
              </w:rPr>
              <w:t>2021/</w:t>
            </w:r>
            <w:r>
              <w:rPr>
                <w:rFonts w:hint="eastAsia" w:cs="宋体" w:asciiTheme="minorEastAsia" w:hAnsiTheme="minorEastAsia" w:eastAsiaTheme="minorEastAsia"/>
                <w:color w:val="000000"/>
              </w:rPr>
              <w:t>7</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14</w:t>
            </w:r>
          </w:p>
        </w:tc>
        <w:tc>
          <w:tcPr>
            <w:tcW w:w="1417" w:type="dxa"/>
            <w:vMerge w:val="continue"/>
          </w:tcPr>
          <w:p>
            <w:pPr>
              <w:pStyle w:val="27"/>
              <w:spacing w:line="500" w:lineRule="exact"/>
              <w:jc w:val="center"/>
              <w:rPr>
                <w:rFonts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8" w:type="dxa"/>
            <w:vMerge w:val="continue"/>
            <w:vAlign w:val="center"/>
          </w:tcPr>
          <w:p>
            <w:pPr>
              <w:pStyle w:val="27"/>
              <w:spacing w:line="500" w:lineRule="exact"/>
              <w:jc w:val="center"/>
              <w:rPr>
                <w:rFonts w:cs="宋体" w:asciiTheme="minorEastAsia" w:hAnsiTheme="minorEastAsia" w:eastAsiaTheme="minorEastAsia"/>
                <w:color w:val="000000"/>
              </w:rPr>
            </w:pPr>
          </w:p>
        </w:tc>
        <w:tc>
          <w:tcPr>
            <w:tcW w:w="3119" w:type="dxa"/>
            <w:vAlign w:val="center"/>
          </w:tcPr>
          <w:p>
            <w:pPr>
              <w:pStyle w:val="27"/>
              <w:spacing w:line="46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2020年南浔区美丽乡村景观线千金镇千金樱花重点段、菱新公路一标三个节点养护工程</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湖州千金瑞兴建设开发有限公司</w:t>
            </w:r>
          </w:p>
        </w:tc>
        <w:tc>
          <w:tcPr>
            <w:tcW w:w="992"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52799.35</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2020/8/1</w:t>
            </w:r>
            <w:r>
              <w:rPr>
                <w:rFonts w:hint="eastAsia" w:cs="宋体" w:asciiTheme="minorEastAsia" w:hAnsiTheme="minorEastAsia" w:eastAsiaTheme="minorEastAsia"/>
                <w:color w:val="000000"/>
              </w:rPr>
              <w:t>—</w:t>
            </w:r>
            <w:r>
              <w:rPr>
                <w:rFonts w:cs="宋体" w:asciiTheme="minorEastAsia" w:hAnsiTheme="minorEastAsia" w:eastAsiaTheme="minorEastAsia"/>
                <w:color w:val="000000"/>
              </w:rPr>
              <w:t>2021/</w:t>
            </w:r>
            <w:r>
              <w:rPr>
                <w:rFonts w:hint="eastAsia" w:cs="宋体" w:asciiTheme="minorEastAsia" w:hAnsiTheme="minorEastAsia" w:eastAsiaTheme="minorEastAsia"/>
                <w:color w:val="000000"/>
              </w:rPr>
              <w:t>7</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31</w:t>
            </w:r>
          </w:p>
        </w:tc>
        <w:tc>
          <w:tcPr>
            <w:tcW w:w="1417" w:type="dxa"/>
            <w:vMerge w:val="continue"/>
          </w:tcPr>
          <w:p>
            <w:pPr>
              <w:pStyle w:val="27"/>
              <w:spacing w:line="500" w:lineRule="exact"/>
              <w:jc w:val="center"/>
              <w:rPr>
                <w:rFonts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8" w:type="dxa"/>
            <w:vAlign w:val="center"/>
          </w:tcPr>
          <w:p>
            <w:pPr>
              <w:pStyle w:val="27"/>
              <w:spacing w:line="500" w:lineRule="exact"/>
              <w:jc w:val="center"/>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val="en-US" w:eastAsia="zh-CN"/>
              </w:rPr>
              <w:t>5</w:t>
            </w:r>
          </w:p>
        </w:tc>
        <w:tc>
          <w:tcPr>
            <w:tcW w:w="3119" w:type="dxa"/>
            <w:vAlign w:val="center"/>
          </w:tcPr>
          <w:p>
            <w:pPr>
              <w:pStyle w:val="27"/>
              <w:spacing w:line="46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2020年南浔区美丽乡村景观线菱湖镇一、二、三标段养护工程</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湖州新菱建设发展有限公司</w:t>
            </w:r>
          </w:p>
        </w:tc>
        <w:tc>
          <w:tcPr>
            <w:tcW w:w="992"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546504.48</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2020/8/1</w:t>
            </w:r>
            <w:r>
              <w:rPr>
                <w:rFonts w:hint="eastAsia" w:cs="宋体" w:asciiTheme="minorEastAsia" w:hAnsiTheme="minorEastAsia" w:eastAsiaTheme="minorEastAsia"/>
                <w:color w:val="000000"/>
              </w:rPr>
              <w:t>—</w:t>
            </w:r>
            <w:r>
              <w:rPr>
                <w:rFonts w:cs="宋体" w:asciiTheme="minorEastAsia" w:hAnsiTheme="minorEastAsia" w:eastAsiaTheme="minorEastAsia"/>
                <w:color w:val="000000"/>
              </w:rPr>
              <w:t>2021/</w:t>
            </w:r>
            <w:r>
              <w:rPr>
                <w:rFonts w:hint="eastAsia" w:cs="宋体" w:asciiTheme="minorEastAsia" w:hAnsiTheme="minorEastAsia" w:eastAsiaTheme="minorEastAsia"/>
                <w:color w:val="000000"/>
              </w:rPr>
              <w:t>7</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31</w:t>
            </w:r>
          </w:p>
        </w:tc>
        <w:tc>
          <w:tcPr>
            <w:tcW w:w="1417" w:type="dxa"/>
            <w:vMerge w:val="continue"/>
          </w:tcPr>
          <w:p>
            <w:pPr>
              <w:pStyle w:val="27"/>
              <w:spacing w:line="500" w:lineRule="exact"/>
              <w:jc w:val="center"/>
              <w:rPr>
                <w:rFonts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8" w:type="dxa"/>
            <w:vAlign w:val="center"/>
          </w:tcPr>
          <w:p>
            <w:pPr>
              <w:pStyle w:val="27"/>
              <w:spacing w:line="500" w:lineRule="exact"/>
              <w:jc w:val="center"/>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val="en-US" w:eastAsia="zh-CN"/>
              </w:rPr>
              <w:t>6</w:t>
            </w:r>
          </w:p>
        </w:tc>
        <w:tc>
          <w:tcPr>
            <w:tcW w:w="3119" w:type="dxa"/>
            <w:vAlign w:val="center"/>
          </w:tcPr>
          <w:p>
            <w:pPr>
              <w:pStyle w:val="27"/>
              <w:spacing w:line="46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2020年南浔区美丽乡村景观线石淙镇墙莫线养护工程</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湖州南浔新淙建设工程有限公司</w:t>
            </w:r>
          </w:p>
        </w:tc>
        <w:tc>
          <w:tcPr>
            <w:tcW w:w="992"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207592</w:t>
            </w:r>
          </w:p>
        </w:tc>
        <w:tc>
          <w:tcPr>
            <w:tcW w:w="1701" w:type="dxa"/>
            <w:vAlign w:val="center"/>
          </w:tcPr>
          <w:p>
            <w:pPr>
              <w:pStyle w:val="27"/>
              <w:spacing w:line="500" w:lineRule="exact"/>
              <w:jc w:val="center"/>
              <w:rPr>
                <w:rFonts w:cs="宋体" w:asciiTheme="minorEastAsia" w:hAnsiTheme="minorEastAsia" w:eastAsiaTheme="minorEastAsia"/>
                <w:color w:val="000000"/>
              </w:rPr>
            </w:pPr>
            <w:r>
              <w:rPr>
                <w:rFonts w:cs="宋体" w:asciiTheme="minorEastAsia" w:hAnsiTheme="minorEastAsia" w:eastAsiaTheme="minorEastAsia"/>
                <w:color w:val="000000"/>
              </w:rPr>
              <w:t>2020/7/15</w:t>
            </w:r>
            <w:r>
              <w:rPr>
                <w:rFonts w:hint="eastAsia" w:cs="宋体" w:asciiTheme="minorEastAsia" w:hAnsiTheme="minorEastAsia" w:eastAsiaTheme="minorEastAsia"/>
                <w:color w:val="000000"/>
              </w:rPr>
              <w:t>—</w:t>
            </w:r>
            <w:r>
              <w:rPr>
                <w:rFonts w:cs="宋体" w:asciiTheme="minorEastAsia" w:hAnsiTheme="minorEastAsia" w:eastAsiaTheme="minorEastAsia"/>
                <w:color w:val="000000"/>
              </w:rPr>
              <w:t>2021/</w:t>
            </w:r>
            <w:r>
              <w:rPr>
                <w:rFonts w:hint="eastAsia" w:cs="宋体" w:asciiTheme="minorEastAsia" w:hAnsiTheme="minorEastAsia" w:eastAsiaTheme="minorEastAsia"/>
                <w:color w:val="000000"/>
              </w:rPr>
              <w:t>7</w:t>
            </w:r>
            <w:r>
              <w:rPr>
                <w:rFonts w:cs="宋体" w:asciiTheme="minorEastAsia" w:hAnsiTheme="minorEastAsia" w:eastAsiaTheme="minorEastAsia"/>
                <w:color w:val="000000"/>
              </w:rPr>
              <w:t>/</w:t>
            </w:r>
            <w:r>
              <w:rPr>
                <w:rFonts w:hint="eastAsia" w:cs="宋体" w:asciiTheme="minorEastAsia" w:hAnsiTheme="minorEastAsia" w:eastAsiaTheme="minorEastAsia"/>
                <w:color w:val="000000"/>
              </w:rPr>
              <w:t>14</w:t>
            </w:r>
          </w:p>
        </w:tc>
        <w:tc>
          <w:tcPr>
            <w:tcW w:w="1417" w:type="dxa"/>
            <w:vMerge w:val="continue"/>
          </w:tcPr>
          <w:p>
            <w:pPr>
              <w:pStyle w:val="27"/>
              <w:spacing w:line="500" w:lineRule="exact"/>
              <w:jc w:val="center"/>
              <w:rPr>
                <w:rFonts w:hAnsi="宋体" w:cs="宋体"/>
                <w:color w:val="FF0000"/>
                <w:sz w:val="24"/>
                <w:szCs w:val="24"/>
              </w:rPr>
            </w:pPr>
          </w:p>
        </w:tc>
      </w:tr>
    </w:tbl>
    <w:p>
      <w:pPr>
        <w:pStyle w:val="29"/>
        <w:adjustRightInd w:val="0"/>
        <w:snapToGrid w:val="0"/>
        <w:spacing w:line="360" w:lineRule="auto"/>
        <w:ind w:firstLine="0" w:firstLineChars="0"/>
        <w:outlineLvl w:val="1"/>
        <w:rPr>
          <w:rFonts w:hint="eastAsia" w:cs="宋体"/>
          <w:b/>
          <w:sz w:val="24"/>
          <w:szCs w:val="24"/>
          <w:lang w:eastAsia="zh-CN"/>
        </w:rPr>
      </w:pPr>
      <w:bookmarkStart w:id="6" w:name="_Toc4575"/>
      <w:r>
        <w:rPr>
          <w:rFonts w:hint="eastAsia" w:cs="宋体"/>
          <w:b/>
          <w:sz w:val="24"/>
          <w:szCs w:val="24"/>
        </w:rPr>
        <w:t>注：本项目共分</w:t>
      </w:r>
      <w:r>
        <w:rPr>
          <w:rFonts w:hint="eastAsia" w:cs="宋体"/>
          <w:b/>
          <w:sz w:val="24"/>
          <w:szCs w:val="24"/>
          <w:lang w:val="en-US" w:eastAsia="zh-CN"/>
        </w:rPr>
        <w:t>6</w:t>
      </w:r>
      <w:r>
        <w:rPr>
          <w:rFonts w:hint="eastAsia" w:cs="宋体"/>
          <w:b/>
          <w:sz w:val="24"/>
          <w:szCs w:val="24"/>
        </w:rPr>
        <w:t>个标段，投标单位可投多个标段，同一投标单位可中</w:t>
      </w:r>
      <w:r>
        <w:rPr>
          <w:rFonts w:hint="eastAsia" w:cs="宋体"/>
          <w:b/>
          <w:sz w:val="24"/>
          <w:szCs w:val="24"/>
          <w:lang w:eastAsia="zh-CN"/>
        </w:rPr>
        <w:t>多个</w:t>
      </w:r>
      <w:r>
        <w:rPr>
          <w:rFonts w:hint="eastAsia" w:cs="宋体"/>
          <w:b/>
          <w:sz w:val="24"/>
          <w:szCs w:val="24"/>
        </w:rPr>
        <w:t>标段</w:t>
      </w:r>
      <w:r>
        <w:rPr>
          <w:rFonts w:hint="eastAsia" w:cs="宋体"/>
          <w:b/>
          <w:sz w:val="24"/>
          <w:szCs w:val="24"/>
          <w:lang w:eastAsia="zh-CN"/>
        </w:rPr>
        <w:t>。</w:t>
      </w:r>
    </w:p>
    <w:p>
      <w:pPr>
        <w:pStyle w:val="29"/>
        <w:adjustRightInd w:val="0"/>
        <w:snapToGrid w:val="0"/>
        <w:spacing w:line="360" w:lineRule="auto"/>
        <w:ind w:firstLine="0" w:firstLineChars="0"/>
        <w:outlineLvl w:val="1"/>
        <w:rPr>
          <w:rFonts w:hint="eastAsia" w:cs="宋体"/>
          <w:b/>
          <w:sz w:val="24"/>
          <w:szCs w:val="24"/>
        </w:rPr>
      </w:pPr>
      <w:r>
        <w:rPr>
          <w:rFonts w:hint="eastAsia" w:cs="宋体"/>
          <w:b/>
          <w:sz w:val="24"/>
          <w:szCs w:val="24"/>
        </w:rPr>
        <w:t>五、合格投标人的资格要求：</w:t>
      </w:r>
      <w:bookmarkEnd w:id="6"/>
      <w:bookmarkStart w:id="7" w:name="_Toc19747"/>
    </w:p>
    <w:p>
      <w:pPr>
        <w:pStyle w:val="29"/>
        <w:adjustRightInd w:val="0"/>
        <w:snapToGrid w:val="0"/>
        <w:spacing w:line="360" w:lineRule="auto"/>
        <w:ind w:firstLine="0" w:firstLineChars="0"/>
        <w:outlineLvl w:val="1"/>
        <w:rPr>
          <w:rFonts w:hint="eastAsia" w:cs="宋体"/>
          <w:sz w:val="24"/>
        </w:rPr>
      </w:pPr>
      <w:r>
        <w:rPr>
          <w:rFonts w:hint="eastAsia" w:cs="宋体"/>
          <w:sz w:val="24"/>
        </w:rPr>
        <w:t>1、▲投标人的特定条件：在中华人民共和国境内注册，具备有效的企业法人营业执照且包含承接园林工程施工、城市绿化管理的施工企业（以企业营业执照经营范围为主）（浙江省外企业须提供有效的《省外企业进浙承接业务备案证明》）</w:t>
      </w:r>
    </w:p>
    <w:p>
      <w:pPr>
        <w:pStyle w:val="29"/>
        <w:adjustRightInd w:val="0"/>
        <w:snapToGrid w:val="0"/>
        <w:spacing w:line="360" w:lineRule="auto"/>
        <w:ind w:firstLine="0" w:firstLineChars="0"/>
        <w:outlineLvl w:val="1"/>
        <w:rPr>
          <w:rFonts w:hint="eastAsia" w:ascii="宋体" w:hAnsi="宋体" w:eastAsia="宋体" w:cs="宋体"/>
          <w:sz w:val="24"/>
          <w:lang w:val="en-US" w:eastAsia="zh-CN"/>
        </w:rPr>
      </w:pPr>
      <w:r>
        <w:rPr>
          <w:rFonts w:hint="eastAsia" w:ascii="宋体" w:hAnsi="宋体" w:eastAsia="宋体" w:cs="宋体"/>
          <w:sz w:val="24"/>
          <w:lang w:val="en-US" w:eastAsia="zh-CN"/>
        </w:rPr>
        <w:t>2、投标单位为南浔区</w:t>
      </w:r>
      <w:r>
        <w:rPr>
          <w:rFonts w:hint="eastAsia" w:ascii="宋体" w:hAnsi="宋体" w:eastAsia="宋体" w:cs="宋体"/>
          <w:sz w:val="24"/>
        </w:rPr>
        <w:t>村级强村公司</w:t>
      </w:r>
      <w:r>
        <w:rPr>
          <w:rFonts w:hint="eastAsia" w:ascii="宋体" w:hAnsi="宋体" w:eastAsia="宋体" w:cs="宋体"/>
          <w:sz w:val="24"/>
          <w:lang w:eastAsia="zh-CN"/>
        </w:rPr>
        <w:t>；</w:t>
      </w:r>
    </w:p>
    <w:p>
      <w:pPr>
        <w:pStyle w:val="29"/>
        <w:adjustRightInd w:val="0"/>
        <w:snapToGrid w:val="0"/>
        <w:spacing w:line="360" w:lineRule="auto"/>
        <w:ind w:firstLine="0" w:firstLineChars="0"/>
        <w:outlineLvl w:val="1"/>
        <w:rPr>
          <w:rFonts w:cs="宋体"/>
          <w:b/>
          <w:sz w:val="24"/>
          <w:szCs w:val="24"/>
        </w:rPr>
      </w:pPr>
      <w:r>
        <w:rPr>
          <w:rFonts w:hint="eastAsia" w:cs="宋体"/>
          <w:sz w:val="24"/>
          <w:lang w:val="en-US" w:eastAsia="zh-CN"/>
        </w:rPr>
        <w:t>3</w:t>
      </w:r>
      <w:r>
        <w:rPr>
          <w:rFonts w:hint="eastAsia" w:cs="宋体"/>
          <w:sz w:val="24"/>
        </w:rPr>
        <w:t>、本项目不接受联合体投标。</w:t>
      </w:r>
    </w:p>
    <w:bookmarkEnd w:id="7"/>
    <w:p>
      <w:pPr>
        <w:pStyle w:val="29"/>
        <w:adjustRightInd w:val="0"/>
        <w:snapToGrid w:val="0"/>
        <w:spacing w:line="360" w:lineRule="auto"/>
        <w:ind w:firstLine="0" w:firstLineChars="0"/>
        <w:outlineLvl w:val="1"/>
        <w:rPr>
          <w:rFonts w:cs="宋体"/>
          <w:b/>
          <w:color w:val="000000"/>
          <w:kern w:val="0"/>
          <w:sz w:val="24"/>
        </w:rPr>
      </w:pPr>
      <w:bookmarkStart w:id="8" w:name="_Toc530729359"/>
      <w:r>
        <w:rPr>
          <w:rFonts w:hint="eastAsia" w:cs="宋体"/>
          <w:b/>
          <w:color w:val="000000"/>
          <w:kern w:val="0"/>
          <w:sz w:val="24"/>
        </w:rPr>
        <w:t>六、报名及获取招标文件时间:</w:t>
      </w:r>
    </w:p>
    <w:p>
      <w:pPr>
        <w:widowControl/>
        <w:spacing w:line="500" w:lineRule="exact"/>
        <w:ind w:left="59" w:leftChars="21" w:right="60" w:firstLine="470" w:firstLineChars="196"/>
        <w:rPr>
          <w:rFonts w:ascii="宋体" w:hAnsi="宋体" w:cs="宋体"/>
          <w:color w:val="000000"/>
          <w:kern w:val="0"/>
          <w:sz w:val="24"/>
        </w:rPr>
      </w:pPr>
      <w:r>
        <w:rPr>
          <w:rFonts w:hint="eastAsia" w:ascii="宋体" w:hAnsi="宋体" w:cs="宋体"/>
          <w:color w:val="000000"/>
          <w:kern w:val="0"/>
          <w:sz w:val="24"/>
        </w:rPr>
        <w:t>获取招标文件时间：2021年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2</w:t>
      </w:r>
      <w:r>
        <w:rPr>
          <w:rFonts w:hint="eastAsia" w:ascii="宋体" w:hAnsi="宋体" w:cs="宋体"/>
          <w:color w:val="000000"/>
          <w:kern w:val="0"/>
          <w:sz w:val="24"/>
        </w:rPr>
        <w:t>日</w:t>
      </w:r>
    </w:p>
    <w:p>
      <w:pPr>
        <w:widowControl/>
        <w:spacing w:line="500" w:lineRule="exact"/>
        <w:ind w:right="60" w:firstLine="480" w:firstLineChars="200"/>
        <w:jc w:val="left"/>
        <w:rPr>
          <w:rFonts w:ascii="宋体" w:hAnsi="宋体" w:cs="宋体"/>
          <w:color w:val="000000"/>
          <w:kern w:val="0"/>
          <w:sz w:val="24"/>
        </w:rPr>
      </w:pPr>
      <w:r>
        <w:rPr>
          <w:rFonts w:hint="eastAsia" w:hAnsi="宋体" w:cs="宋体"/>
          <w:color w:val="000000"/>
          <w:kern w:val="0"/>
          <w:sz w:val="24"/>
        </w:rPr>
        <w:t>获取方式：</w:t>
      </w:r>
      <w:r>
        <w:rPr>
          <w:rFonts w:hint="eastAsia" w:ascii="宋体" w:hAnsi="宋体" w:cs="宋体"/>
          <w:color w:val="000000"/>
          <w:kern w:val="0"/>
          <w:sz w:val="24"/>
        </w:rPr>
        <w:t>浙江金业管理咨询有限公司网站：</w:t>
      </w:r>
      <w:r>
        <w:fldChar w:fldCharType="begin"/>
      </w:r>
      <w:r>
        <w:instrText xml:space="preserve"> HYPERLINK "http://www.jygczb.com/下载" </w:instrText>
      </w:r>
      <w:r>
        <w:fldChar w:fldCharType="separate"/>
      </w:r>
      <w:r>
        <w:rPr>
          <w:rStyle w:val="52"/>
          <w:rFonts w:hint="eastAsia" w:ascii="宋体" w:hAnsi="宋体" w:cs="宋体"/>
          <w:color w:val="000000"/>
          <w:kern w:val="0"/>
          <w:sz w:val="24"/>
        </w:rPr>
        <w:t>http://www.jygczb.com/下载</w:t>
      </w:r>
      <w:r>
        <w:rPr>
          <w:rStyle w:val="52"/>
          <w:rFonts w:hint="eastAsia" w:ascii="宋体" w:hAnsi="宋体" w:cs="宋体"/>
          <w:color w:val="000000"/>
          <w:kern w:val="0"/>
          <w:sz w:val="24"/>
        </w:rPr>
        <w:fldChar w:fldCharType="end"/>
      </w:r>
    </w:p>
    <w:p>
      <w:pPr>
        <w:pStyle w:val="17"/>
        <w:ind w:firstLine="480" w:firstLineChars="200"/>
      </w:pPr>
      <w:r>
        <w:rPr>
          <w:rStyle w:val="52"/>
          <w:rFonts w:hint="eastAsia" w:ascii="宋体" w:hAnsi="宋体" w:eastAsia="宋体" w:cs="宋体"/>
          <w:color w:val="000000"/>
          <w:kern w:val="0"/>
          <w:sz w:val="24"/>
          <w:szCs w:val="24"/>
          <w:lang w:val="en-US" w:eastAsia="zh-CN" w:bidi="ar-SA"/>
        </w:rPr>
        <w:t>湖州南浔城投城市建设集团有限公司公司网址：http://www.hznxctzlh.com/</w:t>
      </w:r>
      <w:r>
        <w:rPr>
          <w:rStyle w:val="52"/>
          <w:rFonts w:hint="eastAsia" w:ascii="宋体" w:hAnsi="宋体" w:cs="宋体"/>
          <w:color w:val="000000"/>
          <w:kern w:val="0"/>
          <w:sz w:val="24"/>
        </w:rPr>
        <w:t>下载</w:t>
      </w:r>
    </w:p>
    <w:p>
      <w:pPr>
        <w:widowControl/>
        <w:spacing w:line="500" w:lineRule="exact"/>
        <w:ind w:right="60"/>
        <w:rPr>
          <w:rFonts w:ascii="宋体" w:hAnsi="宋体" w:cs="宋体"/>
          <w:b/>
          <w:color w:val="000000"/>
          <w:kern w:val="0"/>
          <w:sz w:val="24"/>
        </w:rPr>
      </w:pPr>
      <w:r>
        <w:rPr>
          <w:rFonts w:hint="eastAsia" w:ascii="宋体" w:hAnsi="宋体" w:cs="宋体"/>
          <w:b/>
          <w:color w:val="000000"/>
          <w:kern w:val="0"/>
          <w:sz w:val="24"/>
        </w:rPr>
        <w:t>七、投标文件的递交及相关事宜：</w:t>
      </w:r>
    </w:p>
    <w:p>
      <w:pPr>
        <w:widowControl/>
        <w:spacing w:line="480" w:lineRule="exact"/>
        <w:ind w:right="60" w:firstLine="480" w:firstLineChars="200"/>
        <w:rPr>
          <w:rFonts w:ascii="宋体" w:hAnsi="宋体" w:cs="宋体"/>
          <w:kern w:val="0"/>
          <w:sz w:val="24"/>
        </w:rPr>
      </w:pPr>
      <w:r>
        <w:rPr>
          <w:rFonts w:hint="eastAsia" w:ascii="宋体" w:hAnsi="宋体" w:cs="宋体"/>
          <w:kern w:val="0"/>
          <w:sz w:val="24"/>
          <w:u w:val="single"/>
        </w:rPr>
        <w:t>2021年</w:t>
      </w:r>
      <w:r>
        <w:rPr>
          <w:rFonts w:hint="eastAsia" w:ascii="宋体" w:hAnsi="宋体" w:cs="宋体"/>
          <w:kern w:val="0"/>
          <w:sz w:val="24"/>
          <w:u w:val="single"/>
          <w:lang w:val="en-US" w:eastAsia="zh-CN"/>
        </w:rPr>
        <w:t>7</w:t>
      </w:r>
      <w:r>
        <w:rPr>
          <w:rFonts w:hint="eastAsia" w:ascii="宋体" w:hAnsi="宋体" w:cs="宋体"/>
          <w:kern w:val="0"/>
          <w:sz w:val="24"/>
          <w:u w:val="single"/>
        </w:rPr>
        <w:t>月</w:t>
      </w:r>
      <w:r>
        <w:rPr>
          <w:rFonts w:hint="eastAsia" w:ascii="宋体" w:hAnsi="宋体" w:cs="宋体"/>
          <w:kern w:val="0"/>
          <w:sz w:val="24"/>
          <w:u w:val="single"/>
          <w:lang w:val="en-US" w:eastAsia="zh-CN"/>
        </w:rPr>
        <w:t>9</w:t>
      </w:r>
      <w:r>
        <w:rPr>
          <w:rFonts w:hint="eastAsia" w:ascii="宋体" w:hAnsi="宋体" w:cs="宋体"/>
          <w:kern w:val="0"/>
          <w:sz w:val="24"/>
          <w:u w:val="single"/>
        </w:rPr>
        <w:t xml:space="preserve">日 </w:t>
      </w:r>
      <w:r>
        <w:rPr>
          <w:rFonts w:hint="eastAsia" w:ascii="宋体" w:hAnsi="宋体" w:cs="宋体"/>
          <w:kern w:val="0"/>
          <w:sz w:val="24"/>
          <w:u w:val="single"/>
          <w:lang w:val="en-US" w:eastAsia="zh-CN"/>
        </w:rPr>
        <w:t>14</w:t>
      </w:r>
      <w:r>
        <w:rPr>
          <w:rFonts w:hint="eastAsia" w:ascii="宋体" w:hAnsi="宋体" w:cs="宋体"/>
          <w:kern w:val="0"/>
          <w:sz w:val="24"/>
          <w:u w:val="single"/>
        </w:rPr>
        <w:t xml:space="preserve"> :</w:t>
      </w:r>
      <w:r>
        <w:rPr>
          <w:rFonts w:hint="eastAsia" w:ascii="宋体" w:hAnsi="宋体" w:cs="宋体"/>
          <w:kern w:val="0"/>
          <w:sz w:val="24"/>
          <w:u w:val="single"/>
          <w:lang w:val="en-US" w:eastAsia="zh-CN"/>
        </w:rPr>
        <w:t>00</w:t>
      </w:r>
      <w:r>
        <w:rPr>
          <w:rFonts w:hint="eastAsia" w:ascii="宋体" w:hAnsi="宋体" w:cs="宋体"/>
          <w:kern w:val="0"/>
          <w:sz w:val="24"/>
          <w:u w:val="single"/>
        </w:rPr>
        <w:t>时</w:t>
      </w:r>
      <w:r>
        <w:rPr>
          <w:rFonts w:hint="eastAsia" w:ascii="宋体" w:hAnsi="宋体" w:cs="宋体"/>
          <w:kern w:val="0"/>
          <w:sz w:val="24"/>
        </w:rPr>
        <w:t>整送至</w:t>
      </w:r>
      <w:r>
        <w:rPr>
          <w:rFonts w:hint="eastAsia" w:ascii="宋体" w:hAnsi="宋体" w:cs="宋体"/>
          <w:b/>
          <w:color w:val="000000"/>
          <w:kern w:val="0"/>
          <w:sz w:val="24"/>
        </w:rPr>
        <w:t>湖州南浔城投城市建设集团有限公司会议室（浙江省南浔镇朝阳路88号）</w:t>
      </w:r>
      <w:r>
        <w:rPr>
          <w:rFonts w:hint="eastAsia" w:ascii="宋体" w:hAnsi="宋体" w:cs="宋体"/>
          <w:kern w:val="0"/>
          <w:sz w:val="24"/>
        </w:rPr>
        <w:t>，逾期送达或未密封将拒绝接收。</w:t>
      </w:r>
    </w:p>
    <w:p>
      <w:pPr>
        <w:widowControl/>
        <w:numPr>
          <w:ilvl w:val="0"/>
          <w:numId w:val="2"/>
        </w:numPr>
        <w:spacing w:line="500" w:lineRule="exact"/>
        <w:ind w:right="60" w:firstLine="472" w:firstLineChars="196"/>
        <w:rPr>
          <w:rFonts w:ascii="宋体" w:hAnsi="宋体" w:cs="宋体"/>
          <w:b/>
          <w:color w:val="000000"/>
          <w:kern w:val="0"/>
          <w:sz w:val="24"/>
        </w:rPr>
      </w:pPr>
      <w:r>
        <w:rPr>
          <w:rFonts w:hint="eastAsia" w:ascii="宋体" w:hAnsi="宋体" w:cs="宋体"/>
          <w:b/>
          <w:color w:val="000000"/>
          <w:kern w:val="0"/>
          <w:sz w:val="24"/>
        </w:rPr>
        <w:t>投标地址：湖州南浔城投城市建设集团有限公司会议室（浙江省南浔镇朝阳路88号）</w:t>
      </w:r>
    </w:p>
    <w:p>
      <w:pPr>
        <w:widowControl/>
        <w:spacing w:line="500" w:lineRule="exact"/>
        <w:ind w:right="60" w:firstLine="482" w:firstLineChars="200"/>
        <w:rPr>
          <w:rFonts w:ascii="宋体" w:hAnsi="宋体" w:cs="宋体"/>
          <w:color w:val="000000"/>
          <w:kern w:val="0"/>
          <w:sz w:val="24"/>
        </w:rPr>
      </w:pPr>
      <w:r>
        <w:rPr>
          <w:rFonts w:hint="eastAsia" w:ascii="宋体" w:hAnsi="宋体" w:cs="宋体"/>
          <w:b/>
          <w:color w:val="000000"/>
          <w:kern w:val="0"/>
          <w:sz w:val="24"/>
        </w:rPr>
        <w:t>九、开标时间：</w:t>
      </w:r>
      <w:r>
        <w:rPr>
          <w:rFonts w:hint="eastAsia" w:ascii="宋体" w:hAnsi="宋体" w:cs="宋体"/>
          <w:color w:val="000000"/>
          <w:kern w:val="0"/>
          <w:sz w:val="24"/>
        </w:rPr>
        <w:t>2</w:t>
      </w:r>
      <w:r>
        <w:rPr>
          <w:rFonts w:hint="eastAsia" w:ascii="宋体" w:hAnsi="宋体" w:cs="宋体"/>
          <w:kern w:val="0"/>
          <w:sz w:val="24"/>
        </w:rPr>
        <w:t>021年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9</w:t>
      </w:r>
      <w:r>
        <w:rPr>
          <w:rFonts w:hint="eastAsia" w:ascii="宋体" w:hAnsi="宋体" w:cs="宋体"/>
          <w:kern w:val="0"/>
          <w:sz w:val="24"/>
        </w:rPr>
        <w:t>日</w:t>
      </w:r>
      <w:r>
        <w:rPr>
          <w:rFonts w:hint="eastAsia" w:ascii="宋体" w:hAnsi="宋体" w:cs="宋体"/>
          <w:color w:val="000000"/>
          <w:kern w:val="0"/>
          <w:sz w:val="24"/>
          <w:lang w:val="en-US" w:eastAsia="zh-CN"/>
        </w:rPr>
        <w:t>14</w:t>
      </w:r>
      <w:r>
        <w:rPr>
          <w:rFonts w:hint="eastAsia" w:ascii="宋体" w:hAnsi="宋体" w:cs="宋体"/>
          <w:color w:val="000000"/>
          <w:kern w:val="0"/>
          <w:sz w:val="24"/>
        </w:rPr>
        <w:t>:</w:t>
      </w:r>
      <w:r>
        <w:rPr>
          <w:rFonts w:hint="eastAsia" w:ascii="宋体" w:hAnsi="宋体" w:cs="宋体"/>
          <w:color w:val="000000"/>
          <w:kern w:val="0"/>
          <w:sz w:val="24"/>
          <w:lang w:val="en-US" w:eastAsia="zh-CN"/>
        </w:rPr>
        <w:t>0</w:t>
      </w:r>
      <w:r>
        <w:rPr>
          <w:rFonts w:hint="eastAsia" w:ascii="宋体" w:hAnsi="宋体" w:cs="宋体"/>
          <w:color w:val="000000"/>
          <w:kern w:val="0"/>
          <w:sz w:val="24"/>
        </w:rPr>
        <w:t>0时整</w:t>
      </w:r>
    </w:p>
    <w:p>
      <w:pPr>
        <w:widowControl/>
        <w:spacing w:line="500" w:lineRule="exact"/>
        <w:ind w:right="60" w:firstLine="472" w:firstLineChars="196"/>
        <w:rPr>
          <w:rFonts w:ascii="宋体" w:hAnsi="宋体" w:cs="宋体"/>
          <w:b/>
          <w:color w:val="000000"/>
          <w:kern w:val="0"/>
          <w:sz w:val="24"/>
        </w:rPr>
      </w:pPr>
      <w:r>
        <w:rPr>
          <w:rFonts w:hint="eastAsia" w:ascii="宋体" w:hAnsi="宋体" w:cs="宋体"/>
          <w:b/>
          <w:color w:val="000000"/>
          <w:kern w:val="0"/>
          <w:sz w:val="24"/>
        </w:rPr>
        <w:t>十、开标地址：湖州南浔城投城市建设集团有限公司会议室（浙江省南浔镇朝阳路88号）</w:t>
      </w:r>
    </w:p>
    <w:p>
      <w:pPr>
        <w:widowControl/>
        <w:spacing w:line="500" w:lineRule="exact"/>
        <w:ind w:right="60" w:firstLine="472" w:firstLineChars="196"/>
        <w:rPr>
          <w:rFonts w:ascii="宋体" w:hAnsi="宋体" w:cs="宋体"/>
          <w:b/>
          <w:color w:val="000000"/>
          <w:kern w:val="0"/>
          <w:sz w:val="24"/>
        </w:rPr>
      </w:pPr>
      <w:r>
        <w:rPr>
          <w:rFonts w:hint="eastAsia" w:ascii="宋体" w:hAnsi="宋体" w:cs="宋体"/>
          <w:b/>
          <w:color w:val="000000"/>
          <w:kern w:val="0"/>
          <w:sz w:val="24"/>
        </w:rPr>
        <w:t>十一、其他事项：</w:t>
      </w:r>
    </w:p>
    <w:p>
      <w:pPr>
        <w:pStyle w:val="3"/>
        <w:ind w:firstLine="720" w:firstLineChars="300"/>
        <w:rPr>
          <w:rFonts w:hAnsi="宋体" w:cs="Arial"/>
          <w:bCs/>
          <w:sz w:val="24"/>
        </w:rPr>
      </w:pPr>
      <w:r>
        <w:rPr>
          <w:rFonts w:hint="eastAsia" w:hAnsi="宋体" w:cs="Arial"/>
          <w:bCs/>
          <w:sz w:val="24"/>
        </w:rPr>
        <w:t>1、供应商对招标文件有异议的，应当在2021年</w:t>
      </w:r>
      <w:r>
        <w:rPr>
          <w:rFonts w:hint="eastAsia" w:hAnsi="宋体" w:cs="Arial"/>
          <w:bCs/>
          <w:sz w:val="24"/>
          <w:lang w:val="en-US" w:eastAsia="zh-CN"/>
        </w:rPr>
        <w:t>7</w:t>
      </w:r>
      <w:r>
        <w:rPr>
          <w:rFonts w:hint="eastAsia" w:hAnsi="宋体" w:cs="Arial"/>
          <w:bCs/>
          <w:sz w:val="24"/>
        </w:rPr>
        <w:t>月</w:t>
      </w:r>
      <w:r>
        <w:rPr>
          <w:rFonts w:hint="eastAsia" w:hAnsi="宋体" w:cs="Arial"/>
          <w:bCs/>
          <w:sz w:val="24"/>
          <w:lang w:val="en-US" w:eastAsia="zh-CN"/>
        </w:rPr>
        <w:t>6</w:t>
      </w:r>
      <w:r>
        <w:rPr>
          <w:rFonts w:hint="eastAsia" w:hAnsi="宋体" w:cs="Arial"/>
          <w:bCs/>
          <w:sz w:val="24"/>
        </w:rPr>
        <w:t>日下午17：00前以书面方式通过电子邮件（邮箱：383027718@qq.com）一次性提出。如果确需澄清和修改，采购人、代理机构将在规定的时间内统一进行澄清和修改，并以书面方式通过电子邮件通知所有认购招标文件的供应商。供应商未按规定要求提出或者未在法定时间内对招标文件提出质疑的，则视同认可招标文件，但法律法规及规范性文件有明确规定的除外。</w:t>
      </w:r>
    </w:p>
    <w:p>
      <w:pPr>
        <w:widowControl/>
        <w:spacing w:line="500" w:lineRule="exact"/>
        <w:ind w:right="60" w:firstLine="720" w:firstLineChars="300"/>
        <w:jc w:val="left"/>
        <w:rPr>
          <w:rFonts w:ascii="宋体" w:hAnsi="宋体" w:cs="宋体"/>
          <w:color w:val="000000"/>
          <w:kern w:val="0"/>
          <w:sz w:val="24"/>
        </w:rPr>
      </w:pPr>
      <w:r>
        <w:rPr>
          <w:rFonts w:hint="eastAsia" w:ascii="宋体" w:hAnsi="宋体" w:cs="Arial"/>
          <w:bCs/>
          <w:kern w:val="0"/>
          <w:sz w:val="24"/>
        </w:rPr>
        <w:t>2、</w:t>
      </w:r>
      <w:r>
        <w:rPr>
          <w:rFonts w:hint="eastAsia" w:ascii="宋体" w:hAnsi="宋体" w:cs="宋体"/>
          <w:color w:val="000000"/>
          <w:kern w:val="0"/>
          <w:sz w:val="24"/>
        </w:rPr>
        <w:t>本项目公告发布网站：</w:t>
      </w:r>
    </w:p>
    <w:p>
      <w:pPr>
        <w:widowControl/>
        <w:spacing w:line="500" w:lineRule="exact"/>
        <w:ind w:right="60" w:firstLine="480" w:firstLineChars="200"/>
        <w:jc w:val="left"/>
        <w:rPr>
          <w:rFonts w:ascii="宋体" w:hAnsi="宋体" w:cs="宋体"/>
          <w:color w:val="000000"/>
          <w:kern w:val="0"/>
          <w:sz w:val="24"/>
        </w:rPr>
      </w:pPr>
      <w:r>
        <w:rPr>
          <w:rFonts w:hint="eastAsia" w:ascii="宋体" w:hAnsi="宋体" w:cs="宋体"/>
          <w:color w:val="000000"/>
          <w:kern w:val="0"/>
          <w:sz w:val="24"/>
        </w:rPr>
        <w:t>浙江金业管理咨询有限公司网站：</w:t>
      </w:r>
      <w:r>
        <w:fldChar w:fldCharType="begin"/>
      </w:r>
      <w:r>
        <w:instrText xml:space="preserve"> HYPERLINK "http://www.jygczb.com/" </w:instrText>
      </w:r>
      <w:r>
        <w:fldChar w:fldCharType="separate"/>
      </w:r>
      <w:r>
        <w:rPr>
          <w:rStyle w:val="52"/>
          <w:rFonts w:hint="eastAsia" w:ascii="宋体" w:hAnsi="宋体" w:cs="宋体"/>
          <w:color w:val="000000"/>
          <w:kern w:val="0"/>
          <w:sz w:val="24"/>
        </w:rPr>
        <w:t>http://www.jygczb.com/</w:t>
      </w:r>
      <w:r>
        <w:rPr>
          <w:rStyle w:val="52"/>
          <w:rFonts w:hint="eastAsia" w:ascii="宋体" w:hAnsi="宋体" w:cs="宋体"/>
          <w:color w:val="000000"/>
          <w:kern w:val="0"/>
          <w:sz w:val="24"/>
        </w:rPr>
        <w:fldChar w:fldCharType="end"/>
      </w:r>
    </w:p>
    <w:p>
      <w:pPr>
        <w:pStyle w:val="17"/>
        <w:ind w:firstLine="480"/>
        <w:rPr>
          <w:rStyle w:val="52"/>
          <w:rFonts w:hint="eastAsia" w:ascii="宋体" w:hAnsi="宋体" w:eastAsia="宋体" w:cs="宋体"/>
          <w:color w:val="000000"/>
          <w:kern w:val="0"/>
          <w:sz w:val="24"/>
          <w:szCs w:val="24"/>
          <w:lang w:val="en-US" w:eastAsia="zh-CN" w:bidi="ar-SA"/>
        </w:rPr>
      </w:pPr>
      <w:r>
        <w:rPr>
          <w:rStyle w:val="52"/>
          <w:rFonts w:hint="eastAsia" w:ascii="宋体" w:hAnsi="宋体" w:eastAsia="宋体" w:cs="宋体"/>
          <w:color w:val="000000"/>
          <w:kern w:val="0"/>
          <w:sz w:val="24"/>
          <w:szCs w:val="24"/>
          <w:lang w:val="en-US" w:eastAsia="zh-CN" w:bidi="ar-SA"/>
        </w:rPr>
        <w:t>湖州南浔城投城市建设集团有限公司公司网址：</w:t>
      </w:r>
      <w:r>
        <w:rPr>
          <w:rStyle w:val="52"/>
          <w:rFonts w:hint="eastAsia" w:ascii="宋体" w:hAnsi="宋体" w:eastAsia="宋体" w:cs="宋体"/>
          <w:color w:val="000000"/>
          <w:kern w:val="0"/>
          <w:sz w:val="24"/>
          <w:szCs w:val="24"/>
          <w:lang w:val="en-US" w:eastAsia="zh-CN" w:bidi="ar-SA"/>
        </w:rPr>
        <w:fldChar w:fldCharType="begin"/>
      </w:r>
      <w:r>
        <w:rPr>
          <w:rStyle w:val="52"/>
          <w:rFonts w:hint="eastAsia" w:ascii="宋体" w:hAnsi="宋体" w:eastAsia="宋体" w:cs="宋体"/>
          <w:color w:val="000000"/>
          <w:kern w:val="0"/>
          <w:sz w:val="24"/>
          <w:szCs w:val="24"/>
          <w:lang w:val="en-US" w:eastAsia="zh-CN" w:bidi="ar-SA"/>
        </w:rPr>
        <w:instrText xml:space="preserve"> HYPERLINK "http://www.hznxctzlh.com/" </w:instrText>
      </w:r>
      <w:r>
        <w:rPr>
          <w:rStyle w:val="52"/>
          <w:rFonts w:hint="eastAsia" w:ascii="宋体" w:hAnsi="宋体" w:eastAsia="宋体" w:cs="宋体"/>
          <w:color w:val="000000"/>
          <w:kern w:val="0"/>
          <w:sz w:val="24"/>
          <w:szCs w:val="24"/>
          <w:lang w:val="en-US" w:eastAsia="zh-CN" w:bidi="ar-SA"/>
        </w:rPr>
        <w:fldChar w:fldCharType="separate"/>
      </w:r>
      <w:r>
        <w:rPr>
          <w:rStyle w:val="52"/>
          <w:rFonts w:hint="eastAsia" w:ascii="宋体" w:hAnsi="宋体" w:eastAsia="宋体" w:cs="宋体"/>
          <w:kern w:val="0"/>
          <w:sz w:val="24"/>
          <w:szCs w:val="24"/>
          <w:lang w:val="en-US" w:eastAsia="zh-CN" w:bidi="ar-SA"/>
        </w:rPr>
        <w:t>http://www.hznxctzlh.com/</w:t>
      </w:r>
      <w:r>
        <w:rPr>
          <w:rStyle w:val="52"/>
          <w:rFonts w:hint="eastAsia" w:ascii="宋体" w:hAnsi="宋体" w:eastAsia="宋体" w:cs="宋体"/>
          <w:color w:val="000000"/>
          <w:kern w:val="0"/>
          <w:sz w:val="24"/>
          <w:szCs w:val="24"/>
          <w:lang w:val="en-US" w:eastAsia="zh-CN" w:bidi="ar-SA"/>
        </w:rPr>
        <w:fldChar w:fldCharType="end"/>
      </w:r>
    </w:p>
    <w:p>
      <w:pPr>
        <w:pStyle w:val="17"/>
        <w:ind w:firstLine="480"/>
        <w:rPr>
          <w:rStyle w:val="52"/>
          <w:rFonts w:hint="default" w:ascii="宋体" w:hAnsi="宋体" w:cs="宋体"/>
          <w:color w:val="000000"/>
          <w:kern w:val="0"/>
          <w:sz w:val="24"/>
          <w:szCs w:val="24"/>
          <w:lang w:val="en-US" w:eastAsia="zh-CN" w:bidi="ar-SA"/>
        </w:rPr>
      </w:pPr>
      <w:r>
        <w:rPr>
          <w:rStyle w:val="52"/>
          <w:rFonts w:hint="eastAsia" w:ascii="宋体" w:hAnsi="宋体" w:cs="宋体"/>
          <w:color w:val="000000"/>
          <w:kern w:val="0"/>
          <w:sz w:val="24"/>
          <w:szCs w:val="24"/>
          <w:lang w:val="en-US" w:eastAsia="zh-CN" w:bidi="ar-SA"/>
        </w:rPr>
        <w:t>3、招标文件费用：300元/份。</w:t>
      </w:r>
    </w:p>
    <w:p>
      <w:pPr>
        <w:snapToGrid w:val="0"/>
        <w:spacing w:line="340" w:lineRule="exact"/>
        <w:rPr>
          <w:rFonts w:ascii="宋体" w:hAnsi="宋体" w:cs="Arial"/>
          <w:b/>
          <w:sz w:val="24"/>
        </w:rPr>
      </w:pPr>
      <w:r>
        <w:rPr>
          <w:rFonts w:hint="eastAsia" w:ascii="宋体" w:hAnsi="宋体" w:cs="Arial"/>
          <w:b/>
          <w:sz w:val="24"/>
        </w:rPr>
        <w:t>十二、业务咨询：</w:t>
      </w:r>
    </w:p>
    <w:p>
      <w:pPr>
        <w:widowControl/>
        <w:spacing w:line="360" w:lineRule="exact"/>
        <w:ind w:firstLine="420"/>
        <w:jc w:val="left"/>
        <w:rPr>
          <w:rFonts w:ascii="宋体" w:hAnsi="宋体" w:eastAsia="微软雅黑" w:cs="Arial"/>
          <w:kern w:val="0"/>
          <w:sz w:val="24"/>
        </w:rPr>
      </w:pPr>
      <w:r>
        <w:rPr>
          <w:rFonts w:hint="eastAsia" w:ascii="宋体" w:hAnsi="宋体" w:cs="Arial"/>
          <w:kern w:val="0"/>
          <w:sz w:val="24"/>
        </w:rPr>
        <w:t>1、采购代理机构名称：浙江金业管理咨询有限公司</w:t>
      </w:r>
    </w:p>
    <w:p>
      <w:pPr>
        <w:widowControl/>
        <w:spacing w:line="360" w:lineRule="exact"/>
        <w:ind w:firstLine="420"/>
        <w:jc w:val="left"/>
        <w:rPr>
          <w:rFonts w:ascii="宋体" w:hAnsi="宋体" w:eastAsia="微软雅黑" w:cs="Arial"/>
          <w:kern w:val="0"/>
          <w:sz w:val="24"/>
        </w:rPr>
      </w:pPr>
      <w:r>
        <w:rPr>
          <w:rFonts w:hint="eastAsia" w:ascii="宋体" w:hAnsi="宋体" w:cs="Arial"/>
          <w:kern w:val="0"/>
          <w:sz w:val="24"/>
        </w:rPr>
        <w:t>联系人：徐而侃   联系电话：0572-2557286   传真：0572-2558688</w:t>
      </w:r>
    </w:p>
    <w:p>
      <w:pPr>
        <w:widowControl/>
        <w:spacing w:line="360" w:lineRule="exact"/>
        <w:ind w:firstLine="420"/>
        <w:jc w:val="left"/>
        <w:rPr>
          <w:rFonts w:ascii="宋体" w:hAnsi="宋体" w:cs="Arial"/>
          <w:kern w:val="0"/>
          <w:sz w:val="24"/>
        </w:rPr>
      </w:pPr>
      <w:r>
        <w:rPr>
          <w:rFonts w:hint="eastAsia" w:ascii="宋体" w:hAnsi="宋体" w:cs="Arial"/>
          <w:kern w:val="0"/>
          <w:sz w:val="24"/>
        </w:rPr>
        <w:t>2、采购人名称：湖州南浔城投城市建设集团有限公司</w:t>
      </w:r>
    </w:p>
    <w:p>
      <w:pPr>
        <w:widowControl/>
        <w:spacing w:line="480" w:lineRule="exact"/>
        <w:ind w:right="60" w:firstLine="480" w:firstLineChars="200"/>
        <w:rPr>
          <w:rFonts w:ascii="宋体" w:hAnsi="宋体" w:cs="宋体"/>
          <w:sz w:val="24"/>
        </w:rPr>
      </w:pPr>
      <w:r>
        <w:rPr>
          <w:rFonts w:hint="eastAsia" w:ascii="宋体" w:hAnsi="宋体" w:cs="Arial"/>
          <w:kern w:val="0"/>
          <w:sz w:val="24"/>
        </w:rPr>
        <w:t>联系人：王工</w:t>
      </w:r>
      <w:r>
        <w:rPr>
          <w:rFonts w:hint="eastAsia" w:ascii="宋体" w:hAnsi="宋体" w:cs="宋体"/>
          <w:sz w:val="24"/>
        </w:rPr>
        <w:t xml:space="preserve">   电话：0572-3018269</w:t>
      </w:r>
    </w:p>
    <w:p>
      <w:pPr>
        <w:pageBreakBefore/>
        <w:spacing w:line="360" w:lineRule="auto"/>
        <w:jc w:val="center"/>
        <w:outlineLvl w:val="0"/>
        <w:rPr>
          <w:rFonts w:ascii="宋体" w:hAnsi="宋体" w:cs="宋体"/>
          <w:b/>
          <w:sz w:val="44"/>
          <w:szCs w:val="44"/>
        </w:rPr>
      </w:pPr>
      <w:r>
        <w:rPr>
          <w:rFonts w:hint="eastAsia" w:ascii="宋体" w:hAnsi="宋体" w:cs="宋体"/>
          <w:b/>
          <w:sz w:val="44"/>
          <w:szCs w:val="44"/>
        </w:rPr>
        <w:t>第二章  招标需求</w:t>
      </w:r>
      <w:bookmarkEnd w:id="8"/>
    </w:p>
    <w:p>
      <w:pPr>
        <w:pStyle w:val="3"/>
        <w:spacing w:line="360" w:lineRule="auto"/>
        <w:ind w:firstLine="0"/>
        <w:rPr>
          <w:rFonts w:hAnsi="宋体" w:cs="宋体"/>
          <w:kern w:val="2"/>
          <w:sz w:val="24"/>
          <w:szCs w:val="24"/>
          <w:lang w:val="zh-CN"/>
        </w:rPr>
      </w:pPr>
      <w:r>
        <w:rPr>
          <w:rFonts w:hint="eastAsia" w:hAnsi="宋体" w:cs="宋体"/>
          <w:b/>
          <w:bCs/>
          <w:kern w:val="2"/>
          <w:sz w:val="24"/>
          <w:lang w:val="zh-CN"/>
        </w:rPr>
        <w:t>一、</w:t>
      </w:r>
      <w:r>
        <w:rPr>
          <w:rFonts w:hint="eastAsia" w:hAnsi="宋体" w:cs="宋体"/>
          <w:b/>
          <w:bCs/>
          <w:kern w:val="2"/>
          <w:sz w:val="24"/>
          <w:szCs w:val="24"/>
          <w:lang w:val="zh-CN"/>
        </w:rPr>
        <w:t>招标单位名称：</w:t>
      </w:r>
      <w:r>
        <w:rPr>
          <w:rFonts w:hint="eastAsia" w:hAnsi="宋体" w:cs="宋体"/>
          <w:kern w:val="2"/>
          <w:sz w:val="24"/>
          <w:szCs w:val="24"/>
          <w:lang w:val="zh-CN"/>
        </w:rPr>
        <w:t xml:space="preserve"> 湖州南浔城投城市建设集团有限公司</w:t>
      </w:r>
    </w:p>
    <w:p>
      <w:pPr>
        <w:pStyle w:val="3"/>
        <w:spacing w:line="360" w:lineRule="auto"/>
        <w:ind w:firstLine="0"/>
        <w:rPr>
          <w:rFonts w:hAnsi="宋体" w:cs="宋体"/>
          <w:kern w:val="2"/>
          <w:sz w:val="24"/>
          <w:szCs w:val="24"/>
          <w:lang w:val="zh-CN"/>
        </w:rPr>
      </w:pPr>
      <w:r>
        <w:rPr>
          <w:rFonts w:hint="eastAsia" w:hAnsi="宋体" w:cs="宋体"/>
          <w:b/>
          <w:bCs/>
          <w:kern w:val="2"/>
          <w:sz w:val="24"/>
          <w:szCs w:val="24"/>
          <w:lang w:val="zh-CN"/>
        </w:rPr>
        <w:t>二、招标项目：</w:t>
      </w:r>
      <w:r>
        <w:rPr>
          <w:rFonts w:hint="eastAsia" w:hAnsi="宋体" w:cs="宋体"/>
          <w:kern w:val="2"/>
          <w:sz w:val="24"/>
          <w:szCs w:val="24"/>
          <w:lang w:val="zh-CN"/>
        </w:rPr>
        <w:t>湖州南浔城投城市建设集团有限公司年度（2021-2022）乡镇道路绿化养护工程</w:t>
      </w:r>
    </w:p>
    <w:p>
      <w:pPr>
        <w:pStyle w:val="3"/>
        <w:spacing w:line="360" w:lineRule="auto"/>
        <w:ind w:firstLine="0"/>
        <w:rPr>
          <w:rFonts w:hAnsi="宋体" w:cs="宋体"/>
          <w:b/>
          <w:bCs/>
          <w:kern w:val="2"/>
          <w:sz w:val="24"/>
          <w:szCs w:val="24"/>
          <w:lang w:val="zh-CN"/>
        </w:rPr>
      </w:pPr>
      <w:r>
        <w:rPr>
          <w:rFonts w:hint="eastAsia" w:hAnsi="宋体" w:cs="宋体"/>
          <w:b/>
          <w:bCs/>
          <w:kern w:val="2"/>
          <w:sz w:val="24"/>
          <w:szCs w:val="24"/>
          <w:lang w:val="zh-CN"/>
        </w:rPr>
        <w:t>三、服务期限</w:t>
      </w:r>
      <w:r>
        <w:rPr>
          <w:rFonts w:hint="eastAsia" w:hAnsi="宋体" w:cs="宋体"/>
          <w:b/>
          <w:bCs/>
          <w:kern w:val="2"/>
          <w:sz w:val="24"/>
          <w:szCs w:val="24"/>
        </w:rPr>
        <w:t xml:space="preserve"> </w:t>
      </w:r>
      <w:r>
        <w:rPr>
          <w:rFonts w:hint="eastAsia" w:hAnsi="宋体" w:cs="宋体"/>
          <w:b/>
          <w:bCs/>
          <w:kern w:val="2"/>
          <w:sz w:val="24"/>
          <w:szCs w:val="24"/>
          <w:lang w:val="zh-CN"/>
        </w:rPr>
        <w:t>：</w:t>
      </w:r>
    </w:p>
    <w:p>
      <w:pPr>
        <w:pStyle w:val="3"/>
        <w:spacing w:line="360" w:lineRule="auto"/>
        <w:ind w:firstLine="352" w:firstLineChars="147"/>
        <w:rPr>
          <w:rFonts w:hAnsi="宋体" w:cs="宋体"/>
          <w:kern w:val="2"/>
          <w:sz w:val="24"/>
          <w:szCs w:val="24"/>
        </w:rPr>
      </w:pPr>
      <w:r>
        <w:rPr>
          <w:rFonts w:hint="eastAsia" w:hAnsi="宋体" w:cs="宋体"/>
          <w:kern w:val="2"/>
          <w:sz w:val="24"/>
          <w:szCs w:val="24"/>
        </w:rPr>
        <w:t>本项目服务期限为1年，服务期限从合同签订生效之日起开始计算。相关要求及考核未达到采购人要求，采购人将终止与中标人本项目合同。</w:t>
      </w:r>
    </w:p>
    <w:p>
      <w:pPr>
        <w:pStyle w:val="3"/>
        <w:spacing w:line="360" w:lineRule="auto"/>
        <w:ind w:firstLine="352" w:firstLineChars="147"/>
        <w:rPr>
          <w:rFonts w:hAnsi="宋体" w:cs="宋体"/>
          <w:kern w:val="2"/>
          <w:sz w:val="24"/>
          <w:szCs w:val="24"/>
          <w:lang w:val="zh-CN"/>
        </w:rPr>
      </w:pPr>
      <w:r>
        <w:rPr>
          <w:rFonts w:hint="eastAsia" w:hAnsi="宋体" w:cs="宋体"/>
          <w:kern w:val="2"/>
          <w:sz w:val="24"/>
          <w:szCs w:val="24"/>
        </w:rPr>
        <w:t>本次招标合同一年一签，采购人根据中标人在上一</w:t>
      </w:r>
      <w:r>
        <w:rPr>
          <w:rFonts w:hint="eastAsia" w:hAnsi="宋体" w:cs="宋体"/>
          <w:kern w:val="2"/>
          <w:sz w:val="24"/>
          <w:szCs w:val="24"/>
          <w:lang w:val="zh-CN"/>
        </w:rPr>
        <w:t>合同周期内合同履约情况、考核情况及资金落实情况等决定是否续签。</w:t>
      </w:r>
    </w:p>
    <w:p>
      <w:pPr>
        <w:pStyle w:val="3"/>
        <w:spacing w:line="360" w:lineRule="auto"/>
        <w:ind w:firstLine="0"/>
        <w:rPr>
          <w:rFonts w:hAnsi="宋体" w:cs="宋体"/>
          <w:b/>
          <w:bCs/>
          <w:kern w:val="2"/>
          <w:sz w:val="24"/>
          <w:szCs w:val="24"/>
          <w:lang w:val="zh-CN"/>
        </w:rPr>
      </w:pPr>
      <w:r>
        <w:rPr>
          <w:rFonts w:hint="eastAsia" w:hAnsi="宋体" w:cs="宋体"/>
          <w:b/>
          <w:bCs/>
          <w:kern w:val="2"/>
          <w:sz w:val="24"/>
          <w:szCs w:val="24"/>
          <w:lang w:val="zh-CN"/>
        </w:rPr>
        <w:t>四、招标内容：</w:t>
      </w:r>
    </w:p>
    <w:p>
      <w:pPr>
        <w:pStyle w:val="3"/>
        <w:spacing w:line="360" w:lineRule="auto"/>
        <w:ind w:firstLine="352" w:firstLineChars="147"/>
        <w:rPr>
          <w:rFonts w:hAnsi="宋体" w:cs="宋体"/>
          <w:kern w:val="2"/>
          <w:sz w:val="24"/>
          <w:szCs w:val="24"/>
          <w:lang w:val="zh-CN"/>
        </w:rPr>
      </w:pPr>
      <w:r>
        <w:rPr>
          <w:rFonts w:hint="eastAsia" w:hAnsi="宋体" w:cs="宋体"/>
          <w:kern w:val="2"/>
          <w:sz w:val="24"/>
          <w:szCs w:val="24"/>
        </w:rPr>
        <w:t>1、管护内容：①绿化养护，景观线绿化带除草、病虫害防治、水肥管理、苗木补植等项目的管护；②环境卫生保洁, 绿化带环境卫生保洁，绿化带边坡清理；③设施维护, 绿道、平侧石、灯光设施、座椅、公交驿站、旅游驿站、旅游标识、停车场、 景观节点等设施管理维修（包括材料）；④排水系统日常维护， 明沟、暗沟、沟盖板、排水井等维护；（包括附属设施及材料）⑤其它绿化带范围内的建筑设施等。管护范围不包括主干路的路基、路面的养护。</w:t>
      </w:r>
    </w:p>
    <w:p>
      <w:pPr>
        <w:pStyle w:val="3"/>
        <w:spacing w:line="360" w:lineRule="auto"/>
        <w:ind w:firstLine="352" w:firstLineChars="147"/>
        <w:rPr>
          <w:rFonts w:hAnsi="宋体" w:cs="宋体"/>
          <w:kern w:val="2"/>
          <w:sz w:val="24"/>
          <w:szCs w:val="24"/>
        </w:rPr>
      </w:pPr>
      <w:r>
        <w:rPr>
          <w:rFonts w:hint="eastAsia" w:hAnsi="宋体" w:cs="宋体"/>
          <w:kern w:val="2"/>
          <w:sz w:val="24"/>
          <w:szCs w:val="24"/>
        </w:rPr>
        <w:t>2、管护路段：2017 年以来启动建设的美丽乡村景观线，包括和菱线、青菱线、菱新线、墙莫线、三新线（双林高速 口至新市交界）、浔乌线、浔练线、花乌线、湖浔大道、三高连 接线。今后需要新增管护的美丽乡村景观线，由区级相关部门会商后确定。</w:t>
      </w:r>
    </w:p>
    <w:p>
      <w:pPr>
        <w:pStyle w:val="3"/>
        <w:spacing w:line="360" w:lineRule="auto"/>
        <w:ind w:firstLine="352" w:firstLineChars="147"/>
        <w:rPr>
          <w:rFonts w:hAnsi="宋体" w:cs="宋体"/>
          <w:kern w:val="2"/>
          <w:sz w:val="24"/>
          <w:szCs w:val="24"/>
        </w:rPr>
      </w:pPr>
      <w:r>
        <w:rPr>
          <w:rFonts w:hint="eastAsia" w:hAnsi="宋体" w:cs="宋体"/>
          <w:kern w:val="2"/>
          <w:sz w:val="24"/>
          <w:szCs w:val="24"/>
        </w:rPr>
        <w:t>3、管护范围：美丽乡村景观线绿化带（一般 15 米左右，不超过 30 米）范围内，景观节点宽度可适当延伸。管护范围：美丽乡村景观线建设区级财政补助区域，具体由镇（开发区） 在景观线与周边农田、鱼塘、村庄设定界桩，并以区交通局提供的测绘数据为准。</w:t>
      </w:r>
    </w:p>
    <w:p>
      <w:pPr>
        <w:pStyle w:val="3"/>
        <w:spacing w:line="360" w:lineRule="auto"/>
        <w:ind w:firstLine="352" w:firstLineChars="147"/>
        <w:rPr>
          <w:rFonts w:hAnsi="宋体" w:cs="宋体"/>
          <w:kern w:val="2"/>
          <w:sz w:val="24"/>
          <w:szCs w:val="24"/>
        </w:rPr>
        <w:sectPr>
          <w:pgSz w:w="11910" w:h="16840"/>
          <w:pgMar w:top="1580" w:right="1080" w:bottom="280" w:left="1360" w:header="720" w:footer="720" w:gutter="0"/>
          <w:cols w:space="720" w:num="1"/>
        </w:sectPr>
      </w:pPr>
      <w:r>
        <w:rPr>
          <w:rFonts w:hint="eastAsia" w:hAnsi="宋体" w:cs="宋体"/>
          <w:kern w:val="2"/>
          <w:sz w:val="24"/>
          <w:szCs w:val="24"/>
        </w:rPr>
        <w:t>4、养护单位需负责养护区域的四季草花种植。</w:t>
      </w:r>
    </w:p>
    <w:p>
      <w:pPr>
        <w:pStyle w:val="21"/>
        <w:numPr>
          <w:ilvl w:val="0"/>
          <w:numId w:val="1"/>
        </w:numPr>
        <w:ind w:firstLineChars="0"/>
        <w:rPr>
          <w:rFonts w:ascii="宋体" w:hAnsi="宋体" w:cs="宋体"/>
          <w:b/>
          <w:bCs/>
          <w:sz w:val="24"/>
          <w:szCs w:val="24"/>
          <w:lang w:val="zh-CN"/>
        </w:rPr>
      </w:pPr>
      <w:r>
        <w:rPr>
          <w:rFonts w:hint="eastAsia" w:ascii="宋体" w:hAnsi="宋体" w:cs="宋体"/>
          <w:b/>
          <w:bCs/>
          <w:sz w:val="24"/>
          <w:szCs w:val="24"/>
          <w:lang w:val="zh-CN"/>
        </w:rPr>
        <w:t>绿化养护服务范围</w:t>
      </w:r>
    </w:p>
    <w:p>
      <w:pPr>
        <w:pStyle w:val="3"/>
        <w:spacing w:line="360" w:lineRule="auto"/>
        <w:ind w:firstLine="593" w:firstLineChars="246"/>
        <w:rPr>
          <w:rFonts w:hAnsi="宋体" w:cs="宋体"/>
          <w:b/>
          <w:kern w:val="2"/>
          <w:sz w:val="24"/>
          <w:szCs w:val="24"/>
        </w:rPr>
      </w:pPr>
      <w:r>
        <w:rPr>
          <w:rFonts w:hint="eastAsia" w:hAnsi="宋体" w:cs="宋体"/>
          <w:b/>
          <w:kern w:val="2"/>
          <w:sz w:val="24"/>
          <w:szCs w:val="24"/>
          <w:lang w:val="zh-CN"/>
        </w:rPr>
        <w:t>各标段养护费用按单价</w:t>
      </w:r>
      <w:r>
        <w:rPr>
          <w:rFonts w:hint="eastAsia" w:hAnsi="宋体" w:cs="宋体"/>
          <w:b/>
          <w:kern w:val="2"/>
          <w:sz w:val="24"/>
          <w:szCs w:val="24"/>
        </w:rPr>
        <w:t>×面积结算（具体按实结算）</w:t>
      </w:r>
    </w:p>
    <w:p>
      <w:pPr>
        <w:pStyle w:val="3"/>
        <w:spacing w:line="360" w:lineRule="auto"/>
        <w:ind w:firstLine="593" w:firstLineChars="246"/>
        <w:rPr>
          <w:rFonts w:hAnsi="宋体" w:cs="宋体"/>
          <w:b/>
          <w:kern w:val="2"/>
          <w:sz w:val="24"/>
          <w:szCs w:val="24"/>
          <w:lang w:val="zh-CN"/>
        </w:rPr>
      </w:pPr>
      <w:r>
        <w:rPr>
          <w:rFonts w:hint="eastAsia" w:hAnsi="宋体" w:cs="宋体"/>
          <w:b/>
          <w:kern w:val="2"/>
          <w:sz w:val="24"/>
          <w:szCs w:val="24"/>
          <w:lang w:val="zh-CN" w:eastAsia="zh-CN"/>
        </w:rPr>
        <w:t>六</w:t>
      </w:r>
      <w:bookmarkStart w:id="24" w:name="_GoBack"/>
      <w:bookmarkEnd w:id="24"/>
      <w:r>
        <w:rPr>
          <w:rFonts w:hint="eastAsia" w:hAnsi="宋体" w:cs="宋体"/>
          <w:b/>
          <w:kern w:val="2"/>
          <w:sz w:val="24"/>
          <w:szCs w:val="24"/>
          <w:lang w:val="zh-CN"/>
        </w:rPr>
        <w:t>个标段绿化养护面积详见招标公告第四条：采购内容</w:t>
      </w:r>
    </w:p>
    <w:p>
      <w:pPr>
        <w:pStyle w:val="3"/>
        <w:spacing w:line="360" w:lineRule="auto"/>
        <w:ind w:firstLine="0"/>
        <w:rPr>
          <w:rFonts w:ascii="黑体" w:hAnsi="黑体" w:eastAsia="黑体" w:cs="黑体"/>
          <w:kern w:val="2"/>
          <w:sz w:val="24"/>
          <w:lang w:val="zh-CN"/>
        </w:rPr>
      </w:pPr>
      <w:r>
        <w:rPr>
          <w:rFonts w:hint="eastAsia" w:ascii="黑体" w:hAnsi="黑体" w:eastAsia="黑体" w:cs="黑体"/>
          <w:kern w:val="2"/>
          <w:sz w:val="24"/>
          <w:lang w:val="zh-CN"/>
        </w:rPr>
        <w:t>注</w:t>
      </w:r>
      <w:r>
        <w:rPr>
          <w:rFonts w:hint="eastAsia" w:ascii="黑体" w:hAnsi="黑体" w:eastAsia="黑体" w:cs="黑体"/>
          <w:kern w:val="2"/>
          <w:sz w:val="24"/>
        </w:rPr>
        <w:t>5.1</w:t>
      </w:r>
      <w:r>
        <w:rPr>
          <w:rFonts w:hint="eastAsia" w:ascii="黑体" w:hAnsi="黑体" w:eastAsia="黑体" w:cs="黑体"/>
          <w:sz w:val="24"/>
        </w:rPr>
        <w:t>本次招标绿化养护为固定单价招标，项目面积为是预估数量，仅作为投标的共同基础，不能作为最终结算与支付的依据。结算与支付应以招标人认可的，</w:t>
      </w:r>
      <w:r>
        <w:rPr>
          <w:rFonts w:hint="eastAsia" w:ascii="黑体" w:hAnsi="黑体" w:eastAsia="黑体" w:cs="黑体"/>
          <w:kern w:val="2"/>
          <w:sz w:val="24"/>
          <w:lang w:val="zh-CN"/>
        </w:rPr>
        <w:t>按《湖州市城区绿地养护管理手册》和技术规范要求完成的实际工程数量为依据，按投标人投标报价中的单价和招标文件规定的计算方式进行结算与支付。</w:t>
      </w:r>
    </w:p>
    <w:p>
      <w:pPr>
        <w:pStyle w:val="3"/>
        <w:spacing w:line="360" w:lineRule="auto"/>
        <w:ind w:firstLine="352" w:firstLineChars="147"/>
        <w:rPr>
          <w:rFonts w:ascii="黑体" w:hAnsi="黑体" w:eastAsia="黑体" w:cs="黑体"/>
          <w:kern w:val="2"/>
          <w:sz w:val="24"/>
        </w:rPr>
      </w:pPr>
      <w:r>
        <w:rPr>
          <w:rFonts w:hint="eastAsia" w:ascii="黑体" w:hAnsi="黑体" w:eastAsia="黑体" w:cs="黑体"/>
          <w:kern w:val="2"/>
          <w:sz w:val="24"/>
          <w:lang w:val="zh-CN"/>
        </w:rPr>
        <w:t>5.</w:t>
      </w:r>
      <w:r>
        <w:rPr>
          <w:rFonts w:hint="eastAsia" w:ascii="黑体" w:hAnsi="黑体" w:eastAsia="黑体" w:cs="黑体"/>
          <w:kern w:val="2"/>
          <w:sz w:val="24"/>
        </w:rPr>
        <w:t>2标段区域内公共设施所产生的水、电费用包含在本次招标报价内，投标人根据《湖州市城区绿地养护管理手册》要求结合实际自行考虑报价。</w:t>
      </w:r>
    </w:p>
    <w:p>
      <w:pPr>
        <w:pStyle w:val="21"/>
        <w:ind w:firstLine="0" w:firstLineChars="0"/>
        <w:rPr>
          <w:rFonts w:ascii="宋体" w:hAnsi="宋体" w:cs="宋体"/>
          <w:b/>
          <w:bCs/>
          <w:sz w:val="24"/>
          <w:szCs w:val="24"/>
          <w:lang w:val="zh-CN"/>
        </w:rPr>
      </w:pPr>
      <w:r>
        <w:rPr>
          <w:rFonts w:hint="eastAsia" w:ascii="宋体" w:hAnsi="宋体" w:cs="宋体"/>
          <w:b/>
          <w:bCs/>
          <w:sz w:val="24"/>
          <w:szCs w:val="24"/>
          <w:lang w:val="zh-CN"/>
        </w:rPr>
        <w:t>六、绿化养护要求</w:t>
      </w:r>
    </w:p>
    <w:p>
      <w:pPr>
        <w:pStyle w:val="21"/>
        <w:ind w:firstLine="0" w:firstLineChars="0"/>
        <w:rPr>
          <w:rFonts w:ascii="宋体" w:hAnsi="宋体" w:cs="宋体"/>
          <w:b/>
          <w:bCs/>
          <w:sz w:val="24"/>
          <w:szCs w:val="24"/>
          <w:lang w:val="zh-CN"/>
        </w:rPr>
      </w:pPr>
      <w:r>
        <w:rPr>
          <w:rFonts w:hint="eastAsia" w:ascii="宋体" w:hAnsi="宋体" w:cs="宋体"/>
          <w:b/>
          <w:bCs/>
          <w:sz w:val="24"/>
          <w:szCs w:val="24"/>
          <w:lang w:val="zh-CN"/>
        </w:rPr>
        <w:t>（一）质量要求：</w:t>
      </w:r>
    </w:p>
    <w:p>
      <w:pPr>
        <w:pStyle w:val="3"/>
        <w:spacing w:line="360" w:lineRule="auto"/>
        <w:ind w:firstLine="480" w:firstLineChars="200"/>
        <w:rPr>
          <w:rFonts w:hAnsi="宋体" w:cs="宋体"/>
          <w:kern w:val="2"/>
          <w:sz w:val="24"/>
          <w:lang w:val="zh-CN"/>
        </w:rPr>
      </w:pPr>
      <w:r>
        <w:rPr>
          <w:rFonts w:hint="eastAsia" w:hAnsi="宋体" w:cs="宋体"/>
          <w:kern w:val="2"/>
          <w:sz w:val="24"/>
          <w:lang w:val="zh-CN"/>
        </w:rPr>
        <w:t>1.1各标段要求养护质量达到《浙江省园林绿化技术规程（试行）》、《湖州市城区绿地养护管理手册》、《南浔区美丽乡村景观线绿化景观管理养护工作办法(试行)》及国家现行有关的规范标准相对应的绿化养护质量标准及要求。</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景观效果：道路绿量较为充足，绿地率达15%以上；</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道路红线范围内基本无绿化死角；</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道路整体视觉效果良好。</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行道树：生长健康，病虫害现象控制在8%以下。</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叶色、叶形基本正常；</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枝、干基本正常：无明显枯枝、徒长枝、病虫枝、死杈，无明显萌蘖；90%以上的树冠基本完整，分支点距离地面2.8米以上，主侧枝分布较匀称，通风透光。</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乔灌木保存率90%以上,新种树倾斜度不超过10度,倾斜率不超过5%，对死株、缺株、倾斜或倒伏株能予扶正、补植;树木修剪较合理,适时防治病虫害;能解决树木与电线、建筑物、交通等之间的矛盾;树干每年涂白一次。</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植物养护状况：绿篱、色块根据其生长特性及配置要求合理修剪,基本无过度修剪现象,生长较好，无明显死株、残株,无10cm以上徒长枝,无明显杂草；</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草花、盆花布置较及时,无明显枯叶、残花,花盆基本清洁、无破损；</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草坪生长良好,高度控制适宜,无明显裸地、杂草、积水；</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有病虫害防治措施,常见病虫害危害率控制在8%以下。</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卫生状况：绿化生产垃圾(如:树枝、草末等)做到日产日清；</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绿篱、树穴八小时保洁,并能坚持在节假日或重要活动前进行突击清理。</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其它：无较严重的人为损坏。对轻微或偶尔发生难以控制的人为损坏,能及时发现和处理;行道树树干无明显地钉拴刻画、无关挂牌、架线现象；</w:t>
      </w:r>
    </w:p>
    <w:p>
      <w:pPr>
        <w:pStyle w:val="3"/>
        <w:numPr>
          <w:ilvl w:val="0"/>
          <w:numId w:val="3"/>
        </w:numPr>
        <w:spacing w:line="360" w:lineRule="auto"/>
        <w:rPr>
          <w:rFonts w:hAnsi="宋体" w:cs="宋体"/>
          <w:kern w:val="2"/>
          <w:sz w:val="24"/>
          <w:lang w:val="zh-CN"/>
        </w:rPr>
      </w:pPr>
      <w:r>
        <w:rPr>
          <w:rFonts w:hint="eastAsia" w:hAnsi="宋体" w:cs="宋体"/>
          <w:kern w:val="2"/>
          <w:sz w:val="24"/>
          <w:lang w:val="zh-CN"/>
        </w:rPr>
        <w:t>树穴及绿地范围内基本无堆积物、基本无搭棚、圈栏等影响树木养护管理和生长的现象。</w:t>
      </w:r>
    </w:p>
    <w:p>
      <w:pPr>
        <w:pStyle w:val="3"/>
        <w:spacing w:line="360" w:lineRule="auto"/>
        <w:ind w:firstLine="352" w:firstLineChars="147"/>
        <w:rPr>
          <w:rFonts w:hAnsi="宋体" w:cs="宋体"/>
          <w:kern w:val="2"/>
          <w:sz w:val="24"/>
          <w:lang w:val="zh-CN"/>
        </w:rPr>
      </w:pPr>
      <w:r>
        <w:rPr>
          <w:rFonts w:hint="eastAsia" w:hAnsi="宋体" w:cs="宋体"/>
          <w:kern w:val="2"/>
          <w:sz w:val="24"/>
        </w:rPr>
        <w:t>1</w:t>
      </w:r>
      <w:r>
        <w:rPr>
          <w:rFonts w:hint="eastAsia" w:hAnsi="宋体" w:cs="宋体"/>
          <w:kern w:val="2"/>
          <w:sz w:val="24"/>
          <w:lang w:val="zh-CN"/>
        </w:rPr>
        <w:t>.2中标人必须严格按合同条款、绿地养护标准，精心组织养护，确保养护质量。</w:t>
      </w:r>
    </w:p>
    <w:p>
      <w:pPr>
        <w:pStyle w:val="3"/>
        <w:spacing w:line="360" w:lineRule="auto"/>
        <w:ind w:firstLine="352" w:firstLineChars="147"/>
        <w:rPr>
          <w:rFonts w:hAnsi="宋体" w:cs="宋体"/>
          <w:kern w:val="2"/>
          <w:sz w:val="24"/>
          <w:lang w:val="zh-CN"/>
        </w:rPr>
      </w:pPr>
      <w:r>
        <w:rPr>
          <w:rFonts w:hint="eastAsia" w:hAnsi="宋体" w:cs="宋体"/>
          <w:kern w:val="2"/>
          <w:sz w:val="24"/>
        </w:rPr>
        <w:t>1</w:t>
      </w:r>
      <w:r>
        <w:rPr>
          <w:rFonts w:hint="eastAsia" w:hAnsi="宋体" w:cs="宋体"/>
          <w:kern w:val="2"/>
          <w:sz w:val="24"/>
          <w:lang w:val="zh-CN"/>
        </w:rPr>
        <w:t>.3中标人必须在合同签订后在一个月内对所承包绿地范围内绿化苗木及设施列出清单，上交给发包方，缺损苗木由发包方组织补植，后续因养护管理不到位造成死亡、缺损苗木由中标人负责补植，因此发生的费用由中标人承担。</w:t>
      </w:r>
    </w:p>
    <w:p>
      <w:pPr>
        <w:pStyle w:val="3"/>
        <w:spacing w:line="360" w:lineRule="auto"/>
        <w:ind w:firstLine="354" w:firstLineChars="147"/>
        <w:rPr>
          <w:rFonts w:hAnsi="宋体" w:cs="宋体"/>
          <w:sz w:val="24"/>
          <w:szCs w:val="24"/>
        </w:rPr>
      </w:pPr>
      <w:r>
        <w:rPr>
          <w:rFonts w:hint="eastAsia" w:hAnsi="宋体" w:cs="宋体"/>
          <w:b/>
          <w:bCs/>
          <w:kern w:val="2"/>
          <w:sz w:val="24"/>
          <w:szCs w:val="24"/>
          <w:lang w:val="zh-CN"/>
        </w:rPr>
        <w:t>（二）</w:t>
      </w:r>
      <w:r>
        <w:rPr>
          <w:rFonts w:hint="eastAsia" w:hAnsi="宋体" w:cs="宋体"/>
          <w:sz w:val="24"/>
          <w:szCs w:val="24"/>
        </w:rPr>
        <w:t>、</w:t>
      </w:r>
      <w:r>
        <w:rPr>
          <w:rFonts w:hint="eastAsia" w:hAnsi="宋体" w:cs="宋体"/>
          <w:b/>
          <w:sz w:val="24"/>
          <w:szCs w:val="24"/>
        </w:rPr>
        <w:t>人员配备要求、机械使用要求、农药化肥等辅材要求、最高综合单价、作业要求：</w:t>
      </w:r>
    </w:p>
    <w:p>
      <w:pPr>
        <w:pStyle w:val="3"/>
        <w:spacing w:line="360" w:lineRule="auto"/>
        <w:ind w:firstLine="354" w:firstLineChars="147"/>
        <w:rPr>
          <w:rFonts w:hAnsi="宋体" w:cs="宋体"/>
          <w:kern w:val="2"/>
          <w:sz w:val="24"/>
          <w:szCs w:val="24"/>
        </w:rPr>
      </w:pPr>
      <w:r>
        <w:rPr>
          <w:rFonts w:hint="eastAsia" w:hAnsi="宋体" w:cs="宋体"/>
          <w:b/>
          <w:sz w:val="24"/>
          <w:szCs w:val="24"/>
        </w:rPr>
        <w:t>2.1 人员配备要求：</w:t>
      </w:r>
      <w:r>
        <w:rPr>
          <w:rFonts w:hint="eastAsia" w:hAnsi="宋体" w:cs="宋体"/>
          <w:kern w:val="2"/>
          <w:sz w:val="24"/>
          <w:szCs w:val="24"/>
        </w:rPr>
        <w:t>每标段配备项目负责人1名，及技术负责人1名。</w:t>
      </w:r>
    </w:p>
    <w:p>
      <w:pPr>
        <w:pStyle w:val="3"/>
        <w:spacing w:line="360" w:lineRule="auto"/>
        <w:ind w:firstLine="352" w:firstLineChars="147"/>
        <w:rPr>
          <w:rFonts w:hAnsi="宋体" w:cs="宋体"/>
          <w:kern w:val="2"/>
          <w:sz w:val="24"/>
          <w:szCs w:val="24"/>
        </w:rPr>
      </w:pPr>
      <w:r>
        <w:rPr>
          <w:rFonts w:hint="eastAsia" w:hAnsi="宋体" w:cs="宋体"/>
          <w:kern w:val="2"/>
          <w:sz w:val="24"/>
          <w:szCs w:val="24"/>
        </w:rPr>
        <w:t>绿化养护配备人员具体要求如下：绿地养护（包含绿化保洁业务）每10000平方米现场养护工不少于1人(含主要工种的技术人员），纯绿化保洁业务（不含绿化养护管理，仅对保洁、秩序等管理）每30000平方米现场保洁工不少于1人；依此作为全年养护用工标准，各承包单位必须根据养护季节及实际需要合理安排、调配养护用工，在绿化生长旺季必须增加养护人员，确保修剪、除草、浇水等工作有序、到位。</w:t>
      </w:r>
    </w:p>
    <w:p>
      <w:pPr>
        <w:pStyle w:val="3"/>
        <w:spacing w:line="360" w:lineRule="auto"/>
        <w:ind w:firstLine="352" w:firstLineChars="147"/>
        <w:rPr>
          <w:rFonts w:hAnsi="宋体" w:cs="宋体"/>
          <w:kern w:val="2"/>
          <w:sz w:val="24"/>
          <w:szCs w:val="24"/>
        </w:rPr>
      </w:pPr>
      <w:r>
        <w:rPr>
          <w:rFonts w:hint="eastAsia" w:hAnsi="宋体" w:cs="宋体"/>
          <w:kern w:val="2"/>
          <w:sz w:val="24"/>
          <w:szCs w:val="24"/>
        </w:rPr>
        <w:t>工作时间：每天作业，每天作业时间≥8小时</w:t>
      </w:r>
    </w:p>
    <w:p>
      <w:pPr>
        <w:spacing w:line="360" w:lineRule="auto"/>
        <w:ind w:firstLine="240" w:firstLineChars="100"/>
        <w:jc w:val="left"/>
        <w:rPr>
          <w:rFonts w:ascii="宋体" w:hAnsi="宋体" w:cs="宋体"/>
          <w:bCs/>
          <w:sz w:val="24"/>
        </w:rPr>
      </w:pPr>
      <w:r>
        <w:rPr>
          <w:rFonts w:hint="eastAsia" w:ascii="宋体" w:hAnsi="宋体" w:cs="宋体"/>
          <w:bCs/>
          <w:sz w:val="24"/>
        </w:rPr>
        <w:t>注：作业人员须达到上述人员数量要求，投标人根据实际需求配置巡查管理人员。养护单位应严格执行各项国家有关规定，有关技术人员必须持证上岗，专人专职负责安全。工作人员统一着装，佩戴工作证，标志明显，管理方式应文明、礼貌（相关工作服及设施设配要符合行业规定），扣除工人休息安排，每天实际工人到岗率须保持在80%以上。</w:t>
      </w:r>
    </w:p>
    <w:p>
      <w:pPr>
        <w:pStyle w:val="3"/>
        <w:spacing w:line="360" w:lineRule="auto"/>
        <w:ind w:firstLine="241" w:firstLineChars="100"/>
        <w:rPr>
          <w:rFonts w:hAnsi="宋体" w:cs="宋体"/>
          <w:b/>
          <w:bCs/>
          <w:color w:val="000000"/>
          <w:sz w:val="24"/>
          <w:szCs w:val="24"/>
        </w:rPr>
      </w:pPr>
      <w:r>
        <w:rPr>
          <w:rFonts w:hint="eastAsia" w:hAnsi="宋体" w:cs="宋体"/>
          <w:b/>
          <w:bCs/>
          <w:color w:val="000000"/>
          <w:sz w:val="24"/>
          <w:szCs w:val="24"/>
        </w:rPr>
        <w:t>2.2 本项目每个标段养护作业技术设备必须配备情况如下（最低要求）：</w:t>
      </w:r>
    </w:p>
    <w:tbl>
      <w:tblPr>
        <w:tblStyle w:val="4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6"/>
        <w:gridCol w:w="1946"/>
        <w:gridCol w:w="252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50" w:type="dxa"/>
            <w:vAlign w:val="center"/>
          </w:tcPr>
          <w:p>
            <w:pPr>
              <w:spacing w:line="400" w:lineRule="exact"/>
              <w:ind w:left="-540" w:leftChars="-193"/>
              <w:rPr>
                <w:rFonts w:ascii="宋体" w:hAnsi="宋体" w:cs="宋体"/>
                <w:b/>
                <w:sz w:val="24"/>
              </w:rPr>
            </w:pPr>
            <w:r>
              <w:rPr>
                <w:rFonts w:hint="eastAsia" w:ascii="宋体" w:hAnsi="宋体" w:cs="宋体"/>
                <w:b/>
                <w:sz w:val="24"/>
              </w:rPr>
              <w:t xml:space="preserve">     序号</w:t>
            </w:r>
          </w:p>
        </w:tc>
        <w:tc>
          <w:tcPr>
            <w:tcW w:w="1456" w:type="dxa"/>
            <w:vAlign w:val="center"/>
          </w:tcPr>
          <w:p>
            <w:pPr>
              <w:spacing w:line="400" w:lineRule="exact"/>
              <w:jc w:val="center"/>
              <w:rPr>
                <w:rFonts w:ascii="宋体" w:hAnsi="宋体" w:cs="宋体"/>
                <w:b/>
                <w:sz w:val="24"/>
              </w:rPr>
            </w:pPr>
            <w:r>
              <w:rPr>
                <w:rFonts w:hint="eastAsia" w:ascii="宋体" w:hAnsi="宋体" w:cs="宋体"/>
                <w:b/>
                <w:sz w:val="24"/>
              </w:rPr>
              <w:t>名称</w:t>
            </w:r>
          </w:p>
        </w:tc>
        <w:tc>
          <w:tcPr>
            <w:tcW w:w="1946" w:type="dxa"/>
            <w:vAlign w:val="center"/>
          </w:tcPr>
          <w:p>
            <w:pPr>
              <w:spacing w:line="400" w:lineRule="exact"/>
              <w:jc w:val="center"/>
              <w:rPr>
                <w:rFonts w:ascii="宋体" w:hAnsi="宋体" w:cs="宋体"/>
                <w:b/>
                <w:sz w:val="24"/>
              </w:rPr>
            </w:pPr>
            <w:r>
              <w:rPr>
                <w:rFonts w:hint="eastAsia" w:ascii="宋体" w:hAnsi="宋体" w:cs="宋体"/>
                <w:b/>
                <w:sz w:val="24"/>
              </w:rPr>
              <w:t>数量</w:t>
            </w:r>
          </w:p>
        </w:tc>
        <w:tc>
          <w:tcPr>
            <w:tcW w:w="2524" w:type="dxa"/>
            <w:vAlign w:val="center"/>
          </w:tcPr>
          <w:p>
            <w:pPr>
              <w:spacing w:line="400" w:lineRule="exact"/>
              <w:jc w:val="center"/>
              <w:rPr>
                <w:rFonts w:ascii="宋体" w:hAnsi="宋体" w:cs="宋体"/>
                <w:b/>
                <w:sz w:val="24"/>
              </w:rPr>
            </w:pPr>
            <w:r>
              <w:rPr>
                <w:rFonts w:hint="eastAsia" w:ascii="宋体" w:hAnsi="宋体" w:cs="宋体"/>
                <w:b/>
                <w:sz w:val="24"/>
              </w:rPr>
              <w:t>规格要求</w:t>
            </w:r>
          </w:p>
        </w:tc>
        <w:tc>
          <w:tcPr>
            <w:tcW w:w="1984" w:type="dxa"/>
            <w:vAlign w:val="center"/>
          </w:tcPr>
          <w:p>
            <w:pPr>
              <w:spacing w:line="400" w:lineRule="exact"/>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50" w:type="dxa"/>
            <w:vAlign w:val="center"/>
          </w:tcPr>
          <w:p>
            <w:pPr>
              <w:spacing w:line="400" w:lineRule="exact"/>
              <w:rPr>
                <w:rFonts w:ascii="宋体" w:hAnsi="宋体" w:cs="宋体"/>
                <w:b/>
                <w:sz w:val="24"/>
              </w:rPr>
            </w:pPr>
            <w:r>
              <w:rPr>
                <w:rFonts w:hint="eastAsia" w:ascii="宋体" w:hAnsi="宋体" w:cs="宋体"/>
                <w:b/>
                <w:sz w:val="24"/>
              </w:rPr>
              <w:t>1</w:t>
            </w:r>
          </w:p>
        </w:tc>
        <w:tc>
          <w:tcPr>
            <w:tcW w:w="1456" w:type="dxa"/>
          </w:tcPr>
          <w:p>
            <w:pPr>
              <w:widowControl/>
              <w:autoSpaceDE w:val="0"/>
              <w:autoSpaceDN w:val="0"/>
              <w:adjustRightInd w:val="0"/>
              <w:spacing w:line="440" w:lineRule="exact"/>
              <w:jc w:val="center"/>
              <w:textAlignment w:val="bottom"/>
              <w:rPr>
                <w:rFonts w:ascii="宋体" w:hAnsi="宋体" w:cs="宋体"/>
                <w:b/>
                <w:bCs/>
                <w:sz w:val="24"/>
              </w:rPr>
            </w:pPr>
            <w:r>
              <w:rPr>
                <w:rFonts w:hint="eastAsia" w:ascii="宋体" w:hAnsi="宋体" w:cs="宋体"/>
                <w:b/>
                <w:bCs/>
                <w:sz w:val="24"/>
              </w:rPr>
              <w:t>运输车</w:t>
            </w:r>
          </w:p>
        </w:tc>
        <w:tc>
          <w:tcPr>
            <w:tcW w:w="1946" w:type="dxa"/>
            <w:vAlign w:val="center"/>
          </w:tcPr>
          <w:p>
            <w:pPr>
              <w:spacing w:line="400" w:lineRule="exact"/>
              <w:jc w:val="center"/>
              <w:rPr>
                <w:rFonts w:ascii="宋体" w:hAnsi="宋体" w:cs="宋体"/>
                <w:b/>
                <w:sz w:val="24"/>
              </w:rPr>
            </w:pPr>
            <w:r>
              <w:rPr>
                <w:rFonts w:hint="eastAsia" w:ascii="宋体" w:hAnsi="宋体" w:cs="宋体"/>
                <w:b/>
                <w:sz w:val="24"/>
              </w:rPr>
              <w:t>1辆</w:t>
            </w:r>
          </w:p>
        </w:tc>
        <w:tc>
          <w:tcPr>
            <w:tcW w:w="2524" w:type="dxa"/>
            <w:vAlign w:val="center"/>
          </w:tcPr>
          <w:p>
            <w:pPr>
              <w:spacing w:line="400" w:lineRule="exact"/>
              <w:jc w:val="center"/>
              <w:rPr>
                <w:rFonts w:ascii="宋体" w:hAnsi="宋体" w:cs="宋体"/>
                <w:b/>
                <w:sz w:val="24"/>
              </w:rPr>
            </w:pPr>
            <w:r>
              <w:rPr>
                <w:rFonts w:hint="eastAsia" w:ascii="宋体" w:hAnsi="宋体" w:cs="宋体"/>
                <w:b/>
                <w:sz w:val="24"/>
              </w:rPr>
              <w:t>核定载质量≥1500KG</w:t>
            </w:r>
          </w:p>
        </w:tc>
        <w:tc>
          <w:tcPr>
            <w:tcW w:w="1984" w:type="dxa"/>
            <w:vAlign w:val="center"/>
          </w:tcPr>
          <w:p>
            <w:pPr>
              <w:spacing w:line="40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0" w:type="dxa"/>
            <w:vAlign w:val="center"/>
          </w:tcPr>
          <w:p>
            <w:pPr>
              <w:spacing w:line="400" w:lineRule="exact"/>
              <w:rPr>
                <w:rFonts w:ascii="宋体" w:hAnsi="宋体" w:cs="宋体"/>
                <w:b/>
                <w:sz w:val="24"/>
              </w:rPr>
            </w:pPr>
            <w:r>
              <w:rPr>
                <w:rFonts w:hint="eastAsia" w:ascii="宋体" w:hAnsi="宋体" w:cs="宋体"/>
                <w:b/>
                <w:sz w:val="24"/>
              </w:rPr>
              <w:t>2</w:t>
            </w:r>
          </w:p>
        </w:tc>
        <w:tc>
          <w:tcPr>
            <w:tcW w:w="1456" w:type="dxa"/>
          </w:tcPr>
          <w:p>
            <w:pPr>
              <w:widowControl/>
              <w:autoSpaceDE w:val="0"/>
              <w:autoSpaceDN w:val="0"/>
              <w:adjustRightInd w:val="0"/>
              <w:spacing w:line="440" w:lineRule="exact"/>
              <w:jc w:val="center"/>
              <w:textAlignment w:val="bottom"/>
              <w:rPr>
                <w:rFonts w:ascii="宋体" w:hAnsi="宋体" w:cs="宋体"/>
                <w:b/>
                <w:bCs/>
                <w:sz w:val="24"/>
              </w:rPr>
            </w:pPr>
            <w:r>
              <w:rPr>
                <w:rFonts w:hint="eastAsia" w:ascii="宋体" w:hAnsi="宋体" w:cs="宋体"/>
                <w:b/>
                <w:bCs/>
                <w:sz w:val="24"/>
              </w:rPr>
              <w:t>水泵</w:t>
            </w:r>
          </w:p>
        </w:tc>
        <w:tc>
          <w:tcPr>
            <w:tcW w:w="1946" w:type="dxa"/>
            <w:vAlign w:val="center"/>
          </w:tcPr>
          <w:p>
            <w:pPr>
              <w:spacing w:line="400" w:lineRule="exact"/>
              <w:jc w:val="center"/>
              <w:rPr>
                <w:rFonts w:ascii="宋体" w:hAnsi="宋体" w:cs="宋体"/>
                <w:b/>
                <w:sz w:val="24"/>
              </w:rPr>
            </w:pPr>
            <w:r>
              <w:rPr>
                <w:rFonts w:hint="eastAsia" w:ascii="宋体" w:hAnsi="宋体" w:cs="宋体"/>
                <w:b/>
                <w:sz w:val="24"/>
              </w:rPr>
              <w:t>6台</w:t>
            </w:r>
          </w:p>
        </w:tc>
        <w:tc>
          <w:tcPr>
            <w:tcW w:w="2524" w:type="dxa"/>
            <w:vAlign w:val="center"/>
          </w:tcPr>
          <w:p>
            <w:pPr>
              <w:spacing w:line="400" w:lineRule="exact"/>
              <w:jc w:val="center"/>
              <w:rPr>
                <w:rFonts w:ascii="宋体" w:hAnsi="宋体" w:cs="宋体"/>
                <w:b/>
                <w:sz w:val="24"/>
              </w:rPr>
            </w:pPr>
            <w:r>
              <w:rPr>
                <w:rFonts w:hint="eastAsia" w:ascii="宋体" w:hAnsi="宋体" w:cs="宋体"/>
                <w:b/>
                <w:sz w:val="24"/>
              </w:rPr>
              <w:t>/</w:t>
            </w:r>
          </w:p>
        </w:tc>
        <w:tc>
          <w:tcPr>
            <w:tcW w:w="1984" w:type="dxa"/>
            <w:vAlign w:val="center"/>
          </w:tcPr>
          <w:p>
            <w:pPr>
              <w:spacing w:line="40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0" w:type="dxa"/>
            <w:vAlign w:val="center"/>
          </w:tcPr>
          <w:p>
            <w:pPr>
              <w:spacing w:line="400" w:lineRule="exact"/>
              <w:rPr>
                <w:rFonts w:ascii="宋体" w:hAnsi="宋体" w:cs="宋体"/>
                <w:b/>
                <w:sz w:val="24"/>
              </w:rPr>
            </w:pPr>
            <w:r>
              <w:rPr>
                <w:rFonts w:hint="eastAsia" w:ascii="宋体" w:hAnsi="宋体" w:cs="宋体"/>
                <w:b/>
                <w:sz w:val="24"/>
              </w:rPr>
              <w:t>3</w:t>
            </w:r>
          </w:p>
        </w:tc>
        <w:tc>
          <w:tcPr>
            <w:tcW w:w="1456" w:type="dxa"/>
          </w:tcPr>
          <w:p>
            <w:pPr>
              <w:widowControl/>
              <w:autoSpaceDE w:val="0"/>
              <w:autoSpaceDN w:val="0"/>
              <w:adjustRightInd w:val="0"/>
              <w:spacing w:line="440" w:lineRule="exact"/>
              <w:jc w:val="center"/>
              <w:textAlignment w:val="bottom"/>
              <w:rPr>
                <w:rFonts w:ascii="宋体" w:hAnsi="宋体" w:cs="宋体"/>
                <w:b/>
                <w:bCs/>
                <w:sz w:val="24"/>
              </w:rPr>
            </w:pPr>
            <w:r>
              <w:rPr>
                <w:rFonts w:hint="eastAsia" w:ascii="宋体" w:hAnsi="宋体" w:cs="宋体"/>
                <w:b/>
                <w:bCs/>
                <w:sz w:val="24"/>
              </w:rPr>
              <w:t>绿篱机</w:t>
            </w:r>
          </w:p>
        </w:tc>
        <w:tc>
          <w:tcPr>
            <w:tcW w:w="1946" w:type="dxa"/>
            <w:vAlign w:val="center"/>
          </w:tcPr>
          <w:p>
            <w:pPr>
              <w:spacing w:line="400" w:lineRule="exact"/>
              <w:jc w:val="center"/>
              <w:rPr>
                <w:rFonts w:ascii="宋体" w:hAnsi="宋体" w:cs="宋体"/>
                <w:b/>
                <w:sz w:val="24"/>
              </w:rPr>
            </w:pPr>
            <w:r>
              <w:rPr>
                <w:rFonts w:hint="eastAsia" w:ascii="宋体" w:hAnsi="宋体" w:cs="宋体"/>
                <w:b/>
                <w:sz w:val="24"/>
              </w:rPr>
              <w:t>8 台</w:t>
            </w:r>
          </w:p>
        </w:tc>
        <w:tc>
          <w:tcPr>
            <w:tcW w:w="2524" w:type="dxa"/>
            <w:vAlign w:val="center"/>
          </w:tcPr>
          <w:p>
            <w:pPr>
              <w:spacing w:line="400" w:lineRule="exact"/>
              <w:jc w:val="center"/>
              <w:rPr>
                <w:rFonts w:ascii="宋体" w:hAnsi="宋体" w:cs="宋体"/>
                <w:b/>
                <w:sz w:val="24"/>
              </w:rPr>
            </w:pPr>
            <w:r>
              <w:rPr>
                <w:rFonts w:hint="eastAsia" w:ascii="宋体" w:hAnsi="宋体" w:cs="宋体"/>
                <w:b/>
                <w:sz w:val="24"/>
              </w:rPr>
              <w:t>/</w:t>
            </w:r>
          </w:p>
        </w:tc>
        <w:tc>
          <w:tcPr>
            <w:tcW w:w="1984" w:type="dxa"/>
            <w:vAlign w:val="center"/>
          </w:tcPr>
          <w:p>
            <w:pPr>
              <w:spacing w:line="40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50" w:type="dxa"/>
            <w:vAlign w:val="center"/>
          </w:tcPr>
          <w:p>
            <w:pPr>
              <w:spacing w:line="400" w:lineRule="exact"/>
              <w:rPr>
                <w:rFonts w:ascii="宋体" w:hAnsi="宋体" w:cs="宋体"/>
                <w:b/>
                <w:sz w:val="24"/>
              </w:rPr>
            </w:pPr>
            <w:r>
              <w:rPr>
                <w:rFonts w:hint="eastAsia" w:ascii="宋体" w:hAnsi="宋体" w:cs="宋体"/>
                <w:b/>
                <w:sz w:val="24"/>
              </w:rPr>
              <w:t>4</w:t>
            </w:r>
          </w:p>
        </w:tc>
        <w:tc>
          <w:tcPr>
            <w:tcW w:w="1456" w:type="dxa"/>
          </w:tcPr>
          <w:p>
            <w:pPr>
              <w:widowControl/>
              <w:autoSpaceDE w:val="0"/>
              <w:autoSpaceDN w:val="0"/>
              <w:adjustRightInd w:val="0"/>
              <w:spacing w:line="440" w:lineRule="exact"/>
              <w:jc w:val="center"/>
              <w:textAlignment w:val="bottom"/>
              <w:rPr>
                <w:rFonts w:ascii="宋体" w:hAnsi="宋体" w:cs="宋体"/>
                <w:b/>
                <w:bCs/>
                <w:sz w:val="24"/>
              </w:rPr>
            </w:pPr>
            <w:r>
              <w:rPr>
                <w:rFonts w:hint="eastAsia" w:ascii="宋体" w:hAnsi="宋体" w:cs="宋体"/>
                <w:b/>
                <w:bCs/>
                <w:sz w:val="24"/>
              </w:rPr>
              <w:t>草坪机</w:t>
            </w:r>
          </w:p>
        </w:tc>
        <w:tc>
          <w:tcPr>
            <w:tcW w:w="1946" w:type="dxa"/>
            <w:vAlign w:val="center"/>
          </w:tcPr>
          <w:p>
            <w:pPr>
              <w:spacing w:line="400" w:lineRule="exact"/>
              <w:jc w:val="center"/>
              <w:rPr>
                <w:rFonts w:ascii="宋体" w:hAnsi="宋体" w:cs="宋体"/>
                <w:b/>
                <w:sz w:val="24"/>
              </w:rPr>
            </w:pPr>
            <w:r>
              <w:rPr>
                <w:rFonts w:hint="eastAsia" w:ascii="宋体" w:hAnsi="宋体" w:cs="宋体"/>
                <w:b/>
                <w:sz w:val="24"/>
              </w:rPr>
              <w:t>5台</w:t>
            </w:r>
          </w:p>
        </w:tc>
        <w:tc>
          <w:tcPr>
            <w:tcW w:w="2524" w:type="dxa"/>
            <w:vAlign w:val="center"/>
          </w:tcPr>
          <w:p>
            <w:pPr>
              <w:spacing w:line="400" w:lineRule="exact"/>
              <w:jc w:val="center"/>
              <w:rPr>
                <w:rFonts w:ascii="宋体" w:hAnsi="宋体" w:cs="宋体"/>
                <w:b/>
                <w:sz w:val="24"/>
              </w:rPr>
            </w:pPr>
            <w:r>
              <w:rPr>
                <w:rFonts w:hint="eastAsia" w:ascii="宋体" w:hAnsi="宋体" w:cs="宋体"/>
                <w:b/>
                <w:sz w:val="24"/>
              </w:rPr>
              <w:t>/</w:t>
            </w:r>
          </w:p>
        </w:tc>
        <w:tc>
          <w:tcPr>
            <w:tcW w:w="1984" w:type="dxa"/>
            <w:vAlign w:val="center"/>
          </w:tcPr>
          <w:p>
            <w:pPr>
              <w:spacing w:line="40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50" w:type="dxa"/>
            <w:vAlign w:val="center"/>
          </w:tcPr>
          <w:p>
            <w:pPr>
              <w:spacing w:line="400" w:lineRule="exact"/>
              <w:rPr>
                <w:rFonts w:ascii="宋体" w:hAnsi="宋体" w:cs="宋体"/>
                <w:b/>
                <w:sz w:val="24"/>
              </w:rPr>
            </w:pPr>
            <w:r>
              <w:rPr>
                <w:rFonts w:hint="eastAsia" w:ascii="宋体" w:hAnsi="宋体" w:cs="宋体"/>
                <w:b/>
                <w:sz w:val="24"/>
              </w:rPr>
              <w:t>5</w:t>
            </w:r>
          </w:p>
        </w:tc>
        <w:tc>
          <w:tcPr>
            <w:tcW w:w="1456" w:type="dxa"/>
          </w:tcPr>
          <w:p>
            <w:pPr>
              <w:widowControl/>
              <w:autoSpaceDE w:val="0"/>
              <w:autoSpaceDN w:val="0"/>
              <w:adjustRightInd w:val="0"/>
              <w:spacing w:line="440" w:lineRule="exact"/>
              <w:jc w:val="center"/>
              <w:textAlignment w:val="bottom"/>
              <w:rPr>
                <w:rFonts w:ascii="宋体" w:hAnsi="宋体" w:cs="宋体"/>
                <w:b/>
                <w:bCs/>
                <w:sz w:val="24"/>
              </w:rPr>
            </w:pPr>
            <w:r>
              <w:rPr>
                <w:rFonts w:hint="eastAsia" w:ascii="宋体" w:hAnsi="宋体" w:cs="宋体"/>
                <w:b/>
                <w:bCs/>
                <w:sz w:val="24"/>
              </w:rPr>
              <w:t>割灌机</w:t>
            </w:r>
          </w:p>
        </w:tc>
        <w:tc>
          <w:tcPr>
            <w:tcW w:w="1946" w:type="dxa"/>
            <w:vAlign w:val="center"/>
          </w:tcPr>
          <w:p>
            <w:pPr>
              <w:spacing w:line="400" w:lineRule="exact"/>
              <w:jc w:val="center"/>
              <w:rPr>
                <w:rFonts w:ascii="宋体" w:hAnsi="宋体" w:cs="宋体"/>
                <w:b/>
                <w:sz w:val="24"/>
              </w:rPr>
            </w:pPr>
            <w:r>
              <w:rPr>
                <w:rFonts w:hint="eastAsia" w:ascii="宋体" w:hAnsi="宋体" w:cs="宋体"/>
                <w:b/>
                <w:sz w:val="24"/>
              </w:rPr>
              <w:t>5台</w:t>
            </w:r>
          </w:p>
        </w:tc>
        <w:tc>
          <w:tcPr>
            <w:tcW w:w="2524" w:type="dxa"/>
            <w:vAlign w:val="center"/>
          </w:tcPr>
          <w:p>
            <w:pPr>
              <w:spacing w:line="400" w:lineRule="exact"/>
              <w:jc w:val="center"/>
              <w:rPr>
                <w:rFonts w:ascii="宋体" w:hAnsi="宋体" w:cs="宋体"/>
                <w:b/>
                <w:sz w:val="24"/>
              </w:rPr>
            </w:pPr>
            <w:r>
              <w:rPr>
                <w:rFonts w:hint="eastAsia" w:ascii="宋体" w:hAnsi="宋体" w:cs="宋体"/>
                <w:b/>
                <w:sz w:val="24"/>
              </w:rPr>
              <w:t>/</w:t>
            </w:r>
          </w:p>
        </w:tc>
        <w:tc>
          <w:tcPr>
            <w:tcW w:w="1984" w:type="dxa"/>
            <w:vAlign w:val="center"/>
          </w:tcPr>
          <w:p>
            <w:pPr>
              <w:spacing w:line="40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450" w:type="dxa"/>
            <w:vAlign w:val="center"/>
          </w:tcPr>
          <w:p>
            <w:pPr>
              <w:spacing w:line="400" w:lineRule="exact"/>
              <w:rPr>
                <w:rFonts w:ascii="宋体" w:hAnsi="宋体" w:cs="宋体"/>
                <w:b/>
                <w:sz w:val="24"/>
              </w:rPr>
            </w:pPr>
            <w:r>
              <w:rPr>
                <w:rFonts w:hint="eastAsia" w:ascii="宋体" w:hAnsi="宋体" w:cs="宋体"/>
                <w:b/>
                <w:sz w:val="24"/>
              </w:rPr>
              <w:t>6</w:t>
            </w:r>
          </w:p>
        </w:tc>
        <w:tc>
          <w:tcPr>
            <w:tcW w:w="1456" w:type="dxa"/>
          </w:tcPr>
          <w:p>
            <w:pPr>
              <w:widowControl/>
              <w:autoSpaceDE w:val="0"/>
              <w:autoSpaceDN w:val="0"/>
              <w:adjustRightInd w:val="0"/>
              <w:spacing w:line="440" w:lineRule="exact"/>
              <w:jc w:val="center"/>
              <w:textAlignment w:val="bottom"/>
              <w:rPr>
                <w:rFonts w:ascii="宋体" w:hAnsi="宋体" w:cs="宋体"/>
                <w:b/>
                <w:bCs/>
                <w:sz w:val="24"/>
              </w:rPr>
            </w:pPr>
            <w:r>
              <w:rPr>
                <w:rFonts w:hint="eastAsia" w:ascii="宋体" w:hAnsi="宋体" w:cs="宋体"/>
                <w:b/>
                <w:bCs/>
                <w:sz w:val="24"/>
              </w:rPr>
              <w:t>打药机</w:t>
            </w:r>
          </w:p>
        </w:tc>
        <w:tc>
          <w:tcPr>
            <w:tcW w:w="1946" w:type="dxa"/>
            <w:vAlign w:val="center"/>
          </w:tcPr>
          <w:p>
            <w:pPr>
              <w:spacing w:line="400" w:lineRule="exact"/>
              <w:jc w:val="center"/>
              <w:rPr>
                <w:rFonts w:ascii="宋体" w:hAnsi="宋体" w:cs="宋体"/>
                <w:b/>
                <w:sz w:val="24"/>
              </w:rPr>
            </w:pPr>
            <w:r>
              <w:rPr>
                <w:rFonts w:hint="eastAsia" w:ascii="宋体" w:hAnsi="宋体" w:cs="宋体"/>
                <w:b/>
                <w:sz w:val="24"/>
              </w:rPr>
              <w:t>5台</w:t>
            </w:r>
          </w:p>
        </w:tc>
        <w:tc>
          <w:tcPr>
            <w:tcW w:w="2524" w:type="dxa"/>
            <w:vAlign w:val="center"/>
          </w:tcPr>
          <w:p>
            <w:pPr>
              <w:spacing w:line="400" w:lineRule="exact"/>
              <w:jc w:val="center"/>
              <w:rPr>
                <w:rFonts w:ascii="宋体" w:hAnsi="宋体" w:cs="宋体"/>
                <w:b/>
                <w:sz w:val="24"/>
              </w:rPr>
            </w:pPr>
            <w:r>
              <w:rPr>
                <w:rFonts w:hint="eastAsia" w:ascii="宋体" w:hAnsi="宋体" w:cs="宋体"/>
                <w:b/>
                <w:sz w:val="24"/>
              </w:rPr>
              <w:t>/</w:t>
            </w:r>
          </w:p>
          <w:p/>
        </w:tc>
        <w:tc>
          <w:tcPr>
            <w:tcW w:w="1984" w:type="dxa"/>
            <w:vAlign w:val="center"/>
          </w:tcPr>
          <w:p>
            <w:pPr>
              <w:spacing w:line="400" w:lineRule="exact"/>
              <w:jc w:val="center"/>
              <w:rPr>
                <w:rFonts w:ascii="宋体" w:hAnsi="宋体" w:cs="宋体"/>
                <w:b/>
                <w:sz w:val="24"/>
              </w:rPr>
            </w:pPr>
          </w:p>
        </w:tc>
      </w:tr>
    </w:tbl>
    <w:p>
      <w:pPr>
        <w:spacing w:line="360" w:lineRule="auto"/>
        <w:rPr>
          <w:rFonts w:ascii="宋体" w:hAnsi="宋体" w:cs="宋体"/>
          <w:b/>
          <w:sz w:val="24"/>
        </w:rPr>
      </w:pPr>
      <w:r>
        <w:rPr>
          <w:rFonts w:hint="eastAsia" w:ascii="宋体" w:hAnsi="宋体" w:cs="宋体"/>
          <w:b/>
          <w:bCs/>
          <w:sz w:val="24"/>
        </w:rPr>
        <w:t>注：本项目作业除表中所必须的机械外，人工及工具材料（锄头、铁耙、修枝剪、手锯、支撑桩、遮荫网、铅丝、皮管、警示桩等）、</w:t>
      </w:r>
      <w:r>
        <w:rPr>
          <w:rFonts w:hint="eastAsia" w:ascii="宋体" w:hAnsi="宋体" w:cs="宋体"/>
          <w:b/>
          <w:sz w:val="24"/>
        </w:rPr>
        <w:t>机械设备的配置及农药化肥等辅材的供应须满足作业要求、实际需求。</w:t>
      </w:r>
    </w:p>
    <w:p>
      <w:pPr>
        <w:pStyle w:val="21"/>
        <w:spacing w:line="360" w:lineRule="auto"/>
        <w:ind w:firstLine="0" w:firstLineChars="0"/>
        <w:rPr>
          <w:rFonts w:ascii="宋体" w:hAnsi="宋体" w:cs="宋体"/>
          <w:b/>
          <w:bCs/>
          <w:sz w:val="24"/>
          <w:szCs w:val="24"/>
          <w:lang w:val="zh-CN"/>
        </w:rPr>
      </w:pPr>
      <w:r>
        <w:rPr>
          <w:rFonts w:hint="eastAsia" w:ascii="宋体" w:hAnsi="宋体" w:cs="宋体"/>
          <w:b/>
          <w:bCs/>
          <w:sz w:val="24"/>
          <w:szCs w:val="24"/>
          <w:lang w:val="zh-CN"/>
        </w:rPr>
        <w:t>（三）绿化养护其他要求：</w:t>
      </w:r>
    </w:p>
    <w:p>
      <w:pPr>
        <w:pStyle w:val="21"/>
        <w:spacing w:line="360" w:lineRule="auto"/>
        <w:ind w:firstLine="0" w:firstLineChars="0"/>
        <w:rPr>
          <w:rFonts w:ascii="宋体" w:hAnsi="宋体" w:cs="宋体"/>
          <w:b/>
          <w:bCs/>
          <w:sz w:val="24"/>
          <w:szCs w:val="24"/>
          <w:lang w:val="zh-CN"/>
        </w:rPr>
      </w:pPr>
      <w:r>
        <w:rPr>
          <w:rFonts w:hint="eastAsia" w:ascii="宋体" w:hAnsi="宋体" w:cs="宋体"/>
          <w:b/>
          <w:bCs/>
          <w:sz w:val="24"/>
          <w:szCs w:val="24"/>
          <w:lang w:val="zh-CN"/>
        </w:rPr>
        <w:t>1、本项目承包方式：包工包料。</w:t>
      </w:r>
    </w:p>
    <w:p>
      <w:pPr>
        <w:pStyle w:val="21"/>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绿化养护项目所需的一切人工、材料、设施（包括管理用房等）、设备（包括登高车、洒水车、药车、割草机、割灌机、绿篱机、油锯、打药机等）及农药化肥等辅材以及合同期内养护范围内绿植的补种均由中标人负责，由此产生的一切费用均由中标人承担。</w:t>
      </w:r>
    </w:p>
    <w:p>
      <w:pPr>
        <w:pStyle w:val="21"/>
        <w:spacing w:line="360" w:lineRule="auto"/>
        <w:ind w:firstLine="0" w:firstLineChars="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中标人需按作业要求、养护质量要求合理组织，精心养护，保质、保量完成本项目养护任务。</w:t>
      </w:r>
    </w:p>
    <w:p>
      <w:pPr>
        <w:pStyle w:val="21"/>
        <w:spacing w:line="360" w:lineRule="auto"/>
        <w:ind w:firstLine="0" w:firstLineChars="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、中标人应保证养护质量达到本项目绿地养护质量要求。所养护的植株无明显缺株、死树，乔灌木保存率达到本项目绿地养护质量要求及以上。</w:t>
      </w:r>
    </w:p>
    <w:p>
      <w:pPr>
        <w:pStyle w:val="21"/>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除常规绿化养护外，行道树秋冬季节的防冻、每年分两次对绿地内的枯叶进行集中清理、采购人通知的临时绿化作业内容（包括采购人通知的临时修剪等），中标人应积极配合。</w:t>
      </w:r>
    </w:p>
    <w:p>
      <w:pPr>
        <w:pStyle w:val="21"/>
        <w:spacing w:line="360" w:lineRule="auto"/>
        <w:ind w:firstLine="0" w:firstLineChars="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卫生保洁管理要求：绿地实行日常动态保洁，绿地内白色垃圾、污物或其他有形垃圾及杂物，枝叶上垃圾、晾晒物、吊挂物设施，停留时间不超过4小时；卫生无死角。垃圾桶外观清洁，桶内垃圾不外露，桶外无明显污物。</w:t>
      </w:r>
    </w:p>
    <w:p>
      <w:pPr>
        <w:pStyle w:val="21"/>
        <w:spacing w:line="360" w:lineRule="auto"/>
        <w:ind w:firstLine="0" w:firstLineChars="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环境要求：绿化生产垃圾（如：树枝、草末等）做到日产日清，绿地内无明显的废弃物或垃圾，绿地实行日常保洁；能坚持在节假日或重要活动前进行突击清理；对绿化修剪废弃物须日产日清。 管养过程中产生的杂物或垃圾由中标人自行负责倾倒至各主管部门同意倾倒的地点，由此产生的费用由中标人自行负责。中标人应认真做好养护范围内的除“四害”工作，认真实施护管工作等，确保所养护绿地绿植生长良好、绿化带内整洁，并自觉配合各项重大活动，接受各级管理部门的考核、监督，要求员工进行上岗前培训，做到规范作业、规范养护、统一着装上岗。</w:t>
      </w:r>
    </w:p>
    <w:p>
      <w:pPr>
        <w:pStyle w:val="21"/>
        <w:spacing w:line="360" w:lineRule="auto"/>
        <w:ind w:firstLine="0" w:firstLineChars="0"/>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所养护的绿地区域内，如有因工程施工等造成的毁绿、损绿现象的中标人应及时监督，并及时督促其办理有关手续。因施工等原因造成绿化缺失、损坏的由中标人与施工方或责任方协商，双方自行达成一致意见，按原绿地标准进行绿植的补种，如工程为政府投资项目的绿地恢复方案由采购人确定。</w:t>
      </w:r>
    </w:p>
    <w:p>
      <w:pPr>
        <w:pStyle w:val="21"/>
        <w:spacing w:line="360" w:lineRule="auto"/>
        <w:ind w:firstLine="0" w:firstLineChars="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中标人必须重视安全生产，确保合同期内不出安全事故、交通事故等各类事故。中标人应严格按有关规定，办理项目雇员、设备及第三方责任等相关保险。如合同期内出现安全事故、交通事故等各类事故的，由中标人承担一切责任、费用，与采购人无涉。</w:t>
      </w:r>
    </w:p>
    <w:p>
      <w:pPr>
        <w:pStyle w:val="3"/>
        <w:spacing w:line="360" w:lineRule="auto"/>
        <w:ind w:firstLine="0"/>
        <w:rPr>
          <w:rFonts w:hAnsi="宋体" w:cs="宋体"/>
          <w:kern w:val="2"/>
          <w:sz w:val="24"/>
          <w:szCs w:val="24"/>
          <w:lang w:val="zh-CN"/>
        </w:rPr>
      </w:pPr>
      <w:r>
        <w:rPr>
          <w:rFonts w:hint="eastAsia" w:hAnsi="宋体" w:cs="宋体"/>
          <w:kern w:val="2"/>
          <w:sz w:val="24"/>
          <w:szCs w:val="24"/>
        </w:rPr>
        <w:t>8、</w:t>
      </w:r>
      <w:r>
        <w:rPr>
          <w:rFonts w:hint="eastAsia" w:hAnsi="宋体" w:cs="宋体"/>
          <w:kern w:val="2"/>
          <w:sz w:val="24"/>
          <w:szCs w:val="24"/>
          <w:lang w:val="zh-CN"/>
        </w:rPr>
        <w:t>养护期结束后，养护单位须对所承包绿地范围内绿化苗木及设施列出清单，上交给发包方。因养护管理造成死亡、缺损苗木由中标人负责补植，新补植的绿化苗木由承包方负责养护一年；因养护管理不善造成设施缺损的由中标人负责维修完好；因此发生的费用由中标人承担。</w:t>
      </w:r>
    </w:p>
    <w:p>
      <w:pPr>
        <w:pStyle w:val="3"/>
        <w:spacing w:line="360" w:lineRule="auto"/>
        <w:ind w:firstLine="0"/>
        <w:rPr>
          <w:rFonts w:hAnsi="宋体" w:cs="宋体"/>
          <w:kern w:val="2"/>
          <w:sz w:val="24"/>
          <w:szCs w:val="24"/>
          <w:lang w:val="zh-CN"/>
        </w:rPr>
      </w:pPr>
      <w:r>
        <w:rPr>
          <w:rFonts w:hint="eastAsia" w:hAnsi="宋体" w:cs="宋体"/>
          <w:kern w:val="2"/>
          <w:sz w:val="24"/>
          <w:szCs w:val="24"/>
        </w:rPr>
        <w:t>10、</w:t>
      </w:r>
      <w:r>
        <w:rPr>
          <w:rFonts w:hint="eastAsia" w:hAnsi="宋体" w:cs="宋体"/>
          <w:kern w:val="2"/>
          <w:sz w:val="24"/>
          <w:szCs w:val="24"/>
          <w:lang w:val="zh-CN"/>
        </w:rPr>
        <w:t>不是由养护方补植的苗木和种植的花卉，但补植和种植在养护方绿地范围内的苗木和花卉后续养护由本次中标方负责养护，养护费含在报价中，发生不再另计。</w:t>
      </w:r>
    </w:p>
    <w:p>
      <w:pPr>
        <w:pStyle w:val="3"/>
        <w:spacing w:line="360" w:lineRule="auto"/>
        <w:ind w:firstLine="0"/>
        <w:rPr>
          <w:rFonts w:hAnsi="宋体"/>
          <w:b/>
          <w:bCs/>
          <w:kern w:val="2"/>
          <w:sz w:val="24"/>
          <w:szCs w:val="24"/>
        </w:rPr>
      </w:pPr>
      <w:r>
        <w:rPr>
          <w:rFonts w:hint="eastAsia" w:hAnsi="宋体"/>
          <w:b/>
          <w:bCs/>
          <w:kern w:val="2"/>
          <w:sz w:val="24"/>
          <w:szCs w:val="24"/>
        </w:rPr>
        <w:t>七、服务费用支付、考核</w:t>
      </w:r>
    </w:p>
    <w:p>
      <w:pPr>
        <w:pStyle w:val="3"/>
        <w:spacing w:line="360" w:lineRule="auto"/>
        <w:ind w:firstLine="352" w:firstLineChars="147"/>
        <w:rPr>
          <w:rFonts w:hAnsi="宋体" w:cs="宋体"/>
          <w:kern w:val="2"/>
          <w:sz w:val="24"/>
        </w:rPr>
      </w:pPr>
      <w:r>
        <w:rPr>
          <w:rFonts w:hint="eastAsia" w:hAnsi="宋体" w:cs="宋体"/>
          <w:kern w:val="2"/>
          <w:sz w:val="24"/>
        </w:rPr>
        <w:t>7.1 服务费用按季拨付。</w:t>
      </w:r>
    </w:p>
    <w:p>
      <w:pPr>
        <w:pStyle w:val="3"/>
        <w:spacing w:line="360" w:lineRule="auto"/>
        <w:ind w:firstLine="832" w:firstLineChars="347"/>
        <w:rPr>
          <w:rFonts w:hAnsi="宋体" w:cs="宋体"/>
          <w:kern w:val="2"/>
          <w:sz w:val="24"/>
        </w:rPr>
      </w:pPr>
      <w:r>
        <w:rPr>
          <w:rFonts w:hint="eastAsia" w:hAnsi="宋体" w:cs="宋体"/>
          <w:kern w:val="2"/>
          <w:sz w:val="24"/>
        </w:rPr>
        <w:t>7.1.1每季的服务费金额与考核结果挂钩，季度考核得分为本季度三个月的平均分；</w:t>
      </w:r>
    </w:p>
    <w:p>
      <w:pPr>
        <w:spacing w:line="360" w:lineRule="auto"/>
        <w:outlineLvl w:val="1"/>
        <w:rPr>
          <w:rFonts w:hAnsi="宋体" w:cs="宋体"/>
          <w:sz w:val="24"/>
        </w:rPr>
      </w:pPr>
      <w:r>
        <w:rPr>
          <w:rFonts w:hint="eastAsia" w:ascii="宋体" w:hAnsi="宋体" w:cs="宋体"/>
          <w:sz w:val="24"/>
        </w:rPr>
        <w:t>服务质量考核标准见《绿地养护质量考核扣分细则》</w:t>
      </w:r>
      <w:r>
        <w:rPr>
          <w:rFonts w:hint="eastAsia" w:hAnsi="宋体" w:cs="宋体"/>
          <w:sz w:val="24"/>
        </w:rPr>
        <w:t>（见附件）</w:t>
      </w:r>
    </w:p>
    <w:p>
      <w:pPr>
        <w:spacing w:line="360" w:lineRule="auto"/>
        <w:ind w:firstLine="480" w:firstLineChars="200"/>
        <w:rPr>
          <w:rFonts w:ascii="宋体" w:hAnsi="宋体" w:cs="宋体"/>
          <w:sz w:val="24"/>
        </w:rPr>
      </w:pPr>
      <w:r>
        <w:rPr>
          <w:rFonts w:hint="eastAsia" w:ascii="宋体" w:hAnsi="宋体" w:cs="宋体"/>
          <w:sz w:val="24"/>
        </w:rPr>
        <w:t>1、季度得分在90分以上为一等，不减少区级补助；</w:t>
      </w:r>
    </w:p>
    <w:p>
      <w:pPr>
        <w:spacing w:line="360" w:lineRule="auto"/>
        <w:ind w:firstLine="560"/>
        <w:rPr>
          <w:rFonts w:ascii="宋体" w:hAnsi="宋体" w:cs="宋体"/>
          <w:sz w:val="24"/>
        </w:rPr>
      </w:pPr>
      <w:r>
        <w:rPr>
          <w:rFonts w:hint="eastAsia" w:ascii="宋体" w:hAnsi="宋体" w:cs="宋体"/>
          <w:sz w:val="24"/>
        </w:rPr>
        <w:t>2、季度得分在90—85分为二等，区级补助按照基础价的 95%计算；</w:t>
      </w:r>
    </w:p>
    <w:p>
      <w:pPr>
        <w:spacing w:line="360" w:lineRule="auto"/>
        <w:ind w:firstLine="560"/>
        <w:rPr>
          <w:rFonts w:ascii="宋体" w:hAnsi="宋体" w:cs="宋体"/>
          <w:sz w:val="24"/>
        </w:rPr>
      </w:pPr>
      <w:r>
        <w:rPr>
          <w:rFonts w:hint="eastAsia" w:ascii="宋体" w:hAnsi="宋体" w:cs="宋体"/>
          <w:sz w:val="24"/>
        </w:rPr>
        <w:t>3、季度得分在85分--80分的为三等，区级补助按照基础价的 90%计算；</w:t>
      </w:r>
    </w:p>
    <w:p>
      <w:pPr>
        <w:spacing w:line="360" w:lineRule="auto"/>
        <w:ind w:firstLine="560"/>
        <w:rPr>
          <w:rFonts w:ascii="宋体" w:hAnsi="宋体" w:cs="宋体"/>
          <w:sz w:val="24"/>
        </w:rPr>
      </w:pPr>
      <w:r>
        <w:rPr>
          <w:rFonts w:hint="eastAsia" w:ascii="宋体" w:hAnsi="宋体" w:cs="宋体"/>
          <w:sz w:val="24"/>
        </w:rPr>
        <w:t>4、季度得分在80分以下的为不合格，区级补助不予安排。</w:t>
      </w:r>
    </w:p>
    <w:p>
      <w:pPr>
        <w:spacing w:line="360" w:lineRule="auto"/>
        <w:ind w:firstLine="552"/>
        <w:rPr>
          <w:rFonts w:ascii="宋体" w:hAnsi="宋体" w:cs="宋体"/>
          <w:sz w:val="24"/>
        </w:rPr>
      </w:pPr>
      <w:r>
        <w:rPr>
          <w:rFonts w:hint="eastAsia" w:ascii="宋体" w:hAnsi="宋体" w:cs="宋体"/>
          <w:sz w:val="24"/>
        </w:rPr>
        <w:t>5、合同期限内两个季度得分80分以下的养护单位，采购方有权解除承包合同并上报行业主管部门；</w:t>
      </w:r>
    </w:p>
    <w:p>
      <w:pPr>
        <w:spacing w:line="360" w:lineRule="auto"/>
        <w:ind w:firstLine="552"/>
        <w:rPr>
          <w:rFonts w:ascii="宋体" w:hAnsi="宋体" w:cs="宋体"/>
          <w:sz w:val="24"/>
        </w:rPr>
      </w:pPr>
      <w:r>
        <w:rPr>
          <w:rFonts w:hint="eastAsia" w:ascii="宋体" w:hAnsi="宋体" w:cs="宋体"/>
          <w:sz w:val="24"/>
        </w:rPr>
        <w:t>6、遇重大检查测评事项（如文明城市复测等），涉及各标段所辖管养区域内扣分的，每扣一项当月考核扣5分，扣分项三项以上扣当月考核分30分（如当月考核已结束，扣分在下月考核中扣除）；</w:t>
      </w:r>
    </w:p>
    <w:p>
      <w:pPr>
        <w:spacing w:line="360" w:lineRule="auto"/>
        <w:ind w:firstLine="480" w:firstLineChars="200"/>
        <w:rPr>
          <w:rFonts w:ascii="宋体" w:hAnsi="宋体" w:cs="宋体"/>
          <w:b/>
          <w:bCs/>
          <w:sz w:val="24"/>
        </w:rPr>
      </w:pPr>
      <w:r>
        <w:rPr>
          <w:rFonts w:hint="eastAsia" w:ascii="宋体" w:hAnsi="宋体" w:cs="宋体"/>
          <w:sz w:val="24"/>
        </w:rPr>
        <w:t>7、日常巡查发现问题，以口头书面或告知单通知中标单位限期整改，若在规定时间内整改到位，不予扣罚，若养护单位在规定时间内未完成整改，每一次扣2000元，领导巡查发现问题，提出整改要求后，由养护工作领导小组复检，发现该问题仍未按要求整改完成，扣2000-20000元（视情况而定）。</w:t>
      </w:r>
    </w:p>
    <w:p>
      <w:pPr>
        <w:pStyle w:val="3"/>
        <w:spacing w:line="360" w:lineRule="auto"/>
        <w:ind w:firstLine="352" w:firstLineChars="147"/>
        <w:rPr>
          <w:rFonts w:hAnsi="宋体" w:cs="宋体"/>
          <w:kern w:val="2"/>
          <w:sz w:val="24"/>
        </w:rPr>
      </w:pPr>
      <w:r>
        <w:rPr>
          <w:rFonts w:hint="eastAsia" w:hAnsi="宋体" w:cs="宋体"/>
          <w:kern w:val="2"/>
          <w:sz w:val="24"/>
        </w:rPr>
        <w:t>7.2、其他处罚措施：</w:t>
      </w:r>
    </w:p>
    <w:p>
      <w:pPr>
        <w:pStyle w:val="3"/>
        <w:numPr>
          <w:ilvl w:val="0"/>
          <w:numId w:val="4"/>
        </w:numPr>
        <w:spacing w:line="360" w:lineRule="auto"/>
        <w:rPr>
          <w:rFonts w:hAnsi="宋体" w:cs="宋体"/>
          <w:kern w:val="2"/>
          <w:sz w:val="24"/>
        </w:rPr>
      </w:pPr>
      <w:r>
        <w:rPr>
          <w:rFonts w:hint="eastAsia" w:hAnsi="宋体" w:cs="宋体"/>
          <w:kern w:val="2"/>
          <w:sz w:val="24"/>
        </w:rPr>
        <w:t>被上级管理部门查实问题的，每次扣2000元人民币，情节严重的采购人有权取消合同。</w:t>
      </w:r>
    </w:p>
    <w:p>
      <w:pPr>
        <w:pStyle w:val="3"/>
        <w:numPr>
          <w:ilvl w:val="0"/>
          <w:numId w:val="4"/>
        </w:numPr>
        <w:spacing w:line="360" w:lineRule="auto"/>
        <w:rPr>
          <w:rFonts w:hAnsi="宋体" w:cs="宋体"/>
          <w:kern w:val="2"/>
          <w:sz w:val="24"/>
        </w:rPr>
      </w:pPr>
      <w:r>
        <w:rPr>
          <w:rFonts w:hint="eastAsia" w:hAnsi="宋体" w:cs="宋体"/>
          <w:kern w:val="2"/>
          <w:sz w:val="24"/>
        </w:rPr>
        <w:t>被群众举报经核实情况属实的，每次扣2000元人民币，情节严重的采购人有权取消合同。</w:t>
      </w:r>
    </w:p>
    <w:p>
      <w:pPr>
        <w:pStyle w:val="3"/>
        <w:numPr>
          <w:ilvl w:val="0"/>
          <w:numId w:val="4"/>
        </w:numPr>
        <w:spacing w:line="360" w:lineRule="auto"/>
        <w:rPr>
          <w:rFonts w:hAnsi="宋体" w:cs="宋体"/>
          <w:kern w:val="2"/>
          <w:sz w:val="24"/>
        </w:rPr>
      </w:pPr>
      <w:r>
        <w:rPr>
          <w:rFonts w:hint="eastAsia" w:hAnsi="宋体" w:cs="宋体"/>
          <w:kern w:val="2"/>
          <w:sz w:val="24"/>
        </w:rPr>
        <w:t>被媒体曝光造成不良影响的，每次扣2000—5000元人民币，情节严重的采购人有权取消合同。</w:t>
      </w:r>
    </w:p>
    <w:p>
      <w:pPr>
        <w:pStyle w:val="3"/>
        <w:numPr>
          <w:ilvl w:val="0"/>
          <w:numId w:val="4"/>
        </w:numPr>
        <w:spacing w:line="360" w:lineRule="auto"/>
        <w:rPr>
          <w:rFonts w:hAnsi="宋体" w:cs="宋体"/>
          <w:kern w:val="2"/>
          <w:sz w:val="24"/>
        </w:rPr>
      </w:pPr>
      <w:r>
        <w:rPr>
          <w:rFonts w:hint="eastAsia" w:hAnsi="宋体" w:cs="宋体"/>
          <w:kern w:val="2"/>
          <w:sz w:val="24"/>
        </w:rPr>
        <w:t>因中标人原因造成重大负面影响的，扣除30000-50000元人民币，且采购人有权取消合同。</w:t>
      </w:r>
    </w:p>
    <w:p>
      <w:pPr>
        <w:spacing w:line="420" w:lineRule="exact"/>
        <w:rPr>
          <w:rFonts w:hint="eastAsia" w:ascii="宋体" w:hAnsi="宋体"/>
          <w:b/>
          <w:bCs/>
          <w:sz w:val="24"/>
        </w:rPr>
      </w:pPr>
      <w:r>
        <w:rPr>
          <w:rFonts w:hint="eastAsia" w:ascii="宋体" w:hAnsi="宋体"/>
          <w:b/>
          <w:bCs/>
          <w:sz w:val="24"/>
        </w:rPr>
        <w:t>▲八、付款方式：</w:t>
      </w:r>
    </w:p>
    <w:p>
      <w:pPr>
        <w:spacing w:line="420" w:lineRule="exact"/>
        <w:rPr>
          <w:rFonts w:hint="eastAsia" w:ascii="宋体" w:hAnsi="宋体" w:cs="宋体"/>
          <w:sz w:val="24"/>
          <w:szCs w:val="20"/>
        </w:rPr>
      </w:pPr>
      <w:r>
        <w:rPr>
          <w:rFonts w:hint="eastAsia" w:ascii="宋体" w:hAnsi="宋体"/>
          <w:b/>
          <w:bCs/>
          <w:sz w:val="24"/>
        </w:rPr>
        <w:t xml:space="preserve">    </w:t>
      </w:r>
      <w:r>
        <w:rPr>
          <w:rFonts w:hint="eastAsia" w:ascii="宋体" w:hAnsi="宋体" w:cs="宋体"/>
          <w:sz w:val="24"/>
          <w:szCs w:val="20"/>
        </w:rPr>
        <w:t>根据考核结果，在年终考核结束后</w:t>
      </w:r>
      <w:r>
        <w:rPr>
          <w:rFonts w:ascii="宋体" w:hAnsi="宋体" w:cs="宋体"/>
          <w:sz w:val="24"/>
          <w:szCs w:val="20"/>
        </w:rPr>
        <w:t xml:space="preserve">15 </w:t>
      </w:r>
      <w:r>
        <w:rPr>
          <w:rFonts w:hint="eastAsia" w:ascii="宋体" w:hAnsi="宋体" w:cs="宋体"/>
          <w:sz w:val="24"/>
          <w:szCs w:val="20"/>
        </w:rPr>
        <w:t>天内向管护单位付清。</w:t>
      </w:r>
    </w:p>
    <w:p>
      <w:pPr>
        <w:spacing w:line="420" w:lineRule="exact"/>
        <w:rPr>
          <w:rFonts w:ascii="宋体" w:hAnsi="宋体"/>
          <w:b/>
          <w:bCs/>
          <w:sz w:val="24"/>
        </w:rPr>
      </w:pPr>
      <w:r>
        <w:rPr>
          <w:rFonts w:hint="eastAsia" w:ascii="宋体" w:hAnsi="宋体"/>
          <w:b/>
          <w:bCs/>
          <w:color w:val="000000"/>
          <w:sz w:val="24"/>
        </w:rPr>
        <w:t>▲</w:t>
      </w:r>
      <w:r>
        <w:rPr>
          <w:rFonts w:hint="eastAsia" w:ascii="宋体" w:hAnsi="宋体"/>
          <w:b/>
          <w:bCs/>
          <w:sz w:val="24"/>
        </w:rPr>
        <w:t>九、结算方式：</w:t>
      </w:r>
    </w:p>
    <w:p>
      <w:pPr>
        <w:spacing w:line="400" w:lineRule="exact"/>
        <w:ind w:firstLine="480" w:firstLineChars="200"/>
        <w:rPr>
          <w:rFonts w:ascii="宋体" w:hAnsi="宋体"/>
          <w:bCs/>
          <w:sz w:val="24"/>
        </w:rPr>
      </w:pPr>
      <w:r>
        <w:rPr>
          <w:rFonts w:hint="eastAsia" w:ascii="宋体" w:hAnsi="宋体" w:cs="宋体"/>
          <w:sz w:val="24"/>
          <w:szCs w:val="20"/>
        </w:rPr>
        <w:t>区里承担的管护经费，由区财政局与两大管护单位（城投集团、交投集团）结算；美丽乡村景观线属地镇（开发区）承担部分，</w:t>
      </w:r>
      <w:r>
        <w:rPr>
          <w:rFonts w:hint="eastAsia" w:ascii="宋体" w:hAnsi="宋体"/>
          <w:bCs/>
          <w:sz w:val="24"/>
        </w:rPr>
        <w:t>按每个标段中标单位的</w:t>
      </w:r>
      <w:r>
        <w:rPr>
          <w:rFonts w:ascii="宋体" w:hAnsi="宋体"/>
          <w:bCs/>
          <w:sz w:val="24"/>
        </w:rPr>
        <w:t>中标价格进行结算</w:t>
      </w:r>
      <w:r>
        <w:rPr>
          <w:rFonts w:hint="eastAsia" w:ascii="宋体" w:hAnsi="宋体"/>
          <w:bCs/>
          <w:sz w:val="24"/>
        </w:rPr>
        <w:t>【按中标单价（元/㎡/年）×实际养护面积 -扣除的费用】</w:t>
      </w:r>
    </w:p>
    <w:p>
      <w:pPr>
        <w:spacing w:line="400" w:lineRule="exact"/>
        <w:rPr>
          <w:rFonts w:ascii="宋体" w:hAnsi="宋体"/>
          <w:bCs/>
          <w:color w:val="000000"/>
          <w:sz w:val="24"/>
        </w:rPr>
      </w:pPr>
      <w:r>
        <w:rPr>
          <w:rFonts w:hint="eastAsia" w:ascii="宋体" w:hAnsi="宋体"/>
          <w:b/>
          <w:bCs/>
          <w:color w:val="000000"/>
          <w:sz w:val="24"/>
        </w:rPr>
        <w:t>▲十</w:t>
      </w:r>
      <w:r>
        <w:rPr>
          <w:rFonts w:hint="eastAsia" w:ascii="宋体" w:hAnsi="宋体"/>
          <w:bCs/>
          <w:sz w:val="24"/>
        </w:rPr>
        <w:t>、</w:t>
      </w:r>
      <w:r>
        <w:rPr>
          <w:rFonts w:hint="eastAsia" w:ascii="宋体" w:hAnsi="宋体"/>
          <w:b/>
          <w:bCs/>
          <w:sz w:val="24"/>
        </w:rPr>
        <w:t>履约保证金</w:t>
      </w:r>
      <w:r>
        <w:rPr>
          <w:rFonts w:hint="eastAsia" w:ascii="宋体" w:hAnsi="宋体"/>
          <w:bCs/>
          <w:sz w:val="24"/>
        </w:rPr>
        <w:t>：</w:t>
      </w:r>
      <w:r>
        <w:rPr>
          <w:rFonts w:hint="eastAsia" w:ascii="宋体" w:hAnsi="宋体"/>
          <w:bCs/>
          <w:color w:val="000000"/>
          <w:sz w:val="24"/>
        </w:rPr>
        <w:t>本项目无需提交</w:t>
      </w:r>
    </w:p>
    <w:p>
      <w:pPr>
        <w:spacing w:line="400" w:lineRule="exact"/>
        <w:rPr>
          <w:rFonts w:ascii="宋体" w:hAnsi="宋体"/>
          <w:b/>
          <w:sz w:val="24"/>
        </w:rPr>
      </w:pPr>
      <w:r>
        <w:rPr>
          <w:rFonts w:hint="eastAsia" w:ascii="宋体" w:hAnsi="宋体"/>
          <w:b/>
          <w:sz w:val="24"/>
        </w:rPr>
        <w:t>十一、工程安全事项及违约责任</w:t>
      </w:r>
    </w:p>
    <w:p>
      <w:pPr>
        <w:pStyle w:val="3"/>
        <w:numPr>
          <w:ilvl w:val="0"/>
          <w:numId w:val="5"/>
        </w:numPr>
        <w:spacing w:line="360" w:lineRule="auto"/>
        <w:rPr>
          <w:rFonts w:hAnsi="宋体" w:cs="宋体"/>
          <w:kern w:val="2"/>
          <w:sz w:val="24"/>
        </w:rPr>
      </w:pPr>
      <w:r>
        <w:rPr>
          <w:rFonts w:hint="eastAsia" w:hAnsi="宋体" w:cs="宋体"/>
          <w:kern w:val="2"/>
          <w:sz w:val="24"/>
        </w:rPr>
        <w:t>中标人应严格执行各项国家有关规定，有关技术人员必须持证上岗，专人专职负责安全。</w:t>
      </w:r>
    </w:p>
    <w:p>
      <w:pPr>
        <w:pStyle w:val="3"/>
        <w:numPr>
          <w:ilvl w:val="0"/>
          <w:numId w:val="5"/>
        </w:numPr>
        <w:spacing w:line="360" w:lineRule="auto"/>
        <w:rPr>
          <w:rFonts w:hAnsi="宋体" w:cs="宋体"/>
          <w:kern w:val="2"/>
          <w:sz w:val="24"/>
        </w:rPr>
      </w:pPr>
      <w:r>
        <w:rPr>
          <w:rFonts w:hint="eastAsia" w:hAnsi="宋体" w:cs="宋体"/>
          <w:kern w:val="2"/>
          <w:sz w:val="24"/>
        </w:rPr>
        <w:t>中标人应严格按有关规定，办理项目雇员、设备及第三方责任等相关保险。</w:t>
      </w:r>
    </w:p>
    <w:p>
      <w:pPr>
        <w:pStyle w:val="3"/>
        <w:numPr>
          <w:ilvl w:val="0"/>
          <w:numId w:val="5"/>
        </w:numPr>
        <w:spacing w:line="360" w:lineRule="auto"/>
        <w:rPr>
          <w:rFonts w:hAnsi="宋体" w:cs="宋体"/>
          <w:kern w:val="2"/>
          <w:sz w:val="24"/>
        </w:rPr>
      </w:pPr>
      <w:r>
        <w:rPr>
          <w:rFonts w:hint="eastAsia" w:hAnsi="宋体" w:cs="宋体"/>
          <w:kern w:val="2"/>
          <w:sz w:val="24"/>
        </w:rPr>
        <w:t>安全范围包含：养护人员的安全、人身意外伤害（含上下班途中）、保障游客安全、设施安全管理（水、电等）等。中标人应实施严格的各类安全防护措施，切实做好安民（含游客）告示，设置必要的施工警戒标志，线杆保护措施，制定保障人员出行安全畅通的保证措施，做好养护照明、看守和警卫工作，有毒气体防护措施和电源电线安全保护措施，并对养护工程现场的安全负责，接受发包人和监理单位的现场代表对安全措施的监督。中标人若发生与本养护管理工程相关的安全事故和治安纠纷事件，一切法律和经济责任均由中标单位承担。由于中标人安全措施不力、养护工作不到位、违反安全操作规程而导致责任事故或伤害，所发生的费用均由中标人自负，发包人保留追究责任的权利。</w:t>
      </w:r>
    </w:p>
    <w:p>
      <w:pPr>
        <w:pStyle w:val="3"/>
        <w:numPr>
          <w:ilvl w:val="0"/>
          <w:numId w:val="5"/>
        </w:numPr>
        <w:spacing w:line="360" w:lineRule="auto"/>
        <w:rPr>
          <w:rFonts w:hAnsi="宋体" w:cs="宋体"/>
          <w:kern w:val="2"/>
          <w:sz w:val="24"/>
        </w:rPr>
      </w:pPr>
      <w:r>
        <w:rPr>
          <w:rFonts w:hint="eastAsia" w:hAnsi="宋体" w:cs="宋体"/>
          <w:kern w:val="2"/>
          <w:sz w:val="24"/>
        </w:rPr>
        <w:t>养护期间中标人应做好抗灾减灾应急预案，密切注意气象预报，及时采取防范措施，防止暴风雨（台风）、洪水、雷电、冰冻、旱、雪等造成工程损害，中标人不得以除地震等不可抗力以外的自然灾害为由提出索赔要求。</w:t>
      </w:r>
    </w:p>
    <w:p>
      <w:pPr>
        <w:pStyle w:val="3"/>
        <w:numPr>
          <w:ilvl w:val="0"/>
          <w:numId w:val="5"/>
        </w:numPr>
        <w:spacing w:line="360" w:lineRule="auto"/>
      </w:pPr>
      <w:r>
        <w:rPr>
          <w:rFonts w:hint="eastAsia" w:hAnsi="宋体" w:cs="宋体"/>
          <w:kern w:val="2"/>
          <w:sz w:val="24"/>
        </w:rPr>
        <w:t>养护过程中，中标人必须按投标时提供的人员配置，合理安排劳动力，未详之处按劳动法相关规定处理。</w:t>
      </w:r>
    </w:p>
    <w:p>
      <w:pPr>
        <w:pStyle w:val="3"/>
        <w:spacing w:line="360" w:lineRule="auto"/>
        <w:ind w:firstLine="352" w:firstLineChars="147"/>
        <w:rPr>
          <w:rFonts w:hAnsi="宋体"/>
          <w:b/>
          <w:bCs/>
          <w:sz w:val="32"/>
          <w:szCs w:val="30"/>
        </w:rPr>
      </w:pPr>
      <w:r>
        <w:rPr>
          <w:rFonts w:hint="eastAsia" w:hAnsi="宋体" w:cs="宋体"/>
          <w:kern w:val="2"/>
          <w:sz w:val="24"/>
        </w:rPr>
        <w:t>6.因自然灾害等不可抗力因素造成本项目绿地养护项目经济损失的，双方应本着实事求是的原则共同协商妥善解决。</w:t>
      </w:r>
    </w:p>
    <w:p>
      <w:pPr>
        <w:spacing w:before="7" w:line="360" w:lineRule="auto"/>
        <w:ind w:right="-102" w:firstLine="482" w:firstLineChars="200"/>
        <w:rPr>
          <w:rFonts w:ascii="宋体" w:hAnsi="宋体" w:cs="宋体"/>
          <w:b/>
          <w:sz w:val="24"/>
        </w:rPr>
      </w:pPr>
      <w:r>
        <w:rPr>
          <w:rFonts w:hint="eastAsia" w:ascii="宋体" w:hAnsi="宋体" w:cs="宋体"/>
          <w:b/>
          <w:sz w:val="24"/>
        </w:rPr>
        <w:t>注：本招标文件中带 “▲”的有关技术和商务条款为实质性条款，投标人必须在投标文件中作出实质性响应，否则投标无效。</w:t>
      </w:r>
    </w:p>
    <w:p>
      <w:pPr>
        <w:pStyle w:val="22"/>
        <w:ind w:left="2800"/>
      </w:pPr>
    </w:p>
    <w:p>
      <w:pPr>
        <w:pStyle w:val="21"/>
        <w:keepNext w:val="0"/>
        <w:keepLines w:val="0"/>
        <w:pageBreakBefore/>
        <w:widowControl w:val="0"/>
        <w:kinsoku/>
        <w:wordWrap/>
        <w:overflowPunct/>
        <w:topLinePunct w:val="0"/>
        <w:autoSpaceDE/>
        <w:autoSpaceDN/>
        <w:bidi w:val="0"/>
        <w:adjustRightInd/>
        <w:snapToGrid/>
        <w:ind w:firstLine="0" w:firstLineChars="0"/>
        <w:jc w:val="center"/>
        <w:textAlignment w:val="auto"/>
        <w:rPr>
          <w:rFonts w:ascii="宋体" w:hAnsi="宋体"/>
          <w:b/>
          <w:bCs/>
          <w:sz w:val="32"/>
          <w:szCs w:val="30"/>
        </w:rPr>
      </w:pPr>
      <w:r>
        <w:t>南浔区美丽乡村景观线管护工作考核评分标准</w:t>
      </w:r>
    </w:p>
    <w:tbl>
      <w:tblPr>
        <w:tblStyle w:val="41"/>
        <w:tblpPr w:leftFromText="180" w:rightFromText="180" w:vertAnchor="text" w:horzAnchor="page" w:tblpX="357" w:tblpY="137"/>
        <w:tblOverlap w:val="never"/>
        <w:tblW w:w="107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5"/>
        <w:gridCol w:w="3330"/>
        <w:gridCol w:w="4830"/>
        <w:gridCol w:w="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35"/>
              <w:spacing w:before="121"/>
              <w:ind w:left="90" w:right="79"/>
              <w:jc w:val="center"/>
              <w:rPr>
                <w:rFonts w:ascii="Arial Unicode MS" w:eastAsia="Arial Unicode MS"/>
                <w:sz w:val="24"/>
              </w:rPr>
            </w:pPr>
            <w:r>
              <w:rPr>
                <w:rFonts w:hint="eastAsia" w:ascii="Arial Unicode MS" w:eastAsia="Arial Unicode MS"/>
                <w:sz w:val="24"/>
              </w:rPr>
              <w:t>序号</w:t>
            </w:r>
          </w:p>
        </w:tc>
        <w:tc>
          <w:tcPr>
            <w:tcW w:w="1315" w:type="dxa"/>
          </w:tcPr>
          <w:p>
            <w:pPr>
              <w:pStyle w:val="135"/>
              <w:spacing w:before="121"/>
              <w:rPr>
                <w:rFonts w:ascii="Arial Unicode MS" w:eastAsia="Arial Unicode MS"/>
                <w:sz w:val="24"/>
              </w:rPr>
            </w:pPr>
            <w:r>
              <w:rPr>
                <w:rFonts w:hint="eastAsia" w:ascii="Arial Unicode MS" w:eastAsia="Arial Unicode MS"/>
                <w:sz w:val="24"/>
              </w:rPr>
              <w:t>考核内容</w:t>
            </w:r>
          </w:p>
        </w:tc>
        <w:tc>
          <w:tcPr>
            <w:tcW w:w="3330" w:type="dxa"/>
          </w:tcPr>
          <w:p>
            <w:pPr>
              <w:pStyle w:val="135"/>
              <w:spacing w:before="121"/>
              <w:ind w:left="80" w:right="72"/>
              <w:jc w:val="center"/>
              <w:rPr>
                <w:rFonts w:ascii="Arial Unicode MS" w:eastAsia="Arial Unicode MS"/>
                <w:sz w:val="24"/>
              </w:rPr>
            </w:pPr>
            <w:r>
              <w:rPr>
                <w:rFonts w:hint="eastAsia" w:ascii="Arial Unicode MS" w:eastAsia="Arial Unicode MS"/>
                <w:sz w:val="24"/>
              </w:rPr>
              <w:t>管理要求</w:t>
            </w:r>
          </w:p>
        </w:tc>
        <w:tc>
          <w:tcPr>
            <w:tcW w:w="4830" w:type="dxa"/>
          </w:tcPr>
          <w:p>
            <w:pPr>
              <w:pStyle w:val="135"/>
              <w:spacing w:before="121"/>
              <w:ind w:right="2227"/>
              <w:jc w:val="center"/>
              <w:rPr>
                <w:rFonts w:ascii="Arial Unicode MS" w:eastAsia="Arial Unicode MS"/>
                <w:sz w:val="24"/>
              </w:rPr>
            </w:pPr>
            <w:r>
              <w:rPr>
                <w:rFonts w:hint="eastAsia" w:ascii="Arial Unicode MS" w:eastAsia="Arial Unicode MS"/>
                <w:sz w:val="24"/>
              </w:rPr>
              <w:t>评分标准</w:t>
            </w:r>
          </w:p>
        </w:tc>
        <w:tc>
          <w:tcPr>
            <w:tcW w:w="603" w:type="dxa"/>
          </w:tcPr>
          <w:p>
            <w:pPr>
              <w:pStyle w:val="135"/>
              <w:spacing w:before="121"/>
              <w:ind w:left="177" w:right="168"/>
              <w:jc w:val="center"/>
              <w:rPr>
                <w:rFonts w:ascii="Arial Unicode MS" w:eastAsia="Arial Unicode MS"/>
                <w:sz w:val="24"/>
              </w:rPr>
            </w:pPr>
            <w:r>
              <w:rPr>
                <w:rFonts w:hint="eastAsia" w:ascii="Arial Unicode MS" w:eastAsia="Arial Unicode M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00" w:type="dxa"/>
          </w:tcPr>
          <w:p>
            <w:pPr>
              <w:pStyle w:val="135"/>
              <w:spacing w:before="41"/>
              <w:ind w:left="11"/>
              <w:jc w:val="center"/>
              <w:rPr>
                <w:sz w:val="24"/>
              </w:rPr>
            </w:pPr>
            <w:r>
              <w:rPr>
                <w:sz w:val="24"/>
              </w:rPr>
              <w:t>1</w:t>
            </w:r>
          </w:p>
        </w:tc>
        <w:tc>
          <w:tcPr>
            <w:tcW w:w="1315" w:type="dxa"/>
            <w:vMerge w:val="restart"/>
            <w:tcBorders>
              <w:bottom w:val="nil"/>
            </w:tcBorders>
          </w:tcPr>
          <w:p>
            <w:pPr>
              <w:pStyle w:val="135"/>
              <w:rPr>
                <w:rFonts w:ascii="Arial Unicode MS"/>
                <w:sz w:val="32"/>
              </w:rPr>
            </w:pPr>
          </w:p>
          <w:p>
            <w:pPr>
              <w:pStyle w:val="135"/>
              <w:rPr>
                <w:rFonts w:ascii="Arial Unicode MS"/>
                <w:sz w:val="32"/>
              </w:rPr>
            </w:pPr>
          </w:p>
          <w:p>
            <w:pPr>
              <w:pStyle w:val="135"/>
              <w:rPr>
                <w:rFonts w:ascii="Arial Unicode MS"/>
                <w:sz w:val="32"/>
              </w:rPr>
            </w:pPr>
          </w:p>
          <w:p>
            <w:pPr>
              <w:pStyle w:val="135"/>
              <w:rPr>
                <w:rFonts w:ascii="Arial Unicode MS"/>
                <w:sz w:val="32"/>
              </w:rPr>
            </w:pPr>
          </w:p>
          <w:p>
            <w:pPr>
              <w:pStyle w:val="135"/>
              <w:spacing w:before="8"/>
              <w:rPr>
                <w:rFonts w:ascii="Arial Unicode MS"/>
                <w:sz w:val="17"/>
              </w:rPr>
            </w:pPr>
          </w:p>
          <w:p>
            <w:pPr>
              <w:pStyle w:val="135"/>
              <w:ind w:left="334"/>
              <w:rPr>
                <w:rFonts w:ascii="Arial Unicode MS" w:eastAsia="Arial Unicode MS"/>
                <w:sz w:val="24"/>
              </w:rPr>
            </w:pPr>
            <w:r>
              <w:rPr>
                <w:rFonts w:hint="eastAsia" w:ascii="Arial Unicode MS" w:eastAsia="Arial Unicode MS"/>
                <w:sz w:val="24"/>
              </w:rPr>
              <w:t>绿化养护</w:t>
            </w:r>
          </w:p>
          <w:p>
            <w:pPr>
              <w:pStyle w:val="135"/>
              <w:spacing w:before="207"/>
              <w:ind w:left="370"/>
              <w:rPr>
                <w:rFonts w:ascii="Arial Unicode MS" w:eastAsia="Arial Unicode MS"/>
                <w:sz w:val="24"/>
              </w:rPr>
            </w:pPr>
            <w:r>
              <w:rPr>
                <w:rFonts w:hint="eastAsia" w:ascii="Arial Unicode MS" w:eastAsia="Arial Unicode MS"/>
                <w:sz w:val="24"/>
              </w:rPr>
              <w:t>（50</w:t>
            </w:r>
            <w:r>
              <w:rPr>
                <w:rFonts w:hint="eastAsia" w:ascii="Arial Unicode MS" w:eastAsia="Arial Unicode MS"/>
                <w:spacing w:val="-4"/>
                <w:sz w:val="24"/>
              </w:rPr>
              <w:t xml:space="preserve"> 分)</w:t>
            </w:r>
          </w:p>
        </w:tc>
        <w:tc>
          <w:tcPr>
            <w:tcW w:w="3330" w:type="dxa"/>
          </w:tcPr>
          <w:p>
            <w:pPr>
              <w:pStyle w:val="135"/>
              <w:spacing w:before="41"/>
              <w:ind w:left="107"/>
              <w:rPr>
                <w:sz w:val="24"/>
              </w:rPr>
            </w:pPr>
            <w:r>
              <w:rPr>
                <w:sz w:val="24"/>
              </w:rPr>
              <w:t>树木成活率、保存率&gt;95%</w:t>
            </w:r>
          </w:p>
        </w:tc>
        <w:tc>
          <w:tcPr>
            <w:tcW w:w="4830" w:type="dxa"/>
          </w:tcPr>
          <w:p>
            <w:pPr>
              <w:pStyle w:val="135"/>
              <w:spacing w:before="41"/>
              <w:ind w:left="107"/>
              <w:rPr>
                <w:sz w:val="24"/>
              </w:rPr>
            </w:pPr>
            <w:r>
              <w:rPr>
                <w:sz w:val="24"/>
              </w:rPr>
              <w:t>每少 1%则扣 1 分，扣完为止。</w:t>
            </w:r>
          </w:p>
        </w:tc>
        <w:tc>
          <w:tcPr>
            <w:tcW w:w="603" w:type="dxa"/>
          </w:tcPr>
          <w:p>
            <w:pPr>
              <w:pStyle w:val="135"/>
              <w:spacing w:before="41"/>
              <w:ind w:left="177" w:right="168"/>
              <w:jc w:val="center"/>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35"/>
              <w:spacing w:before="159"/>
              <w:ind w:left="11"/>
              <w:jc w:val="center"/>
              <w:rPr>
                <w:sz w:val="24"/>
              </w:rPr>
            </w:pPr>
            <w:r>
              <w:rPr>
                <w:sz w:val="24"/>
              </w:rPr>
              <w:t>2</w:t>
            </w:r>
          </w:p>
        </w:tc>
        <w:tc>
          <w:tcPr>
            <w:tcW w:w="1315" w:type="dxa"/>
            <w:vMerge w:val="continue"/>
            <w:tcBorders>
              <w:top w:val="nil"/>
              <w:bottom w:val="nil"/>
            </w:tcBorders>
          </w:tcPr>
          <w:p>
            <w:pPr>
              <w:rPr>
                <w:sz w:val="2"/>
                <w:szCs w:val="2"/>
              </w:rPr>
            </w:pPr>
          </w:p>
        </w:tc>
        <w:tc>
          <w:tcPr>
            <w:tcW w:w="3330" w:type="dxa"/>
          </w:tcPr>
          <w:p>
            <w:pPr>
              <w:pStyle w:val="135"/>
              <w:spacing w:before="3"/>
              <w:ind w:left="107"/>
              <w:rPr>
                <w:sz w:val="24"/>
              </w:rPr>
            </w:pPr>
            <w:r>
              <w:rPr>
                <w:spacing w:val="-23"/>
                <w:sz w:val="24"/>
              </w:rPr>
              <w:t>地被、色块无块状缺失，重要节点</w:t>
            </w:r>
          </w:p>
          <w:p>
            <w:pPr>
              <w:pStyle w:val="135"/>
              <w:spacing w:before="5" w:line="288" w:lineRule="exact"/>
              <w:ind w:left="107"/>
              <w:rPr>
                <w:sz w:val="24"/>
              </w:rPr>
            </w:pPr>
            <w:r>
              <w:rPr>
                <w:sz w:val="24"/>
              </w:rPr>
              <w:t>及时更换草花。</w:t>
            </w:r>
          </w:p>
        </w:tc>
        <w:tc>
          <w:tcPr>
            <w:tcW w:w="4830" w:type="dxa"/>
          </w:tcPr>
          <w:p>
            <w:pPr>
              <w:pStyle w:val="135"/>
              <w:spacing w:before="159"/>
              <w:ind w:left="107" w:right="-44"/>
              <w:rPr>
                <w:sz w:val="24"/>
              </w:rPr>
            </w:pPr>
            <w:r>
              <w:rPr>
                <w:spacing w:val="-5"/>
                <w:sz w:val="24"/>
              </w:rPr>
              <w:t>每缺少</w:t>
            </w:r>
            <w:r>
              <w:rPr>
                <w:sz w:val="24"/>
              </w:rPr>
              <w:t>2</w:t>
            </w:r>
            <w:r>
              <w:rPr>
                <w:spacing w:val="-23"/>
                <w:sz w:val="24"/>
              </w:rPr>
              <w:t xml:space="preserve"> 处扣</w:t>
            </w:r>
            <w:r>
              <w:rPr>
                <w:sz w:val="24"/>
              </w:rPr>
              <w:t>1</w:t>
            </w:r>
            <w:r>
              <w:rPr>
                <w:spacing w:val="-29"/>
                <w:sz w:val="24"/>
              </w:rPr>
              <w:t xml:space="preserve"> 分，更换不及时每处扣</w:t>
            </w:r>
            <w:r>
              <w:rPr>
                <w:sz w:val="24"/>
              </w:rPr>
              <w:t>1</w:t>
            </w:r>
            <w:r>
              <w:rPr>
                <w:spacing w:val="-33"/>
                <w:sz w:val="24"/>
              </w:rPr>
              <w:t xml:space="preserve"> 分，扣完为止。</w:t>
            </w:r>
          </w:p>
        </w:tc>
        <w:tc>
          <w:tcPr>
            <w:tcW w:w="603" w:type="dxa"/>
          </w:tcPr>
          <w:p>
            <w:pPr>
              <w:pStyle w:val="135"/>
              <w:spacing w:before="159"/>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0" w:type="dxa"/>
          </w:tcPr>
          <w:p>
            <w:pPr>
              <w:pStyle w:val="135"/>
              <w:spacing w:before="1"/>
              <w:rPr>
                <w:rFonts w:ascii="Arial Unicode MS"/>
                <w:sz w:val="18"/>
              </w:rPr>
            </w:pPr>
          </w:p>
          <w:p>
            <w:pPr>
              <w:pStyle w:val="135"/>
              <w:spacing w:before="1"/>
              <w:ind w:left="11"/>
              <w:jc w:val="center"/>
              <w:rPr>
                <w:sz w:val="24"/>
              </w:rPr>
            </w:pPr>
            <w:r>
              <w:rPr>
                <w:sz w:val="24"/>
              </w:rPr>
              <w:t>3</w:t>
            </w:r>
          </w:p>
        </w:tc>
        <w:tc>
          <w:tcPr>
            <w:tcW w:w="1315" w:type="dxa"/>
            <w:vMerge w:val="continue"/>
            <w:tcBorders>
              <w:top w:val="nil"/>
              <w:bottom w:val="nil"/>
            </w:tcBorders>
          </w:tcPr>
          <w:p>
            <w:pPr>
              <w:rPr>
                <w:sz w:val="2"/>
                <w:szCs w:val="2"/>
              </w:rPr>
            </w:pPr>
          </w:p>
        </w:tc>
        <w:tc>
          <w:tcPr>
            <w:tcW w:w="3330" w:type="dxa"/>
          </w:tcPr>
          <w:p>
            <w:pPr>
              <w:pStyle w:val="135"/>
              <w:spacing w:before="1"/>
              <w:rPr>
                <w:rFonts w:ascii="Arial Unicode MS"/>
                <w:sz w:val="18"/>
              </w:rPr>
            </w:pPr>
          </w:p>
          <w:p>
            <w:pPr>
              <w:pStyle w:val="135"/>
              <w:spacing w:before="1"/>
              <w:ind w:left="107"/>
              <w:rPr>
                <w:sz w:val="24"/>
              </w:rPr>
            </w:pPr>
            <w:r>
              <w:rPr>
                <w:sz w:val="24"/>
              </w:rPr>
              <w:t>草皮常年覆盖率&gt;95%</w:t>
            </w:r>
          </w:p>
        </w:tc>
        <w:tc>
          <w:tcPr>
            <w:tcW w:w="4830" w:type="dxa"/>
          </w:tcPr>
          <w:p>
            <w:pPr>
              <w:pStyle w:val="135"/>
              <w:spacing w:before="3" w:line="242" w:lineRule="auto"/>
              <w:ind w:left="107" w:right="75"/>
              <w:rPr>
                <w:sz w:val="24"/>
              </w:rPr>
            </w:pPr>
            <w:r>
              <w:rPr>
                <w:spacing w:val="-22"/>
                <w:sz w:val="24"/>
              </w:rPr>
              <w:t>成片草皮出现枯黄，及其他零散如衔接处、各类线井交</w:t>
            </w:r>
            <w:r>
              <w:rPr>
                <w:spacing w:val="-16"/>
                <w:sz w:val="24"/>
              </w:rPr>
              <w:t>界处等枯黄、黄土裸露面积大于</w:t>
            </w:r>
            <w:r>
              <w:rPr>
                <w:spacing w:val="-7"/>
                <w:sz w:val="24"/>
              </w:rPr>
              <w:t>300</w:t>
            </w:r>
            <w:r>
              <w:rPr>
                <w:spacing w:val="-21"/>
                <w:sz w:val="24"/>
              </w:rPr>
              <w:t xml:space="preserve"> 平方厘米的，每</w:t>
            </w:r>
            <w:r>
              <w:rPr>
                <w:sz w:val="24"/>
              </w:rPr>
              <w:t>3</w:t>
            </w:r>
          </w:p>
          <w:p>
            <w:pPr>
              <w:pStyle w:val="135"/>
              <w:spacing w:before="3" w:line="289" w:lineRule="exact"/>
              <w:ind w:left="107"/>
              <w:rPr>
                <w:sz w:val="24"/>
              </w:rPr>
            </w:pPr>
            <w:r>
              <w:rPr>
                <w:sz w:val="24"/>
              </w:rPr>
              <w:t>处扣1 分（换季草允许有20 天局部枯黄期）。</w:t>
            </w:r>
          </w:p>
        </w:tc>
        <w:tc>
          <w:tcPr>
            <w:tcW w:w="603" w:type="dxa"/>
          </w:tcPr>
          <w:p>
            <w:pPr>
              <w:pStyle w:val="135"/>
              <w:spacing w:before="1"/>
              <w:rPr>
                <w:rFonts w:ascii="Arial Unicode MS"/>
                <w:sz w:val="18"/>
              </w:rPr>
            </w:pPr>
          </w:p>
          <w:p>
            <w:pPr>
              <w:pStyle w:val="135"/>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0" w:type="dxa"/>
          </w:tcPr>
          <w:p>
            <w:pPr>
              <w:pStyle w:val="135"/>
              <w:spacing w:before="2" w:line="289" w:lineRule="exact"/>
              <w:ind w:left="11"/>
              <w:jc w:val="center"/>
              <w:rPr>
                <w:sz w:val="24"/>
              </w:rPr>
            </w:pPr>
            <w:r>
              <w:rPr>
                <w:sz w:val="24"/>
              </w:rPr>
              <w:t>4</w:t>
            </w:r>
          </w:p>
        </w:tc>
        <w:tc>
          <w:tcPr>
            <w:tcW w:w="1315" w:type="dxa"/>
            <w:vMerge w:val="continue"/>
            <w:tcBorders>
              <w:top w:val="nil"/>
              <w:bottom w:val="nil"/>
            </w:tcBorders>
          </w:tcPr>
          <w:p>
            <w:pPr>
              <w:rPr>
                <w:sz w:val="2"/>
                <w:szCs w:val="2"/>
              </w:rPr>
            </w:pPr>
          </w:p>
        </w:tc>
        <w:tc>
          <w:tcPr>
            <w:tcW w:w="3330" w:type="dxa"/>
          </w:tcPr>
          <w:p>
            <w:pPr>
              <w:pStyle w:val="135"/>
              <w:spacing w:before="2" w:line="289" w:lineRule="exact"/>
              <w:ind w:left="107"/>
              <w:rPr>
                <w:sz w:val="24"/>
              </w:rPr>
            </w:pPr>
            <w:r>
              <w:rPr>
                <w:sz w:val="24"/>
              </w:rPr>
              <w:t>生长势良好，健康植株比例&gt;95%</w:t>
            </w:r>
          </w:p>
        </w:tc>
        <w:tc>
          <w:tcPr>
            <w:tcW w:w="4830" w:type="dxa"/>
          </w:tcPr>
          <w:p>
            <w:pPr>
              <w:pStyle w:val="135"/>
              <w:spacing w:before="2" w:line="289" w:lineRule="exact"/>
              <w:ind w:left="107"/>
              <w:rPr>
                <w:sz w:val="24"/>
              </w:rPr>
            </w:pPr>
            <w:r>
              <w:rPr>
                <w:sz w:val="24"/>
              </w:rPr>
              <w:t>生长良好比例每少1%则扣1 分，扣完为止。</w:t>
            </w:r>
          </w:p>
        </w:tc>
        <w:tc>
          <w:tcPr>
            <w:tcW w:w="603" w:type="dxa"/>
          </w:tcPr>
          <w:p>
            <w:pPr>
              <w:pStyle w:val="135"/>
              <w:spacing w:before="2" w:line="289" w:lineRule="exact"/>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0" w:type="dxa"/>
          </w:tcPr>
          <w:p>
            <w:pPr>
              <w:pStyle w:val="135"/>
              <w:spacing w:before="1"/>
              <w:rPr>
                <w:rFonts w:ascii="Arial Unicode MS"/>
                <w:sz w:val="18"/>
              </w:rPr>
            </w:pPr>
          </w:p>
          <w:p>
            <w:pPr>
              <w:pStyle w:val="135"/>
              <w:ind w:left="11"/>
              <w:jc w:val="center"/>
              <w:rPr>
                <w:sz w:val="24"/>
              </w:rPr>
            </w:pPr>
            <w:r>
              <w:rPr>
                <w:sz w:val="24"/>
              </w:rPr>
              <w:t>5</w:t>
            </w:r>
          </w:p>
        </w:tc>
        <w:tc>
          <w:tcPr>
            <w:tcW w:w="1315" w:type="dxa"/>
            <w:vMerge w:val="continue"/>
            <w:tcBorders>
              <w:top w:val="nil"/>
              <w:bottom w:val="nil"/>
            </w:tcBorders>
          </w:tcPr>
          <w:p>
            <w:pPr>
              <w:rPr>
                <w:sz w:val="2"/>
                <w:szCs w:val="2"/>
              </w:rPr>
            </w:pPr>
          </w:p>
        </w:tc>
        <w:tc>
          <w:tcPr>
            <w:tcW w:w="3330" w:type="dxa"/>
          </w:tcPr>
          <w:p>
            <w:pPr>
              <w:pStyle w:val="135"/>
              <w:spacing w:before="1"/>
              <w:rPr>
                <w:rFonts w:ascii="Arial Unicode MS"/>
                <w:sz w:val="18"/>
              </w:rPr>
            </w:pPr>
          </w:p>
          <w:p>
            <w:pPr>
              <w:pStyle w:val="135"/>
              <w:ind w:left="107"/>
              <w:rPr>
                <w:sz w:val="24"/>
              </w:rPr>
            </w:pPr>
            <w:r>
              <w:rPr>
                <w:sz w:val="24"/>
              </w:rPr>
              <w:t>乔</w:t>
            </w:r>
            <w:r>
              <w:rPr>
                <w:color w:val="C00000"/>
                <w:sz w:val="24"/>
              </w:rPr>
              <w:t>、</w:t>
            </w:r>
            <w:r>
              <w:rPr>
                <w:sz w:val="24"/>
              </w:rPr>
              <w:t>灌木修剪（抹芽）合理</w:t>
            </w:r>
          </w:p>
        </w:tc>
        <w:tc>
          <w:tcPr>
            <w:tcW w:w="4830" w:type="dxa"/>
          </w:tcPr>
          <w:p>
            <w:pPr>
              <w:pStyle w:val="135"/>
              <w:spacing w:before="2" w:line="242" w:lineRule="auto"/>
              <w:ind w:left="107" w:right="70"/>
              <w:rPr>
                <w:sz w:val="24"/>
              </w:rPr>
            </w:pPr>
            <w:r>
              <w:rPr>
                <w:spacing w:val="-12"/>
                <w:sz w:val="24"/>
              </w:rPr>
              <w:t>违规操作扣</w:t>
            </w:r>
            <w:r>
              <w:rPr>
                <w:sz w:val="24"/>
              </w:rPr>
              <w:t>2</w:t>
            </w:r>
            <w:r>
              <w:rPr>
                <w:spacing w:val="-50"/>
                <w:sz w:val="24"/>
              </w:rPr>
              <w:t xml:space="preserve"> 分</w:t>
            </w:r>
            <w:r>
              <w:rPr>
                <w:spacing w:val="-10"/>
                <w:sz w:val="24"/>
              </w:rPr>
              <w:t>/</w:t>
            </w:r>
            <w:r>
              <w:rPr>
                <w:spacing w:val="-31"/>
                <w:sz w:val="24"/>
              </w:rPr>
              <w:t>次；不及时修剪形成萌芽多，弱枝、病</w:t>
            </w:r>
            <w:r>
              <w:rPr>
                <w:spacing w:val="-18"/>
                <w:sz w:val="24"/>
              </w:rPr>
              <w:t>枝多，有折损枝等，每株扣</w:t>
            </w:r>
            <w:r>
              <w:rPr>
                <w:spacing w:val="-7"/>
                <w:sz w:val="24"/>
              </w:rPr>
              <w:t>0.2</w:t>
            </w:r>
            <w:r>
              <w:rPr>
                <w:spacing w:val="-28"/>
                <w:sz w:val="24"/>
              </w:rPr>
              <w:t xml:space="preserve"> 分，修剪后清理不干净</w:t>
            </w:r>
          </w:p>
          <w:p>
            <w:pPr>
              <w:pStyle w:val="135"/>
              <w:spacing w:before="3" w:line="290" w:lineRule="exact"/>
              <w:ind w:left="107"/>
              <w:rPr>
                <w:sz w:val="24"/>
              </w:rPr>
            </w:pPr>
            <w:r>
              <w:rPr>
                <w:sz w:val="24"/>
              </w:rPr>
              <w:t>的，每处扣1 分。</w:t>
            </w:r>
          </w:p>
        </w:tc>
        <w:tc>
          <w:tcPr>
            <w:tcW w:w="603" w:type="dxa"/>
          </w:tcPr>
          <w:p>
            <w:pPr>
              <w:pStyle w:val="135"/>
              <w:spacing w:before="1"/>
              <w:rPr>
                <w:rFonts w:ascii="Arial Unicode MS"/>
                <w:sz w:val="18"/>
              </w:rPr>
            </w:pPr>
          </w:p>
          <w:p>
            <w:pPr>
              <w:pStyle w:val="135"/>
              <w:ind w:left="9"/>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00" w:type="dxa"/>
          </w:tcPr>
          <w:p>
            <w:pPr>
              <w:pStyle w:val="135"/>
              <w:spacing w:before="198"/>
              <w:ind w:left="11"/>
              <w:jc w:val="center"/>
              <w:rPr>
                <w:sz w:val="24"/>
              </w:rPr>
            </w:pPr>
            <w:r>
              <w:rPr>
                <w:sz w:val="24"/>
              </w:rPr>
              <w:t>6</w:t>
            </w:r>
          </w:p>
        </w:tc>
        <w:tc>
          <w:tcPr>
            <w:tcW w:w="1315" w:type="dxa"/>
            <w:vMerge w:val="continue"/>
            <w:tcBorders>
              <w:top w:val="nil"/>
              <w:bottom w:val="nil"/>
            </w:tcBorders>
          </w:tcPr>
          <w:p>
            <w:pPr>
              <w:rPr>
                <w:sz w:val="2"/>
                <w:szCs w:val="2"/>
              </w:rPr>
            </w:pPr>
          </w:p>
        </w:tc>
        <w:tc>
          <w:tcPr>
            <w:tcW w:w="3330" w:type="dxa"/>
          </w:tcPr>
          <w:p>
            <w:pPr>
              <w:pStyle w:val="135"/>
              <w:spacing w:before="198"/>
              <w:ind w:left="107"/>
              <w:rPr>
                <w:sz w:val="24"/>
              </w:rPr>
            </w:pPr>
            <w:r>
              <w:rPr>
                <w:spacing w:val="-23"/>
                <w:sz w:val="24"/>
              </w:rPr>
              <w:t>绿篱、球类、草坪修剪平滑、美观</w:t>
            </w:r>
          </w:p>
        </w:tc>
        <w:tc>
          <w:tcPr>
            <w:tcW w:w="4830" w:type="dxa"/>
          </w:tcPr>
          <w:p>
            <w:pPr>
              <w:pStyle w:val="135"/>
              <w:spacing w:before="42" w:line="242" w:lineRule="auto"/>
              <w:ind w:left="107" w:right="102"/>
              <w:rPr>
                <w:sz w:val="24"/>
              </w:rPr>
            </w:pPr>
            <w:r>
              <w:rPr>
                <w:spacing w:val="-24"/>
                <w:sz w:val="24"/>
              </w:rPr>
              <w:t>按照要求进行留养修剪，有线条缺短或不连贯，每处扣</w:t>
            </w:r>
            <w:r>
              <w:rPr>
                <w:sz w:val="24"/>
              </w:rPr>
              <w:t>1</w:t>
            </w:r>
            <w:r>
              <w:rPr>
                <w:spacing w:val="-27"/>
                <w:sz w:val="24"/>
              </w:rPr>
              <w:t xml:space="preserve"> 分；应当修剪，但尚未及时修剪，每次扣</w:t>
            </w:r>
            <w:r>
              <w:rPr>
                <w:sz w:val="24"/>
              </w:rPr>
              <w:t>1</w:t>
            </w:r>
            <w:r>
              <w:rPr>
                <w:spacing w:val="-34"/>
                <w:sz w:val="24"/>
              </w:rPr>
              <w:t xml:space="preserve"> 分。</w:t>
            </w:r>
          </w:p>
        </w:tc>
        <w:tc>
          <w:tcPr>
            <w:tcW w:w="603" w:type="dxa"/>
          </w:tcPr>
          <w:p>
            <w:pPr>
              <w:pStyle w:val="135"/>
              <w:spacing w:before="198"/>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700" w:type="dxa"/>
          </w:tcPr>
          <w:p>
            <w:pPr>
              <w:pStyle w:val="135"/>
              <w:spacing w:before="8"/>
              <w:rPr>
                <w:rFonts w:ascii="Arial Unicode MS"/>
                <w:sz w:val="17"/>
              </w:rPr>
            </w:pPr>
          </w:p>
          <w:p>
            <w:pPr>
              <w:pStyle w:val="135"/>
              <w:ind w:left="11"/>
              <w:jc w:val="center"/>
              <w:rPr>
                <w:sz w:val="24"/>
              </w:rPr>
            </w:pPr>
            <w:r>
              <w:rPr>
                <w:sz w:val="24"/>
              </w:rPr>
              <w:t>7</w:t>
            </w:r>
          </w:p>
        </w:tc>
        <w:tc>
          <w:tcPr>
            <w:tcW w:w="1315" w:type="dxa"/>
            <w:vMerge w:val="continue"/>
            <w:tcBorders>
              <w:top w:val="nil"/>
              <w:bottom w:val="nil"/>
            </w:tcBorders>
          </w:tcPr>
          <w:p>
            <w:pPr>
              <w:rPr>
                <w:sz w:val="2"/>
                <w:szCs w:val="2"/>
              </w:rPr>
            </w:pPr>
          </w:p>
        </w:tc>
        <w:tc>
          <w:tcPr>
            <w:tcW w:w="3330" w:type="dxa"/>
          </w:tcPr>
          <w:p>
            <w:pPr>
              <w:pStyle w:val="135"/>
              <w:spacing w:before="148" w:line="242" w:lineRule="auto"/>
              <w:ind w:left="107" w:right="75"/>
              <w:rPr>
                <w:sz w:val="24"/>
              </w:rPr>
            </w:pPr>
            <w:r>
              <w:rPr>
                <w:spacing w:val="-25"/>
                <w:sz w:val="24"/>
              </w:rPr>
              <w:t>病虫害防治和控制及时，基本无病</w:t>
            </w:r>
            <w:r>
              <w:rPr>
                <w:spacing w:val="-22"/>
                <w:sz w:val="24"/>
              </w:rPr>
              <w:t>虫害所造成的较大伤害</w:t>
            </w:r>
          </w:p>
        </w:tc>
        <w:tc>
          <w:tcPr>
            <w:tcW w:w="4830" w:type="dxa"/>
          </w:tcPr>
          <w:p>
            <w:pPr>
              <w:pStyle w:val="135"/>
              <w:spacing w:before="148" w:line="242" w:lineRule="auto"/>
              <w:ind w:left="107" w:right="102"/>
              <w:rPr>
                <w:sz w:val="24"/>
              </w:rPr>
            </w:pPr>
            <w:r>
              <w:rPr>
                <w:spacing w:val="-24"/>
                <w:sz w:val="24"/>
              </w:rPr>
              <w:t>病虫害防治措施不力，对植物造成损害，视情况每次扣</w:t>
            </w:r>
            <w:r>
              <w:rPr>
                <w:spacing w:val="-7"/>
                <w:sz w:val="24"/>
              </w:rPr>
              <w:t>1-3</w:t>
            </w:r>
            <w:r>
              <w:rPr>
                <w:spacing w:val="-29"/>
                <w:sz w:val="24"/>
              </w:rPr>
              <w:t xml:space="preserve"> 分，发生大面积病虫害造成严重影响的不得分。</w:t>
            </w:r>
          </w:p>
        </w:tc>
        <w:tc>
          <w:tcPr>
            <w:tcW w:w="603" w:type="dxa"/>
          </w:tcPr>
          <w:p>
            <w:pPr>
              <w:pStyle w:val="135"/>
              <w:spacing w:before="8"/>
              <w:rPr>
                <w:rFonts w:ascii="Arial Unicode MS"/>
                <w:sz w:val="17"/>
              </w:rPr>
            </w:pPr>
          </w:p>
          <w:p>
            <w:pPr>
              <w:pStyle w:val="135"/>
              <w:ind w:left="9"/>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700" w:type="dxa"/>
          </w:tcPr>
          <w:p>
            <w:pPr>
              <w:pStyle w:val="135"/>
              <w:spacing w:before="2"/>
              <w:rPr>
                <w:rFonts w:ascii="Arial Unicode MS"/>
                <w:sz w:val="25"/>
              </w:rPr>
            </w:pPr>
          </w:p>
          <w:p>
            <w:pPr>
              <w:pStyle w:val="135"/>
              <w:spacing w:before="1"/>
              <w:ind w:left="11"/>
              <w:jc w:val="center"/>
              <w:rPr>
                <w:sz w:val="24"/>
              </w:rPr>
            </w:pPr>
            <w:r>
              <w:rPr>
                <w:sz w:val="24"/>
              </w:rPr>
              <w:t>8</w:t>
            </w:r>
          </w:p>
        </w:tc>
        <w:tc>
          <w:tcPr>
            <w:tcW w:w="1315" w:type="dxa"/>
            <w:vMerge w:val="continue"/>
            <w:tcBorders>
              <w:top w:val="nil"/>
              <w:bottom w:val="nil"/>
            </w:tcBorders>
          </w:tcPr>
          <w:p>
            <w:pPr>
              <w:rPr>
                <w:sz w:val="2"/>
                <w:szCs w:val="2"/>
              </w:rPr>
            </w:pPr>
          </w:p>
        </w:tc>
        <w:tc>
          <w:tcPr>
            <w:tcW w:w="3330" w:type="dxa"/>
          </w:tcPr>
          <w:p>
            <w:pPr>
              <w:pStyle w:val="135"/>
              <w:spacing w:before="3"/>
              <w:rPr>
                <w:rFonts w:ascii="Arial Unicode MS"/>
                <w:sz w:val="16"/>
              </w:rPr>
            </w:pPr>
          </w:p>
          <w:p>
            <w:pPr>
              <w:pStyle w:val="135"/>
              <w:spacing w:line="242" w:lineRule="auto"/>
              <w:ind w:left="107" w:right="72"/>
              <w:rPr>
                <w:sz w:val="24"/>
              </w:rPr>
            </w:pPr>
            <w:r>
              <w:rPr>
                <w:spacing w:val="-24"/>
                <w:sz w:val="24"/>
              </w:rPr>
              <w:t>用药符合规定，配比正确，操作安</w:t>
            </w:r>
            <w:r>
              <w:rPr>
                <w:spacing w:val="-21"/>
                <w:sz w:val="24"/>
              </w:rPr>
              <w:t>全，不发生药害事故</w:t>
            </w:r>
          </w:p>
        </w:tc>
        <w:tc>
          <w:tcPr>
            <w:tcW w:w="4830" w:type="dxa"/>
          </w:tcPr>
          <w:p>
            <w:pPr>
              <w:pStyle w:val="135"/>
              <w:spacing w:before="2"/>
              <w:rPr>
                <w:rFonts w:ascii="Arial Unicode MS"/>
                <w:sz w:val="25"/>
              </w:rPr>
            </w:pPr>
          </w:p>
          <w:p>
            <w:pPr>
              <w:pStyle w:val="135"/>
              <w:spacing w:before="1"/>
              <w:ind w:left="107"/>
              <w:rPr>
                <w:sz w:val="24"/>
              </w:rPr>
            </w:pPr>
            <w:r>
              <w:rPr>
                <w:sz w:val="24"/>
              </w:rPr>
              <w:t>违规用药或发生药害事故，此项不得分。</w:t>
            </w:r>
          </w:p>
        </w:tc>
        <w:tc>
          <w:tcPr>
            <w:tcW w:w="603" w:type="dxa"/>
          </w:tcPr>
          <w:p>
            <w:pPr>
              <w:pStyle w:val="135"/>
              <w:spacing w:before="2"/>
              <w:rPr>
                <w:rFonts w:ascii="Arial Unicode MS"/>
                <w:sz w:val="25"/>
              </w:rPr>
            </w:pPr>
          </w:p>
          <w:p>
            <w:pPr>
              <w:pStyle w:val="135"/>
              <w:spacing w:before="1"/>
              <w:ind w:left="9"/>
              <w:jc w:val="center"/>
              <w:rPr>
                <w:sz w:val="24"/>
              </w:rPr>
            </w:pPr>
            <w:r>
              <w:rPr>
                <w:sz w:val="24"/>
              </w:rPr>
              <w:t>3</w:t>
            </w:r>
          </w:p>
        </w:tc>
      </w:tr>
    </w:tbl>
    <w:p>
      <w:pPr>
        <w:pStyle w:val="22"/>
        <w:ind w:left="0" w:leftChars="0"/>
      </w:pPr>
    </w:p>
    <w:tbl>
      <w:tblPr>
        <w:tblStyle w:val="41"/>
        <w:tblpPr w:leftFromText="180" w:rightFromText="180" w:vertAnchor="text" w:horzAnchor="page" w:tblpX="447" w:tblpY="258"/>
        <w:tblOverlap w:val="never"/>
        <w:tblW w:w="107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210"/>
        <w:gridCol w:w="3345"/>
        <w:gridCol w:w="481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35"/>
              <w:spacing w:before="121"/>
              <w:ind w:left="90" w:right="79"/>
              <w:jc w:val="center"/>
              <w:rPr>
                <w:rFonts w:ascii="Arial Unicode MS" w:eastAsia="Arial Unicode MS"/>
                <w:sz w:val="24"/>
              </w:rPr>
            </w:pPr>
            <w:r>
              <w:rPr>
                <w:rFonts w:hint="eastAsia" w:ascii="Arial Unicode MS" w:eastAsia="Arial Unicode MS"/>
                <w:sz w:val="24"/>
              </w:rPr>
              <w:t>序号</w:t>
            </w:r>
          </w:p>
        </w:tc>
        <w:tc>
          <w:tcPr>
            <w:tcW w:w="1210" w:type="dxa"/>
          </w:tcPr>
          <w:p>
            <w:pPr>
              <w:pStyle w:val="135"/>
              <w:spacing w:before="121"/>
              <w:rPr>
                <w:rFonts w:ascii="Arial Unicode MS" w:eastAsia="Arial Unicode MS"/>
                <w:sz w:val="24"/>
              </w:rPr>
            </w:pPr>
            <w:r>
              <w:rPr>
                <w:rFonts w:hint="eastAsia" w:ascii="Arial Unicode MS" w:eastAsia="Arial Unicode MS"/>
                <w:sz w:val="24"/>
              </w:rPr>
              <w:t>考核内容</w:t>
            </w:r>
          </w:p>
        </w:tc>
        <w:tc>
          <w:tcPr>
            <w:tcW w:w="3345" w:type="dxa"/>
          </w:tcPr>
          <w:p>
            <w:pPr>
              <w:pStyle w:val="135"/>
              <w:spacing w:before="121"/>
              <w:ind w:left="80" w:right="72"/>
              <w:jc w:val="center"/>
              <w:rPr>
                <w:rFonts w:ascii="Arial Unicode MS" w:eastAsia="Arial Unicode MS"/>
                <w:sz w:val="24"/>
              </w:rPr>
            </w:pPr>
            <w:r>
              <w:rPr>
                <w:rFonts w:hint="eastAsia" w:ascii="Arial Unicode MS" w:eastAsia="Arial Unicode MS"/>
                <w:sz w:val="24"/>
              </w:rPr>
              <w:t>管理要求</w:t>
            </w:r>
          </w:p>
        </w:tc>
        <w:tc>
          <w:tcPr>
            <w:tcW w:w="4815" w:type="dxa"/>
          </w:tcPr>
          <w:p>
            <w:pPr>
              <w:pStyle w:val="135"/>
              <w:spacing w:before="121"/>
              <w:ind w:right="2227"/>
              <w:jc w:val="center"/>
              <w:rPr>
                <w:rFonts w:ascii="Arial Unicode MS" w:eastAsia="Arial Unicode MS"/>
                <w:sz w:val="24"/>
              </w:rPr>
            </w:pPr>
            <w:r>
              <w:rPr>
                <w:rFonts w:hint="eastAsia" w:ascii="Arial Unicode MS" w:eastAsia="Arial Unicode MS"/>
                <w:sz w:val="24"/>
              </w:rPr>
              <w:t>评分标准</w:t>
            </w:r>
          </w:p>
        </w:tc>
        <w:tc>
          <w:tcPr>
            <w:tcW w:w="708" w:type="dxa"/>
          </w:tcPr>
          <w:p>
            <w:pPr>
              <w:pStyle w:val="135"/>
              <w:spacing w:before="121"/>
              <w:ind w:left="177" w:right="168"/>
              <w:jc w:val="center"/>
              <w:rPr>
                <w:rFonts w:ascii="Arial Unicode MS" w:eastAsia="Arial Unicode MS"/>
                <w:sz w:val="24"/>
              </w:rPr>
            </w:pPr>
            <w:r>
              <w:rPr>
                <w:rFonts w:hint="eastAsia" w:ascii="Arial Unicode MS" w:eastAsia="Arial Unicode M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00" w:type="dxa"/>
          </w:tcPr>
          <w:p>
            <w:pPr>
              <w:pStyle w:val="135"/>
              <w:rPr>
                <w:rFonts w:ascii="Times New Roman"/>
                <w:sz w:val="24"/>
              </w:rPr>
            </w:pPr>
          </w:p>
          <w:p>
            <w:pPr>
              <w:pStyle w:val="135"/>
              <w:spacing w:before="3"/>
              <w:rPr>
                <w:rFonts w:ascii="Times New Roman"/>
                <w:sz w:val="25"/>
              </w:rPr>
            </w:pPr>
          </w:p>
          <w:p>
            <w:pPr>
              <w:pStyle w:val="135"/>
              <w:ind w:left="11"/>
              <w:jc w:val="center"/>
              <w:rPr>
                <w:sz w:val="24"/>
              </w:rPr>
            </w:pPr>
            <w:r>
              <w:rPr>
                <w:sz w:val="24"/>
              </w:rPr>
              <w:t>9</w:t>
            </w:r>
          </w:p>
        </w:tc>
        <w:tc>
          <w:tcPr>
            <w:tcW w:w="1210" w:type="dxa"/>
            <w:vMerge w:val="restart"/>
          </w:tcPr>
          <w:p>
            <w:pPr>
              <w:pStyle w:val="135"/>
              <w:rPr>
                <w:rFonts w:ascii="Times New Roman"/>
                <w:sz w:val="24"/>
              </w:rPr>
            </w:pPr>
          </w:p>
        </w:tc>
        <w:tc>
          <w:tcPr>
            <w:tcW w:w="3345" w:type="dxa"/>
          </w:tcPr>
          <w:p>
            <w:pPr>
              <w:pStyle w:val="135"/>
              <w:rPr>
                <w:rFonts w:ascii="Times New Roman"/>
                <w:sz w:val="24"/>
              </w:rPr>
            </w:pPr>
          </w:p>
          <w:p>
            <w:pPr>
              <w:pStyle w:val="135"/>
              <w:spacing w:before="3"/>
              <w:rPr>
                <w:rFonts w:ascii="Times New Roman"/>
                <w:sz w:val="25"/>
              </w:rPr>
            </w:pPr>
          </w:p>
          <w:p>
            <w:pPr>
              <w:pStyle w:val="135"/>
              <w:ind w:left="107"/>
              <w:rPr>
                <w:sz w:val="24"/>
              </w:rPr>
            </w:pPr>
            <w:r>
              <w:rPr>
                <w:sz w:val="24"/>
              </w:rPr>
              <w:t>绿化带内基本无杂草、杂物</w:t>
            </w:r>
          </w:p>
        </w:tc>
        <w:tc>
          <w:tcPr>
            <w:tcW w:w="4815" w:type="dxa"/>
          </w:tcPr>
          <w:p>
            <w:pPr>
              <w:pStyle w:val="135"/>
              <w:spacing w:before="98" w:line="242" w:lineRule="auto"/>
              <w:ind w:left="107" w:right="-44"/>
              <w:rPr>
                <w:sz w:val="24"/>
              </w:rPr>
            </w:pPr>
            <w:r>
              <w:rPr>
                <w:spacing w:val="-31"/>
                <w:sz w:val="24"/>
              </w:rPr>
              <w:t>不间断地耕除杂草，并及时清运，</w:t>
            </w:r>
            <w:r>
              <w:rPr>
                <w:spacing w:val="-24"/>
                <w:sz w:val="24"/>
              </w:rPr>
              <w:t>10cm</w:t>
            </w:r>
            <w:r>
              <w:rPr>
                <w:spacing w:val="-28"/>
                <w:sz w:val="24"/>
              </w:rPr>
              <w:t xml:space="preserve"> 以上高度的杂草， </w:t>
            </w:r>
            <w:r>
              <w:rPr>
                <w:spacing w:val="-11"/>
                <w:sz w:val="24"/>
              </w:rPr>
              <w:t>且面积大于</w:t>
            </w:r>
            <w:r>
              <w:rPr>
                <w:sz w:val="24"/>
              </w:rPr>
              <w:t>1</w:t>
            </w:r>
            <w:r>
              <w:rPr>
                <w:spacing w:val="-23"/>
                <w:sz w:val="24"/>
              </w:rPr>
              <w:t xml:space="preserve"> 平方米的，每发现</w:t>
            </w:r>
            <w:r>
              <w:rPr>
                <w:sz w:val="24"/>
              </w:rPr>
              <w:t>1</w:t>
            </w:r>
            <w:r>
              <w:rPr>
                <w:spacing w:val="-22"/>
                <w:sz w:val="24"/>
              </w:rPr>
              <w:t xml:space="preserve"> 处扣</w:t>
            </w:r>
            <w:r>
              <w:rPr>
                <w:spacing w:val="-7"/>
                <w:sz w:val="24"/>
              </w:rPr>
              <w:t>0.5</w:t>
            </w:r>
            <w:r>
              <w:rPr>
                <w:spacing w:val="-28"/>
                <w:sz w:val="24"/>
              </w:rPr>
              <w:t xml:space="preserve"> 分；草坪草</w:t>
            </w:r>
            <w:r>
              <w:rPr>
                <w:spacing w:val="-21"/>
                <w:sz w:val="24"/>
              </w:rPr>
              <w:t>种混杂，明显有杂草、杂物的，且占比超</w:t>
            </w:r>
            <w:r>
              <w:rPr>
                <w:spacing w:val="-12"/>
                <w:sz w:val="24"/>
              </w:rPr>
              <w:t>5</w:t>
            </w:r>
            <w:r>
              <w:rPr>
                <w:spacing w:val="-7"/>
                <w:sz w:val="24"/>
              </w:rPr>
              <w:t>%的，扣</w:t>
            </w:r>
            <w:r>
              <w:rPr>
                <w:spacing w:val="-8"/>
                <w:sz w:val="24"/>
              </w:rPr>
              <w:t xml:space="preserve">1-3 </w:t>
            </w:r>
            <w:r>
              <w:rPr>
                <w:spacing w:val="-21"/>
                <w:sz w:val="24"/>
              </w:rPr>
              <w:t>分；大型野草长期清除不到位，扣</w:t>
            </w:r>
            <w:r>
              <w:rPr>
                <w:spacing w:val="-7"/>
                <w:sz w:val="24"/>
              </w:rPr>
              <w:t>1-3</w:t>
            </w:r>
            <w:r>
              <w:rPr>
                <w:spacing w:val="-34"/>
                <w:sz w:val="24"/>
              </w:rPr>
              <w:t xml:space="preserve"> 分。</w:t>
            </w:r>
          </w:p>
        </w:tc>
        <w:tc>
          <w:tcPr>
            <w:tcW w:w="708" w:type="dxa"/>
          </w:tcPr>
          <w:p>
            <w:pPr>
              <w:pStyle w:val="135"/>
              <w:rPr>
                <w:rFonts w:ascii="Times New Roman"/>
                <w:sz w:val="24"/>
              </w:rPr>
            </w:pPr>
          </w:p>
          <w:p>
            <w:pPr>
              <w:pStyle w:val="135"/>
              <w:spacing w:before="3"/>
              <w:rPr>
                <w:rFonts w:ascii="Times New Roman"/>
                <w:sz w:val="25"/>
              </w:rPr>
            </w:pPr>
          </w:p>
          <w:p>
            <w:pPr>
              <w:pStyle w:val="135"/>
              <w:ind w:left="9"/>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35"/>
              <w:spacing w:before="158"/>
              <w:ind w:left="90" w:right="79"/>
              <w:jc w:val="center"/>
              <w:rPr>
                <w:sz w:val="24"/>
              </w:rPr>
            </w:pPr>
            <w:r>
              <w:rPr>
                <w:sz w:val="24"/>
              </w:rPr>
              <w:t>10</w:t>
            </w:r>
          </w:p>
        </w:tc>
        <w:tc>
          <w:tcPr>
            <w:tcW w:w="1210" w:type="dxa"/>
            <w:vMerge w:val="continue"/>
            <w:tcBorders>
              <w:top w:val="nil"/>
            </w:tcBorders>
          </w:tcPr>
          <w:p>
            <w:pPr>
              <w:rPr>
                <w:sz w:val="2"/>
                <w:szCs w:val="2"/>
              </w:rPr>
            </w:pPr>
          </w:p>
        </w:tc>
        <w:tc>
          <w:tcPr>
            <w:tcW w:w="3345" w:type="dxa"/>
          </w:tcPr>
          <w:p>
            <w:pPr>
              <w:pStyle w:val="135"/>
              <w:spacing w:before="158"/>
              <w:ind w:left="107"/>
              <w:rPr>
                <w:sz w:val="24"/>
              </w:rPr>
            </w:pPr>
            <w:r>
              <w:rPr>
                <w:sz w:val="24"/>
              </w:rPr>
              <w:t>及时松土、施肥、追肥</w:t>
            </w:r>
          </w:p>
        </w:tc>
        <w:tc>
          <w:tcPr>
            <w:tcW w:w="4815" w:type="dxa"/>
          </w:tcPr>
          <w:p>
            <w:pPr>
              <w:pStyle w:val="135"/>
              <w:spacing w:before="2"/>
              <w:ind w:left="107"/>
              <w:rPr>
                <w:sz w:val="24"/>
              </w:rPr>
            </w:pPr>
            <w:r>
              <w:rPr>
                <w:spacing w:val="-13"/>
                <w:sz w:val="24"/>
              </w:rPr>
              <w:t>施肥每年至少</w:t>
            </w:r>
            <w:r>
              <w:rPr>
                <w:sz w:val="24"/>
              </w:rPr>
              <w:t>2</w:t>
            </w:r>
            <w:r>
              <w:rPr>
                <w:spacing w:val="-23"/>
                <w:sz w:val="24"/>
              </w:rPr>
              <w:t xml:space="preserve"> 次，每少</w:t>
            </w:r>
            <w:r>
              <w:rPr>
                <w:sz w:val="24"/>
              </w:rPr>
              <w:t>1</w:t>
            </w:r>
            <w:r>
              <w:rPr>
                <w:spacing w:val="-22"/>
                <w:sz w:val="24"/>
              </w:rPr>
              <w:t xml:space="preserve"> 次扣</w:t>
            </w:r>
            <w:r>
              <w:rPr>
                <w:sz w:val="24"/>
              </w:rPr>
              <w:t>1</w:t>
            </w:r>
            <w:r>
              <w:rPr>
                <w:spacing w:val="-27"/>
                <w:sz w:val="24"/>
              </w:rPr>
              <w:t xml:space="preserve"> 分；植株长势衰弱、</w:t>
            </w:r>
          </w:p>
          <w:p>
            <w:pPr>
              <w:pStyle w:val="135"/>
              <w:spacing w:before="5" w:line="290" w:lineRule="exact"/>
              <w:ind w:left="107"/>
              <w:rPr>
                <w:sz w:val="24"/>
              </w:rPr>
            </w:pPr>
            <w:r>
              <w:rPr>
                <w:sz w:val="24"/>
              </w:rPr>
              <w:t>观花植物开花效果不理想的，再扣1 分。</w:t>
            </w:r>
          </w:p>
        </w:tc>
        <w:tc>
          <w:tcPr>
            <w:tcW w:w="708" w:type="dxa"/>
          </w:tcPr>
          <w:p>
            <w:pPr>
              <w:pStyle w:val="135"/>
              <w:spacing w:before="158"/>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35"/>
              <w:spacing w:before="158"/>
              <w:ind w:left="90" w:right="79"/>
              <w:jc w:val="center"/>
              <w:rPr>
                <w:sz w:val="24"/>
              </w:rPr>
            </w:pPr>
            <w:r>
              <w:rPr>
                <w:sz w:val="24"/>
              </w:rPr>
              <w:t>11</w:t>
            </w:r>
          </w:p>
        </w:tc>
        <w:tc>
          <w:tcPr>
            <w:tcW w:w="1210" w:type="dxa"/>
            <w:vMerge w:val="continue"/>
            <w:tcBorders>
              <w:top w:val="nil"/>
            </w:tcBorders>
          </w:tcPr>
          <w:p>
            <w:pPr>
              <w:rPr>
                <w:sz w:val="2"/>
                <w:szCs w:val="2"/>
              </w:rPr>
            </w:pPr>
          </w:p>
        </w:tc>
        <w:tc>
          <w:tcPr>
            <w:tcW w:w="3345" w:type="dxa"/>
          </w:tcPr>
          <w:p>
            <w:pPr>
              <w:pStyle w:val="135"/>
              <w:spacing w:before="158"/>
              <w:ind w:left="107"/>
              <w:rPr>
                <w:sz w:val="24"/>
              </w:rPr>
            </w:pPr>
            <w:r>
              <w:rPr>
                <w:sz w:val="24"/>
              </w:rPr>
              <w:t>适时浇水，及时抗旱、抗寒</w:t>
            </w:r>
          </w:p>
        </w:tc>
        <w:tc>
          <w:tcPr>
            <w:tcW w:w="4815" w:type="dxa"/>
          </w:tcPr>
          <w:p>
            <w:pPr>
              <w:pStyle w:val="135"/>
              <w:spacing w:before="2"/>
              <w:ind w:left="107"/>
              <w:rPr>
                <w:sz w:val="24"/>
              </w:rPr>
            </w:pPr>
            <w:r>
              <w:rPr>
                <w:spacing w:val="-23"/>
                <w:sz w:val="24"/>
              </w:rPr>
              <w:t>不及时抗旱、抗寒，造成植物严重缺水、冻伤，每发现</w:t>
            </w:r>
          </w:p>
          <w:p>
            <w:pPr>
              <w:pStyle w:val="135"/>
              <w:spacing w:before="4" w:line="290" w:lineRule="exact"/>
              <w:ind w:left="107"/>
              <w:rPr>
                <w:sz w:val="24"/>
              </w:rPr>
            </w:pPr>
            <w:r>
              <w:rPr>
                <w:sz w:val="24"/>
              </w:rPr>
              <w:t>1 处，扣1 分。</w:t>
            </w:r>
          </w:p>
        </w:tc>
        <w:tc>
          <w:tcPr>
            <w:tcW w:w="708" w:type="dxa"/>
          </w:tcPr>
          <w:p>
            <w:pPr>
              <w:pStyle w:val="135"/>
              <w:spacing w:before="158"/>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tcPr>
          <w:p>
            <w:pPr>
              <w:pStyle w:val="135"/>
              <w:spacing w:before="160"/>
              <w:ind w:left="90" w:right="79"/>
              <w:jc w:val="center"/>
              <w:rPr>
                <w:sz w:val="24"/>
              </w:rPr>
            </w:pPr>
            <w:r>
              <w:rPr>
                <w:sz w:val="24"/>
              </w:rPr>
              <w:t>12</w:t>
            </w:r>
          </w:p>
        </w:tc>
        <w:tc>
          <w:tcPr>
            <w:tcW w:w="1210" w:type="dxa"/>
            <w:vMerge w:val="continue"/>
            <w:tcBorders>
              <w:top w:val="nil"/>
            </w:tcBorders>
          </w:tcPr>
          <w:p>
            <w:pPr>
              <w:rPr>
                <w:sz w:val="2"/>
                <w:szCs w:val="2"/>
              </w:rPr>
            </w:pPr>
          </w:p>
        </w:tc>
        <w:tc>
          <w:tcPr>
            <w:tcW w:w="3345" w:type="dxa"/>
          </w:tcPr>
          <w:p>
            <w:pPr>
              <w:pStyle w:val="135"/>
              <w:spacing w:before="160"/>
              <w:ind w:left="107"/>
              <w:rPr>
                <w:sz w:val="24"/>
              </w:rPr>
            </w:pPr>
            <w:r>
              <w:rPr>
                <w:sz w:val="24"/>
              </w:rPr>
              <w:t>植物生长区域排水良好</w:t>
            </w:r>
          </w:p>
        </w:tc>
        <w:tc>
          <w:tcPr>
            <w:tcW w:w="4815" w:type="dxa"/>
          </w:tcPr>
          <w:p>
            <w:pPr>
              <w:pStyle w:val="135"/>
              <w:spacing w:before="4"/>
              <w:ind w:left="107"/>
              <w:rPr>
                <w:sz w:val="24"/>
              </w:rPr>
            </w:pPr>
            <w:r>
              <w:rPr>
                <w:spacing w:val="-18"/>
                <w:sz w:val="24"/>
              </w:rPr>
              <w:t>造成植物周围积水的，每发现</w:t>
            </w:r>
            <w:r>
              <w:rPr>
                <w:sz w:val="24"/>
              </w:rPr>
              <w:t>1</w:t>
            </w:r>
            <w:r>
              <w:rPr>
                <w:spacing w:val="-22"/>
                <w:sz w:val="24"/>
              </w:rPr>
              <w:t xml:space="preserve"> 处扣</w:t>
            </w:r>
            <w:r>
              <w:rPr>
                <w:spacing w:val="-7"/>
                <w:sz w:val="24"/>
              </w:rPr>
              <w:t>0.5</w:t>
            </w:r>
            <w:r>
              <w:rPr>
                <w:spacing w:val="-28"/>
                <w:sz w:val="24"/>
              </w:rPr>
              <w:t xml:space="preserve"> 分；水涝造成</w:t>
            </w:r>
          </w:p>
          <w:p>
            <w:pPr>
              <w:pStyle w:val="135"/>
              <w:spacing w:before="4" w:line="288" w:lineRule="exact"/>
              <w:ind w:left="107"/>
              <w:rPr>
                <w:sz w:val="24"/>
              </w:rPr>
            </w:pPr>
            <w:r>
              <w:rPr>
                <w:spacing w:val="-21"/>
                <w:sz w:val="24"/>
              </w:rPr>
              <w:t>植物生长不良，甚至死亡的，每发现</w:t>
            </w:r>
            <w:r>
              <w:rPr>
                <w:sz w:val="24"/>
              </w:rPr>
              <w:t>1</w:t>
            </w:r>
            <w:r>
              <w:rPr>
                <w:spacing w:val="-23"/>
                <w:sz w:val="24"/>
              </w:rPr>
              <w:t xml:space="preserve"> 处扣</w:t>
            </w:r>
            <w:r>
              <w:rPr>
                <w:spacing w:val="-7"/>
                <w:sz w:val="24"/>
              </w:rPr>
              <w:t>1-2</w:t>
            </w:r>
            <w:r>
              <w:rPr>
                <w:spacing w:val="-34"/>
                <w:sz w:val="24"/>
              </w:rPr>
              <w:t xml:space="preserve"> 分。</w:t>
            </w:r>
          </w:p>
        </w:tc>
        <w:tc>
          <w:tcPr>
            <w:tcW w:w="708" w:type="dxa"/>
          </w:tcPr>
          <w:p>
            <w:pPr>
              <w:pStyle w:val="135"/>
              <w:spacing w:before="160"/>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35"/>
              <w:spacing w:before="159"/>
              <w:ind w:left="90" w:right="79"/>
              <w:jc w:val="center"/>
              <w:rPr>
                <w:sz w:val="24"/>
              </w:rPr>
            </w:pPr>
            <w:r>
              <w:rPr>
                <w:sz w:val="24"/>
              </w:rPr>
              <w:t>13</w:t>
            </w:r>
          </w:p>
        </w:tc>
        <w:tc>
          <w:tcPr>
            <w:tcW w:w="1210" w:type="dxa"/>
            <w:vMerge w:val="continue"/>
            <w:tcBorders>
              <w:top w:val="nil"/>
            </w:tcBorders>
          </w:tcPr>
          <w:p>
            <w:pPr>
              <w:rPr>
                <w:sz w:val="2"/>
                <w:szCs w:val="2"/>
              </w:rPr>
            </w:pPr>
          </w:p>
        </w:tc>
        <w:tc>
          <w:tcPr>
            <w:tcW w:w="3345" w:type="dxa"/>
          </w:tcPr>
          <w:p>
            <w:pPr>
              <w:pStyle w:val="135"/>
              <w:spacing w:before="159"/>
              <w:ind w:left="107"/>
              <w:rPr>
                <w:sz w:val="24"/>
              </w:rPr>
            </w:pPr>
            <w:r>
              <w:rPr>
                <w:sz w:val="24"/>
              </w:rPr>
              <w:t>绿地坡形保持自然流畅</w:t>
            </w:r>
          </w:p>
        </w:tc>
        <w:tc>
          <w:tcPr>
            <w:tcW w:w="4815" w:type="dxa"/>
          </w:tcPr>
          <w:p>
            <w:pPr>
              <w:pStyle w:val="135"/>
              <w:spacing w:before="3"/>
              <w:ind w:left="107"/>
              <w:rPr>
                <w:sz w:val="24"/>
              </w:rPr>
            </w:pPr>
            <w:r>
              <w:rPr>
                <w:spacing w:val="-22"/>
                <w:sz w:val="24"/>
              </w:rPr>
              <w:t>发现局部塌陷，应及时修复，保持绿地坡形自然流畅，</w:t>
            </w:r>
          </w:p>
          <w:p>
            <w:pPr>
              <w:pStyle w:val="135"/>
              <w:spacing w:before="5" w:line="288" w:lineRule="exact"/>
              <w:ind w:left="107"/>
              <w:rPr>
                <w:sz w:val="24"/>
              </w:rPr>
            </w:pPr>
            <w:r>
              <w:rPr>
                <w:sz w:val="24"/>
              </w:rPr>
              <w:t>泥土无裸露，否则视情扣分。</w:t>
            </w:r>
          </w:p>
        </w:tc>
        <w:tc>
          <w:tcPr>
            <w:tcW w:w="708" w:type="dxa"/>
          </w:tcPr>
          <w:p>
            <w:pPr>
              <w:pStyle w:val="135"/>
              <w:spacing w:before="159"/>
              <w:ind w:left="9"/>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0" w:type="dxa"/>
          </w:tcPr>
          <w:p>
            <w:pPr>
              <w:pStyle w:val="135"/>
              <w:spacing w:before="2"/>
              <w:rPr>
                <w:rFonts w:ascii="Times New Roman"/>
                <w:sz w:val="32"/>
              </w:rPr>
            </w:pPr>
          </w:p>
          <w:p>
            <w:pPr>
              <w:pStyle w:val="135"/>
              <w:ind w:left="90" w:right="79"/>
              <w:jc w:val="center"/>
              <w:rPr>
                <w:sz w:val="24"/>
              </w:rPr>
            </w:pPr>
            <w:r>
              <w:rPr>
                <w:sz w:val="24"/>
              </w:rPr>
              <w:t>14</w:t>
            </w:r>
          </w:p>
        </w:tc>
        <w:tc>
          <w:tcPr>
            <w:tcW w:w="1210" w:type="dxa"/>
            <w:vMerge w:val="restart"/>
          </w:tcPr>
          <w:p>
            <w:pPr>
              <w:pStyle w:val="135"/>
              <w:rPr>
                <w:rFonts w:ascii="Times New Roman"/>
                <w:sz w:val="32"/>
              </w:rPr>
            </w:pPr>
          </w:p>
          <w:p>
            <w:pPr>
              <w:pStyle w:val="135"/>
              <w:rPr>
                <w:rFonts w:ascii="Times New Roman"/>
                <w:sz w:val="32"/>
              </w:rPr>
            </w:pPr>
          </w:p>
          <w:p>
            <w:pPr>
              <w:pStyle w:val="135"/>
              <w:spacing w:before="7"/>
              <w:rPr>
                <w:rFonts w:ascii="Times New Roman"/>
                <w:sz w:val="45"/>
              </w:rPr>
            </w:pPr>
          </w:p>
          <w:p>
            <w:pPr>
              <w:pStyle w:val="135"/>
              <w:spacing w:line="357" w:lineRule="auto"/>
              <w:ind w:left="171" w:right="117" w:firstLine="43"/>
              <w:rPr>
                <w:rFonts w:ascii="Arial Unicode MS" w:eastAsia="Arial Unicode MS"/>
                <w:sz w:val="24"/>
              </w:rPr>
            </w:pPr>
            <w:r>
              <w:rPr>
                <w:rFonts w:hint="eastAsia" w:ascii="Arial Unicode MS" w:eastAsia="Arial Unicode MS"/>
                <w:sz w:val="24"/>
              </w:rPr>
              <w:t>景观线路通畅（12 分）</w:t>
            </w:r>
          </w:p>
        </w:tc>
        <w:tc>
          <w:tcPr>
            <w:tcW w:w="3345" w:type="dxa"/>
          </w:tcPr>
          <w:p>
            <w:pPr>
              <w:pStyle w:val="135"/>
              <w:spacing w:before="214" w:line="242" w:lineRule="auto"/>
              <w:ind w:left="107" w:right="1"/>
              <w:rPr>
                <w:sz w:val="24"/>
              </w:rPr>
            </w:pPr>
            <w:r>
              <w:rPr>
                <w:sz w:val="24"/>
              </w:rPr>
              <w:t>景观线路通畅，与支干道有机衔接，路边无裸露泥土</w:t>
            </w:r>
          </w:p>
        </w:tc>
        <w:tc>
          <w:tcPr>
            <w:tcW w:w="4815" w:type="dxa"/>
          </w:tcPr>
          <w:p>
            <w:pPr>
              <w:pStyle w:val="135"/>
              <w:spacing w:before="58" w:line="242" w:lineRule="auto"/>
              <w:ind w:left="107" w:right="75"/>
              <w:rPr>
                <w:sz w:val="24"/>
              </w:rPr>
            </w:pPr>
            <w:r>
              <w:rPr>
                <w:spacing w:val="-22"/>
                <w:sz w:val="24"/>
              </w:rPr>
              <w:t>线路不通畅，存在支干道交叉口连接修补不到位，每发</w:t>
            </w:r>
            <w:r>
              <w:rPr>
                <w:spacing w:val="36"/>
                <w:sz w:val="24"/>
              </w:rPr>
              <w:t>现</w:t>
            </w:r>
            <w:r>
              <w:rPr>
                <w:sz w:val="24"/>
              </w:rPr>
              <w:t>1</w:t>
            </w:r>
            <w:r>
              <w:rPr>
                <w:spacing w:val="-18"/>
                <w:sz w:val="24"/>
              </w:rPr>
              <w:t xml:space="preserve"> 处扣</w:t>
            </w:r>
            <w:r>
              <w:rPr>
                <w:spacing w:val="-7"/>
                <w:sz w:val="24"/>
              </w:rPr>
              <w:t>0.5</w:t>
            </w:r>
            <w:r>
              <w:rPr>
                <w:spacing w:val="-22"/>
                <w:sz w:val="24"/>
              </w:rPr>
              <w:t xml:space="preserve"> 分；路边有裸露土的，每发现</w:t>
            </w:r>
            <w:r>
              <w:rPr>
                <w:sz w:val="24"/>
              </w:rPr>
              <w:t>1</w:t>
            </w:r>
            <w:r>
              <w:rPr>
                <w:spacing w:val="-19"/>
                <w:sz w:val="24"/>
              </w:rPr>
              <w:t xml:space="preserve"> 处扣</w:t>
            </w:r>
            <w:r>
              <w:rPr>
                <w:spacing w:val="-8"/>
                <w:sz w:val="24"/>
              </w:rPr>
              <w:t xml:space="preserve">0.5 </w:t>
            </w:r>
            <w:r>
              <w:rPr>
                <w:spacing w:val="-11"/>
                <w:sz w:val="24"/>
              </w:rPr>
              <w:t>分。</w:t>
            </w:r>
          </w:p>
        </w:tc>
        <w:tc>
          <w:tcPr>
            <w:tcW w:w="708" w:type="dxa"/>
          </w:tcPr>
          <w:p>
            <w:pPr>
              <w:pStyle w:val="135"/>
              <w:spacing w:before="2"/>
              <w:rPr>
                <w:rFonts w:ascii="Times New Roman"/>
                <w:sz w:val="32"/>
              </w:rPr>
            </w:pPr>
          </w:p>
          <w:p>
            <w:pPr>
              <w:pStyle w:val="135"/>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00" w:type="dxa"/>
          </w:tcPr>
          <w:p>
            <w:pPr>
              <w:pStyle w:val="135"/>
              <w:spacing w:before="6"/>
              <w:rPr>
                <w:rFonts w:ascii="Times New Roman"/>
                <w:sz w:val="20"/>
              </w:rPr>
            </w:pPr>
          </w:p>
          <w:p>
            <w:pPr>
              <w:pStyle w:val="135"/>
              <w:ind w:left="90" w:right="79"/>
              <w:jc w:val="center"/>
              <w:rPr>
                <w:sz w:val="24"/>
              </w:rPr>
            </w:pPr>
            <w:r>
              <w:rPr>
                <w:sz w:val="24"/>
              </w:rPr>
              <w:t>15</w:t>
            </w:r>
          </w:p>
        </w:tc>
        <w:tc>
          <w:tcPr>
            <w:tcW w:w="1210" w:type="dxa"/>
            <w:vMerge w:val="continue"/>
            <w:tcBorders>
              <w:top w:val="nil"/>
            </w:tcBorders>
          </w:tcPr>
          <w:p>
            <w:pPr>
              <w:rPr>
                <w:sz w:val="2"/>
                <w:szCs w:val="2"/>
              </w:rPr>
            </w:pPr>
          </w:p>
        </w:tc>
        <w:tc>
          <w:tcPr>
            <w:tcW w:w="3345" w:type="dxa"/>
          </w:tcPr>
          <w:p>
            <w:pPr>
              <w:pStyle w:val="135"/>
              <w:spacing w:before="80" w:line="242" w:lineRule="auto"/>
              <w:ind w:left="107" w:right="75"/>
              <w:rPr>
                <w:sz w:val="24"/>
              </w:rPr>
            </w:pPr>
            <w:r>
              <w:rPr>
                <w:spacing w:val="-24"/>
                <w:sz w:val="24"/>
              </w:rPr>
              <w:t>游步道、绿道路面平整，标示线清</w:t>
            </w:r>
            <w:r>
              <w:rPr>
                <w:sz w:val="24"/>
              </w:rPr>
              <w:t>晰</w:t>
            </w:r>
          </w:p>
        </w:tc>
        <w:tc>
          <w:tcPr>
            <w:tcW w:w="4815" w:type="dxa"/>
          </w:tcPr>
          <w:p>
            <w:pPr>
              <w:pStyle w:val="135"/>
              <w:spacing w:before="6"/>
              <w:rPr>
                <w:rFonts w:ascii="Times New Roman"/>
                <w:sz w:val="20"/>
              </w:rPr>
            </w:pPr>
          </w:p>
          <w:p>
            <w:pPr>
              <w:pStyle w:val="135"/>
              <w:ind w:left="107"/>
              <w:rPr>
                <w:sz w:val="24"/>
              </w:rPr>
            </w:pPr>
            <w:r>
              <w:rPr>
                <w:sz w:val="24"/>
              </w:rPr>
              <w:t>每发现1 处坑洼，扣1 分。</w:t>
            </w:r>
          </w:p>
        </w:tc>
        <w:tc>
          <w:tcPr>
            <w:tcW w:w="708" w:type="dxa"/>
          </w:tcPr>
          <w:p>
            <w:pPr>
              <w:pStyle w:val="135"/>
              <w:spacing w:before="6"/>
              <w:rPr>
                <w:rFonts w:ascii="Times New Roman"/>
                <w:sz w:val="20"/>
              </w:rPr>
            </w:pPr>
          </w:p>
          <w:p>
            <w:pPr>
              <w:pStyle w:val="135"/>
              <w:ind w:left="9"/>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00" w:type="dxa"/>
          </w:tcPr>
          <w:p>
            <w:pPr>
              <w:pStyle w:val="135"/>
              <w:rPr>
                <w:rFonts w:ascii="Times New Roman"/>
                <w:sz w:val="24"/>
              </w:rPr>
            </w:pPr>
          </w:p>
          <w:p>
            <w:pPr>
              <w:pStyle w:val="135"/>
              <w:spacing w:before="8"/>
              <w:rPr>
                <w:rFonts w:ascii="Times New Roman"/>
                <w:sz w:val="35"/>
              </w:rPr>
            </w:pPr>
          </w:p>
          <w:p>
            <w:pPr>
              <w:pStyle w:val="135"/>
              <w:ind w:left="90" w:right="79"/>
              <w:jc w:val="center"/>
              <w:rPr>
                <w:sz w:val="24"/>
              </w:rPr>
            </w:pPr>
            <w:r>
              <w:rPr>
                <w:sz w:val="24"/>
              </w:rPr>
              <w:t>16</w:t>
            </w:r>
          </w:p>
        </w:tc>
        <w:tc>
          <w:tcPr>
            <w:tcW w:w="1210" w:type="dxa"/>
            <w:vMerge w:val="continue"/>
            <w:tcBorders>
              <w:top w:val="nil"/>
            </w:tcBorders>
          </w:tcPr>
          <w:p>
            <w:pPr>
              <w:rPr>
                <w:sz w:val="2"/>
                <w:szCs w:val="2"/>
              </w:rPr>
            </w:pPr>
          </w:p>
        </w:tc>
        <w:tc>
          <w:tcPr>
            <w:tcW w:w="3345" w:type="dxa"/>
          </w:tcPr>
          <w:p>
            <w:pPr>
              <w:pStyle w:val="135"/>
              <w:rPr>
                <w:rFonts w:ascii="Times New Roman"/>
                <w:sz w:val="24"/>
              </w:rPr>
            </w:pPr>
          </w:p>
          <w:p>
            <w:pPr>
              <w:pStyle w:val="135"/>
              <w:spacing w:before="2"/>
              <w:rPr>
                <w:rFonts w:ascii="Times New Roman"/>
                <w:sz w:val="22"/>
              </w:rPr>
            </w:pPr>
          </w:p>
          <w:p>
            <w:pPr>
              <w:pStyle w:val="135"/>
              <w:spacing w:line="242" w:lineRule="auto"/>
              <w:ind w:left="107" w:right="75"/>
              <w:rPr>
                <w:sz w:val="24"/>
              </w:rPr>
            </w:pPr>
            <w:r>
              <w:rPr>
                <w:spacing w:val="-24"/>
                <w:sz w:val="24"/>
              </w:rPr>
              <w:t>景观线纵向延伸，推进进村主干道</w:t>
            </w:r>
            <w:r>
              <w:rPr>
                <w:spacing w:val="-21"/>
                <w:sz w:val="24"/>
              </w:rPr>
              <w:t>景观绿化管养工作</w:t>
            </w:r>
          </w:p>
        </w:tc>
        <w:tc>
          <w:tcPr>
            <w:tcW w:w="4815" w:type="dxa"/>
          </w:tcPr>
          <w:p>
            <w:pPr>
              <w:pStyle w:val="135"/>
              <w:spacing w:before="63" w:line="242" w:lineRule="auto"/>
              <w:ind w:left="107" w:right="75"/>
              <w:rPr>
                <w:sz w:val="24"/>
              </w:rPr>
            </w:pPr>
            <w:r>
              <w:rPr>
                <w:spacing w:val="-22"/>
                <w:sz w:val="24"/>
              </w:rPr>
              <w:t>推进景观线的绿化景观效果向村域延伸。持续抓好景观线道路岔口绿化的养护工作，若发现管理养护不到位， 则视情扣分。如果发现与美丽乡村景观线相连的美丽乡村精品路建设成果不理想、管护不到位的，应当及时向</w:t>
            </w:r>
            <w:r>
              <w:rPr>
                <w:spacing w:val="-20"/>
                <w:sz w:val="24"/>
              </w:rPr>
              <w:t>当地政府反馈。</w:t>
            </w:r>
          </w:p>
        </w:tc>
        <w:tc>
          <w:tcPr>
            <w:tcW w:w="708" w:type="dxa"/>
          </w:tcPr>
          <w:p>
            <w:pPr>
              <w:pStyle w:val="135"/>
              <w:rPr>
                <w:rFonts w:ascii="Times New Roman"/>
                <w:sz w:val="24"/>
              </w:rPr>
            </w:pPr>
          </w:p>
          <w:p>
            <w:pPr>
              <w:pStyle w:val="135"/>
              <w:spacing w:before="8"/>
              <w:rPr>
                <w:rFonts w:ascii="Times New Roman"/>
                <w:sz w:val="35"/>
              </w:rPr>
            </w:pPr>
          </w:p>
          <w:p>
            <w:pPr>
              <w:pStyle w:val="135"/>
              <w:ind w:left="9"/>
              <w:jc w:val="center"/>
              <w:rPr>
                <w:sz w:val="24"/>
              </w:rPr>
            </w:pPr>
            <w:r>
              <w:rPr>
                <w:sz w:val="24"/>
              </w:rPr>
              <w:t>2</w:t>
            </w:r>
          </w:p>
        </w:tc>
      </w:tr>
    </w:tbl>
    <w:p>
      <w:pPr>
        <w:rPr>
          <w:rFonts w:ascii="宋体" w:hAnsi="宋体"/>
          <w:b/>
          <w:bCs/>
          <w:sz w:val="32"/>
          <w:szCs w:val="30"/>
        </w:rPr>
      </w:pPr>
    </w:p>
    <w:tbl>
      <w:tblPr>
        <w:tblStyle w:val="41"/>
        <w:tblpPr w:leftFromText="180" w:rightFromText="180" w:vertAnchor="text" w:horzAnchor="page" w:tblpX="507" w:tblpY="507"/>
        <w:tblOverlap w:val="never"/>
        <w:tblW w:w="10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5"/>
        <w:gridCol w:w="3330"/>
        <w:gridCol w:w="4815"/>
        <w:gridCol w:w="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35"/>
              <w:spacing w:before="121"/>
              <w:ind w:left="90" w:right="79"/>
              <w:jc w:val="center"/>
              <w:rPr>
                <w:rFonts w:ascii="Arial Unicode MS" w:eastAsia="Arial Unicode MS"/>
                <w:sz w:val="24"/>
              </w:rPr>
            </w:pPr>
            <w:r>
              <w:rPr>
                <w:rFonts w:hint="eastAsia" w:ascii="Arial Unicode MS" w:eastAsia="Arial Unicode MS"/>
                <w:sz w:val="24"/>
              </w:rPr>
              <w:t>序号</w:t>
            </w:r>
          </w:p>
        </w:tc>
        <w:tc>
          <w:tcPr>
            <w:tcW w:w="1165" w:type="dxa"/>
          </w:tcPr>
          <w:p>
            <w:pPr>
              <w:pStyle w:val="135"/>
              <w:spacing w:before="121"/>
              <w:rPr>
                <w:rFonts w:ascii="Arial Unicode MS" w:eastAsia="Arial Unicode MS"/>
                <w:sz w:val="24"/>
              </w:rPr>
            </w:pPr>
            <w:r>
              <w:rPr>
                <w:rFonts w:hint="eastAsia" w:ascii="Arial Unicode MS" w:eastAsia="Arial Unicode MS"/>
                <w:sz w:val="24"/>
              </w:rPr>
              <w:t>考核内容</w:t>
            </w:r>
          </w:p>
        </w:tc>
        <w:tc>
          <w:tcPr>
            <w:tcW w:w="3330" w:type="dxa"/>
          </w:tcPr>
          <w:p>
            <w:pPr>
              <w:pStyle w:val="135"/>
              <w:spacing w:before="121"/>
              <w:ind w:left="80" w:right="72"/>
              <w:jc w:val="center"/>
              <w:rPr>
                <w:rFonts w:ascii="Arial Unicode MS" w:eastAsia="Arial Unicode MS"/>
                <w:sz w:val="24"/>
              </w:rPr>
            </w:pPr>
            <w:r>
              <w:rPr>
                <w:rFonts w:hint="eastAsia" w:ascii="Arial Unicode MS" w:eastAsia="Arial Unicode MS"/>
                <w:sz w:val="24"/>
              </w:rPr>
              <w:t>管理要求</w:t>
            </w:r>
          </w:p>
        </w:tc>
        <w:tc>
          <w:tcPr>
            <w:tcW w:w="4815" w:type="dxa"/>
          </w:tcPr>
          <w:p>
            <w:pPr>
              <w:pStyle w:val="135"/>
              <w:spacing w:before="121"/>
              <w:ind w:right="2227"/>
              <w:jc w:val="center"/>
              <w:rPr>
                <w:rFonts w:ascii="Arial Unicode MS" w:eastAsia="Arial Unicode MS"/>
                <w:sz w:val="24"/>
              </w:rPr>
            </w:pPr>
            <w:r>
              <w:rPr>
                <w:rFonts w:hint="eastAsia" w:ascii="Arial Unicode MS" w:eastAsia="Arial Unicode MS"/>
                <w:sz w:val="24"/>
              </w:rPr>
              <w:t>评分标准</w:t>
            </w:r>
          </w:p>
        </w:tc>
        <w:tc>
          <w:tcPr>
            <w:tcW w:w="627" w:type="dxa"/>
          </w:tcPr>
          <w:p>
            <w:pPr>
              <w:pStyle w:val="135"/>
              <w:spacing w:before="121"/>
              <w:ind w:left="177" w:right="168"/>
              <w:jc w:val="center"/>
              <w:rPr>
                <w:rFonts w:ascii="Arial Unicode MS" w:eastAsia="Arial Unicode MS"/>
                <w:sz w:val="24"/>
              </w:rPr>
            </w:pPr>
            <w:r>
              <w:rPr>
                <w:rFonts w:hint="eastAsia" w:ascii="Arial Unicode MS" w:eastAsia="Arial Unicode M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35"/>
              <w:spacing w:before="158"/>
              <w:ind w:left="90" w:right="79"/>
              <w:jc w:val="center"/>
              <w:rPr>
                <w:sz w:val="24"/>
              </w:rPr>
            </w:pPr>
            <w:r>
              <w:rPr>
                <w:sz w:val="24"/>
              </w:rPr>
              <w:t>17</w:t>
            </w:r>
          </w:p>
        </w:tc>
        <w:tc>
          <w:tcPr>
            <w:tcW w:w="1165" w:type="dxa"/>
            <w:vMerge w:val="restart"/>
          </w:tcPr>
          <w:p>
            <w:pPr>
              <w:pStyle w:val="135"/>
              <w:rPr>
                <w:rFonts w:ascii="Times New Roman"/>
                <w:sz w:val="24"/>
              </w:rPr>
            </w:pPr>
          </w:p>
        </w:tc>
        <w:tc>
          <w:tcPr>
            <w:tcW w:w="3330" w:type="dxa"/>
          </w:tcPr>
          <w:p>
            <w:pPr>
              <w:pStyle w:val="135"/>
              <w:spacing w:before="158"/>
              <w:ind w:left="107"/>
              <w:rPr>
                <w:sz w:val="24"/>
              </w:rPr>
            </w:pPr>
            <w:r>
              <w:rPr>
                <w:sz w:val="24"/>
              </w:rPr>
              <w:t>维护汀步设施正常功能</w:t>
            </w:r>
          </w:p>
        </w:tc>
        <w:tc>
          <w:tcPr>
            <w:tcW w:w="4815" w:type="dxa"/>
          </w:tcPr>
          <w:p>
            <w:pPr>
              <w:pStyle w:val="135"/>
              <w:spacing w:before="2"/>
              <w:ind w:left="107"/>
              <w:rPr>
                <w:sz w:val="24"/>
              </w:rPr>
            </w:pPr>
            <w:r>
              <w:rPr>
                <w:spacing w:val="-22"/>
                <w:sz w:val="24"/>
              </w:rPr>
              <w:t>保持汀步设施、功能完善，对汀步损坏以至于造成绿化</w:t>
            </w:r>
          </w:p>
          <w:p>
            <w:pPr>
              <w:pStyle w:val="135"/>
              <w:spacing w:before="5" w:line="289" w:lineRule="exact"/>
              <w:ind w:left="107"/>
              <w:rPr>
                <w:sz w:val="24"/>
              </w:rPr>
            </w:pPr>
            <w:r>
              <w:rPr>
                <w:sz w:val="24"/>
              </w:rPr>
              <w:t>带踩踏的，每发现1 处扣0.5 分。</w:t>
            </w:r>
          </w:p>
        </w:tc>
        <w:tc>
          <w:tcPr>
            <w:tcW w:w="627" w:type="dxa"/>
          </w:tcPr>
          <w:p>
            <w:pPr>
              <w:pStyle w:val="135"/>
              <w:spacing w:before="158"/>
              <w:ind w:left="9"/>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00" w:type="dxa"/>
          </w:tcPr>
          <w:p>
            <w:pPr>
              <w:pStyle w:val="135"/>
              <w:spacing w:before="184"/>
              <w:ind w:left="90" w:right="79"/>
              <w:jc w:val="center"/>
              <w:rPr>
                <w:sz w:val="24"/>
              </w:rPr>
            </w:pPr>
            <w:r>
              <w:rPr>
                <w:sz w:val="24"/>
              </w:rPr>
              <w:t>18</w:t>
            </w:r>
          </w:p>
        </w:tc>
        <w:tc>
          <w:tcPr>
            <w:tcW w:w="1165" w:type="dxa"/>
            <w:vMerge w:val="continue"/>
            <w:tcBorders>
              <w:top w:val="nil"/>
            </w:tcBorders>
          </w:tcPr>
          <w:p>
            <w:pPr>
              <w:rPr>
                <w:sz w:val="2"/>
                <w:szCs w:val="2"/>
              </w:rPr>
            </w:pPr>
          </w:p>
        </w:tc>
        <w:tc>
          <w:tcPr>
            <w:tcW w:w="3330" w:type="dxa"/>
          </w:tcPr>
          <w:p>
            <w:pPr>
              <w:pStyle w:val="135"/>
              <w:spacing w:before="184"/>
              <w:ind w:left="107"/>
              <w:rPr>
                <w:sz w:val="24"/>
              </w:rPr>
            </w:pPr>
            <w:r>
              <w:rPr>
                <w:sz w:val="24"/>
              </w:rPr>
              <w:t>排水通畅，路面无积水</w:t>
            </w:r>
          </w:p>
        </w:tc>
        <w:tc>
          <w:tcPr>
            <w:tcW w:w="4815" w:type="dxa"/>
          </w:tcPr>
          <w:p>
            <w:pPr>
              <w:pStyle w:val="135"/>
              <w:spacing w:before="28" w:line="242" w:lineRule="auto"/>
              <w:ind w:left="107" w:right="85"/>
              <w:rPr>
                <w:sz w:val="24"/>
              </w:rPr>
            </w:pPr>
            <w:r>
              <w:rPr>
                <w:spacing w:val="-17"/>
                <w:sz w:val="24"/>
              </w:rPr>
              <w:t>排水通畅，各路段没有明显积水，每发现</w:t>
            </w:r>
            <w:r>
              <w:rPr>
                <w:sz w:val="24"/>
              </w:rPr>
              <w:t>1</w:t>
            </w:r>
            <w:r>
              <w:rPr>
                <w:spacing w:val="-20"/>
                <w:sz w:val="24"/>
              </w:rPr>
              <w:t xml:space="preserve"> 处积水扣</w:t>
            </w:r>
            <w:r>
              <w:rPr>
                <w:sz w:val="24"/>
              </w:rPr>
              <w:t xml:space="preserve">1 </w:t>
            </w:r>
            <w:r>
              <w:rPr>
                <w:spacing w:val="-11"/>
                <w:sz w:val="24"/>
              </w:rPr>
              <w:t>分。</w:t>
            </w:r>
          </w:p>
        </w:tc>
        <w:tc>
          <w:tcPr>
            <w:tcW w:w="627" w:type="dxa"/>
          </w:tcPr>
          <w:p>
            <w:pPr>
              <w:pStyle w:val="135"/>
              <w:spacing w:before="184"/>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700" w:type="dxa"/>
          </w:tcPr>
          <w:p>
            <w:pPr>
              <w:pStyle w:val="135"/>
              <w:spacing w:before="1"/>
              <w:rPr>
                <w:rFonts w:ascii="Times New Roman"/>
                <w:sz w:val="29"/>
              </w:rPr>
            </w:pPr>
          </w:p>
          <w:p>
            <w:pPr>
              <w:pStyle w:val="135"/>
              <w:ind w:left="90" w:right="79"/>
              <w:jc w:val="center"/>
              <w:rPr>
                <w:sz w:val="24"/>
              </w:rPr>
            </w:pPr>
            <w:r>
              <w:rPr>
                <w:sz w:val="24"/>
              </w:rPr>
              <w:t>19</w:t>
            </w:r>
          </w:p>
        </w:tc>
        <w:tc>
          <w:tcPr>
            <w:tcW w:w="1165" w:type="dxa"/>
            <w:vMerge w:val="restart"/>
          </w:tcPr>
          <w:p>
            <w:pPr>
              <w:pStyle w:val="135"/>
              <w:rPr>
                <w:rFonts w:ascii="Times New Roman"/>
                <w:sz w:val="32"/>
              </w:rPr>
            </w:pPr>
          </w:p>
          <w:p>
            <w:pPr>
              <w:pStyle w:val="135"/>
              <w:rPr>
                <w:rFonts w:ascii="Times New Roman"/>
                <w:sz w:val="32"/>
              </w:rPr>
            </w:pPr>
          </w:p>
          <w:p>
            <w:pPr>
              <w:pStyle w:val="135"/>
              <w:spacing w:before="5"/>
              <w:rPr>
                <w:rFonts w:ascii="Times New Roman"/>
                <w:sz w:val="30"/>
              </w:rPr>
            </w:pPr>
          </w:p>
          <w:p>
            <w:pPr>
              <w:pStyle w:val="135"/>
              <w:ind w:left="334"/>
              <w:rPr>
                <w:rFonts w:ascii="Arial Unicode MS" w:eastAsia="Arial Unicode MS"/>
                <w:sz w:val="24"/>
              </w:rPr>
            </w:pPr>
            <w:r>
              <w:rPr>
                <w:rFonts w:hint="eastAsia" w:ascii="Arial Unicode MS" w:eastAsia="Arial Unicode MS"/>
                <w:sz w:val="24"/>
              </w:rPr>
              <w:t>环境卫生</w:t>
            </w:r>
          </w:p>
          <w:p>
            <w:pPr>
              <w:pStyle w:val="135"/>
              <w:spacing w:before="207"/>
              <w:ind w:left="291"/>
              <w:rPr>
                <w:rFonts w:ascii="Arial Unicode MS" w:eastAsia="Arial Unicode MS"/>
                <w:sz w:val="24"/>
              </w:rPr>
            </w:pPr>
            <w:r>
              <w:rPr>
                <w:rFonts w:hint="eastAsia" w:ascii="Arial Unicode MS" w:eastAsia="Arial Unicode MS"/>
                <w:sz w:val="24"/>
              </w:rPr>
              <w:t>（15</w:t>
            </w:r>
            <w:r>
              <w:rPr>
                <w:rFonts w:hint="eastAsia" w:ascii="Arial Unicode MS" w:eastAsia="Arial Unicode MS"/>
                <w:spacing w:val="-6"/>
                <w:sz w:val="24"/>
              </w:rPr>
              <w:t xml:space="preserve"> 分</w:t>
            </w:r>
            <w:r>
              <w:rPr>
                <w:rFonts w:hint="eastAsia" w:ascii="Arial Unicode MS" w:eastAsia="Arial Unicode MS"/>
                <w:sz w:val="24"/>
              </w:rPr>
              <w:t>）</w:t>
            </w:r>
          </w:p>
        </w:tc>
        <w:tc>
          <w:tcPr>
            <w:tcW w:w="3330" w:type="dxa"/>
          </w:tcPr>
          <w:p>
            <w:pPr>
              <w:pStyle w:val="135"/>
              <w:spacing w:before="1"/>
              <w:rPr>
                <w:rFonts w:ascii="Times New Roman"/>
                <w:sz w:val="29"/>
              </w:rPr>
            </w:pPr>
          </w:p>
          <w:p>
            <w:pPr>
              <w:pStyle w:val="135"/>
              <w:ind w:left="107"/>
              <w:rPr>
                <w:sz w:val="24"/>
              </w:rPr>
            </w:pPr>
            <w:r>
              <w:rPr>
                <w:sz w:val="24"/>
              </w:rPr>
              <w:t>绿化带干净整洁美观</w:t>
            </w:r>
          </w:p>
        </w:tc>
        <w:tc>
          <w:tcPr>
            <w:tcW w:w="4815" w:type="dxa"/>
          </w:tcPr>
          <w:p>
            <w:pPr>
              <w:pStyle w:val="135"/>
              <w:spacing w:before="179" w:line="242" w:lineRule="auto"/>
              <w:ind w:left="107" w:right="-15"/>
              <w:rPr>
                <w:sz w:val="24"/>
              </w:rPr>
            </w:pPr>
            <w:r>
              <w:rPr>
                <w:spacing w:val="-23"/>
                <w:sz w:val="24"/>
              </w:rPr>
              <w:t>绿化带范围内</w:t>
            </w:r>
            <w:r>
              <w:rPr>
                <w:spacing w:val="-22"/>
                <w:sz w:val="24"/>
              </w:rPr>
              <w:t>（</w:t>
            </w:r>
            <w:r>
              <w:rPr>
                <w:spacing w:val="-23"/>
                <w:sz w:val="24"/>
              </w:rPr>
              <w:t>含绿道、节点</w:t>
            </w:r>
            <w:r>
              <w:rPr>
                <w:spacing w:val="-22"/>
                <w:sz w:val="24"/>
              </w:rPr>
              <w:t>）环境干净整洁，每发现 1</w:t>
            </w:r>
            <w:r>
              <w:rPr>
                <w:spacing w:val="-23"/>
                <w:sz w:val="24"/>
              </w:rPr>
              <w:t xml:space="preserve"> 处陈年垃圾，扣</w:t>
            </w:r>
            <w:r>
              <w:rPr>
                <w:sz w:val="24"/>
              </w:rPr>
              <w:t>1</w:t>
            </w:r>
            <w:r>
              <w:rPr>
                <w:spacing w:val="-29"/>
                <w:sz w:val="24"/>
              </w:rPr>
              <w:t xml:space="preserve"> 分；发现零星废弃物，</w:t>
            </w:r>
            <w:r>
              <w:rPr>
                <w:spacing w:val="-11"/>
                <w:sz w:val="24"/>
              </w:rPr>
              <w:t>3</w:t>
            </w:r>
            <w:r>
              <w:rPr>
                <w:spacing w:val="-23"/>
                <w:sz w:val="24"/>
              </w:rPr>
              <w:t xml:space="preserve"> 处扣</w:t>
            </w:r>
            <w:r>
              <w:rPr>
                <w:sz w:val="24"/>
              </w:rPr>
              <w:t>1</w:t>
            </w:r>
            <w:r>
              <w:rPr>
                <w:spacing w:val="-34"/>
                <w:sz w:val="24"/>
              </w:rPr>
              <w:t xml:space="preserve"> 分。</w:t>
            </w:r>
          </w:p>
        </w:tc>
        <w:tc>
          <w:tcPr>
            <w:tcW w:w="627" w:type="dxa"/>
          </w:tcPr>
          <w:p>
            <w:pPr>
              <w:pStyle w:val="135"/>
              <w:spacing w:before="1"/>
              <w:rPr>
                <w:rFonts w:ascii="Times New Roman"/>
                <w:sz w:val="29"/>
              </w:rPr>
            </w:pPr>
          </w:p>
          <w:p>
            <w:pPr>
              <w:pStyle w:val="135"/>
              <w:ind w:left="177" w:right="168"/>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0" w:type="dxa"/>
          </w:tcPr>
          <w:p>
            <w:pPr>
              <w:pStyle w:val="135"/>
              <w:spacing w:before="4"/>
              <w:rPr>
                <w:rFonts w:ascii="Times New Roman"/>
                <w:sz w:val="27"/>
              </w:rPr>
            </w:pPr>
          </w:p>
          <w:p>
            <w:pPr>
              <w:pStyle w:val="135"/>
              <w:ind w:left="90" w:right="79"/>
              <w:jc w:val="center"/>
              <w:rPr>
                <w:sz w:val="24"/>
              </w:rPr>
            </w:pPr>
            <w:r>
              <w:rPr>
                <w:sz w:val="24"/>
              </w:rPr>
              <w:t>20</w:t>
            </w:r>
          </w:p>
        </w:tc>
        <w:tc>
          <w:tcPr>
            <w:tcW w:w="1165" w:type="dxa"/>
            <w:vMerge w:val="continue"/>
            <w:tcBorders>
              <w:top w:val="nil"/>
            </w:tcBorders>
          </w:tcPr>
          <w:p>
            <w:pPr>
              <w:rPr>
                <w:sz w:val="2"/>
                <w:szCs w:val="2"/>
              </w:rPr>
            </w:pPr>
          </w:p>
        </w:tc>
        <w:tc>
          <w:tcPr>
            <w:tcW w:w="3330" w:type="dxa"/>
          </w:tcPr>
          <w:p>
            <w:pPr>
              <w:pStyle w:val="135"/>
              <w:spacing w:before="158" w:line="242" w:lineRule="auto"/>
              <w:ind w:left="107" w:right="1"/>
              <w:rPr>
                <w:sz w:val="24"/>
              </w:rPr>
            </w:pPr>
            <w:r>
              <w:rPr>
                <w:sz w:val="24"/>
              </w:rPr>
              <w:t>沿线整洁有序，无乱设固定垃圾箱、垃圾回收房</w:t>
            </w:r>
          </w:p>
        </w:tc>
        <w:tc>
          <w:tcPr>
            <w:tcW w:w="4815" w:type="dxa"/>
          </w:tcPr>
          <w:p>
            <w:pPr>
              <w:pStyle w:val="135"/>
              <w:spacing w:before="3" w:line="242" w:lineRule="auto"/>
              <w:ind w:left="107" w:right="73"/>
              <w:rPr>
                <w:sz w:val="24"/>
              </w:rPr>
            </w:pPr>
            <w:r>
              <w:rPr>
                <w:spacing w:val="-22"/>
                <w:sz w:val="24"/>
              </w:rPr>
              <w:t>在景观线沿线，乱设置垃圾箱、垃圾桶等收集设施，影</w:t>
            </w:r>
            <w:r>
              <w:rPr>
                <w:spacing w:val="-17"/>
                <w:sz w:val="24"/>
              </w:rPr>
              <w:t>响环境整洁的，每发现</w:t>
            </w:r>
            <w:r>
              <w:rPr>
                <w:sz w:val="24"/>
              </w:rPr>
              <w:t>1</w:t>
            </w:r>
            <w:r>
              <w:rPr>
                <w:spacing w:val="-22"/>
                <w:sz w:val="24"/>
              </w:rPr>
              <w:t xml:space="preserve"> 处，扣</w:t>
            </w:r>
            <w:r>
              <w:rPr>
                <w:sz w:val="24"/>
              </w:rPr>
              <w:t>1</w:t>
            </w:r>
            <w:r>
              <w:rPr>
                <w:spacing w:val="-27"/>
                <w:sz w:val="24"/>
              </w:rPr>
              <w:t xml:space="preserve"> 分。发现路边乱设摊</w:t>
            </w:r>
          </w:p>
          <w:p>
            <w:pPr>
              <w:pStyle w:val="135"/>
              <w:spacing w:before="2" w:line="289" w:lineRule="exact"/>
              <w:ind w:left="107"/>
              <w:rPr>
                <w:sz w:val="24"/>
              </w:rPr>
            </w:pPr>
            <w:r>
              <w:rPr>
                <w:sz w:val="24"/>
              </w:rPr>
              <w:t>现象，及时反馈当地政府处理。</w:t>
            </w:r>
          </w:p>
        </w:tc>
        <w:tc>
          <w:tcPr>
            <w:tcW w:w="627" w:type="dxa"/>
          </w:tcPr>
          <w:p>
            <w:pPr>
              <w:pStyle w:val="135"/>
              <w:spacing w:before="4"/>
              <w:rPr>
                <w:rFonts w:ascii="Times New Roman"/>
                <w:sz w:val="27"/>
              </w:rPr>
            </w:pPr>
          </w:p>
          <w:p>
            <w:pPr>
              <w:pStyle w:val="135"/>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0" w:type="dxa"/>
          </w:tcPr>
          <w:p>
            <w:pPr>
              <w:pStyle w:val="135"/>
              <w:rPr>
                <w:rFonts w:ascii="Times New Roman"/>
                <w:sz w:val="24"/>
              </w:rPr>
            </w:pPr>
          </w:p>
          <w:p>
            <w:pPr>
              <w:pStyle w:val="135"/>
              <w:spacing w:before="194"/>
              <w:ind w:left="90" w:right="79"/>
              <w:jc w:val="center"/>
              <w:rPr>
                <w:sz w:val="24"/>
              </w:rPr>
            </w:pPr>
            <w:r>
              <w:rPr>
                <w:sz w:val="24"/>
              </w:rPr>
              <w:t>21</w:t>
            </w:r>
          </w:p>
        </w:tc>
        <w:tc>
          <w:tcPr>
            <w:tcW w:w="1165" w:type="dxa"/>
            <w:vMerge w:val="continue"/>
            <w:tcBorders>
              <w:top w:val="nil"/>
            </w:tcBorders>
          </w:tcPr>
          <w:p>
            <w:pPr>
              <w:rPr>
                <w:sz w:val="2"/>
                <w:szCs w:val="2"/>
              </w:rPr>
            </w:pPr>
          </w:p>
        </w:tc>
        <w:tc>
          <w:tcPr>
            <w:tcW w:w="3330" w:type="dxa"/>
          </w:tcPr>
          <w:p>
            <w:pPr>
              <w:pStyle w:val="135"/>
              <w:spacing w:before="3"/>
              <w:rPr>
                <w:rFonts w:ascii="Times New Roman"/>
                <w:sz w:val="27"/>
              </w:rPr>
            </w:pPr>
          </w:p>
          <w:p>
            <w:pPr>
              <w:pStyle w:val="135"/>
              <w:spacing w:before="1" w:line="242" w:lineRule="auto"/>
              <w:ind w:left="107" w:right="75"/>
              <w:rPr>
                <w:sz w:val="24"/>
              </w:rPr>
            </w:pPr>
            <w:r>
              <w:rPr>
                <w:spacing w:val="-24"/>
                <w:sz w:val="24"/>
              </w:rPr>
              <w:t>水塘、河道干净整洁，节点内水塘</w:t>
            </w:r>
            <w:r>
              <w:rPr>
                <w:spacing w:val="-18"/>
                <w:sz w:val="24"/>
              </w:rPr>
              <w:t>水质较好</w:t>
            </w:r>
          </w:p>
        </w:tc>
        <w:tc>
          <w:tcPr>
            <w:tcW w:w="4815" w:type="dxa"/>
          </w:tcPr>
          <w:p>
            <w:pPr>
              <w:pStyle w:val="135"/>
              <w:spacing w:before="2" w:line="242" w:lineRule="auto"/>
              <w:ind w:left="107" w:right="73"/>
              <w:rPr>
                <w:sz w:val="24"/>
              </w:rPr>
            </w:pPr>
            <w:r>
              <w:rPr>
                <w:spacing w:val="-22"/>
                <w:sz w:val="24"/>
              </w:rPr>
              <w:t>维持景观线绿化带、节点区域内水塘日常保洁，确保水</w:t>
            </w:r>
            <w:r>
              <w:rPr>
                <w:spacing w:val="-17"/>
                <w:sz w:val="24"/>
              </w:rPr>
              <w:t>岸无垃圾杂物，每发现</w:t>
            </w:r>
            <w:r>
              <w:rPr>
                <w:sz w:val="24"/>
              </w:rPr>
              <w:t>1</w:t>
            </w:r>
            <w:r>
              <w:rPr>
                <w:spacing w:val="-21"/>
                <w:sz w:val="24"/>
              </w:rPr>
              <w:t xml:space="preserve"> 处扣</w:t>
            </w:r>
            <w:r>
              <w:rPr>
                <w:spacing w:val="-7"/>
                <w:sz w:val="24"/>
              </w:rPr>
              <w:t>0.5</w:t>
            </w:r>
            <w:r>
              <w:rPr>
                <w:spacing w:val="-27"/>
                <w:sz w:val="24"/>
              </w:rPr>
              <w:t xml:space="preserve"> 分；水质良好，否则</w:t>
            </w:r>
            <w:r>
              <w:rPr>
                <w:spacing w:val="-22"/>
                <w:sz w:val="24"/>
              </w:rPr>
              <w:t>酌情扣分。若发现沿线河道有明显漂浮物等影响景观的</w:t>
            </w:r>
          </w:p>
          <w:p>
            <w:pPr>
              <w:pStyle w:val="135"/>
              <w:spacing w:before="4" w:line="290" w:lineRule="exact"/>
              <w:ind w:left="107"/>
              <w:rPr>
                <w:sz w:val="24"/>
              </w:rPr>
            </w:pPr>
            <w:r>
              <w:rPr>
                <w:sz w:val="24"/>
              </w:rPr>
              <w:t>情况，及时反馈当地政府处理。</w:t>
            </w:r>
          </w:p>
        </w:tc>
        <w:tc>
          <w:tcPr>
            <w:tcW w:w="627" w:type="dxa"/>
          </w:tcPr>
          <w:p>
            <w:pPr>
              <w:pStyle w:val="135"/>
              <w:rPr>
                <w:rFonts w:ascii="Times New Roman"/>
                <w:sz w:val="24"/>
              </w:rPr>
            </w:pPr>
          </w:p>
          <w:p>
            <w:pPr>
              <w:pStyle w:val="135"/>
              <w:spacing w:before="194"/>
              <w:ind w:left="9"/>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0" w:type="dxa"/>
          </w:tcPr>
          <w:p>
            <w:pPr>
              <w:pStyle w:val="135"/>
              <w:spacing w:before="2"/>
              <w:rPr>
                <w:rFonts w:ascii="Times New Roman"/>
                <w:sz w:val="29"/>
              </w:rPr>
            </w:pPr>
          </w:p>
          <w:p>
            <w:pPr>
              <w:pStyle w:val="135"/>
              <w:ind w:left="90" w:right="79"/>
              <w:jc w:val="center"/>
              <w:rPr>
                <w:sz w:val="24"/>
              </w:rPr>
            </w:pPr>
            <w:r>
              <w:rPr>
                <w:sz w:val="24"/>
              </w:rPr>
              <w:t>22</w:t>
            </w:r>
          </w:p>
        </w:tc>
        <w:tc>
          <w:tcPr>
            <w:tcW w:w="1165" w:type="dxa"/>
            <w:vMerge w:val="restart"/>
          </w:tcPr>
          <w:p>
            <w:pPr>
              <w:pStyle w:val="135"/>
              <w:rPr>
                <w:rFonts w:ascii="Times New Roman"/>
                <w:sz w:val="32"/>
              </w:rPr>
            </w:pPr>
          </w:p>
          <w:p>
            <w:pPr>
              <w:pStyle w:val="135"/>
              <w:rPr>
                <w:rFonts w:ascii="Times New Roman"/>
                <w:sz w:val="32"/>
              </w:rPr>
            </w:pPr>
          </w:p>
          <w:p>
            <w:pPr>
              <w:pStyle w:val="135"/>
              <w:spacing w:before="190"/>
              <w:ind w:left="214"/>
              <w:rPr>
                <w:rFonts w:ascii="Arial Unicode MS" w:eastAsia="Arial Unicode MS"/>
                <w:sz w:val="24"/>
              </w:rPr>
            </w:pPr>
            <w:r>
              <w:rPr>
                <w:rFonts w:hint="eastAsia" w:ascii="Arial Unicode MS" w:eastAsia="Arial Unicode MS"/>
                <w:sz w:val="24"/>
              </w:rPr>
              <w:t>环境与设施</w:t>
            </w:r>
          </w:p>
        </w:tc>
        <w:tc>
          <w:tcPr>
            <w:tcW w:w="3330" w:type="dxa"/>
          </w:tcPr>
          <w:p>
            <w:pPr>
              <w:pStyle w:val="135"/>
              <w:spacing w:before="2"/>
              <w:rPr>
                <w:rFonts w:ascii="Times New Roman"/>
                <w:sz w:val="29"/>
              </w:rPr>
            </w:pPr>
          </w:p>
          <w:p>
            <w:pPr>
              <w:pStyle w:val="135"/>
              <w:ind w:left="107"/>
              <w:rPr>
                <w:sz w:val="24"/>
              </w:rPr>
            </w:pPr>
            <w:r>
              <w:rPr>
                <w:spacing w:val="-23"/>
                <w:sz w:val="24"/>
              </w:rPr>
              <w:t>绿化带内、节点标识标牌维护齐全</w:t>
            </w:r>
          </w:p>
        </w:tc>
        <w:tc>
          <w:tcPr>
            <w:tcW w:w="4815" w:type="dxa"/>
          </w:tcPr>
          <w:p>
            <w:pPr>
              <w:pStyle w:val="135"/>
              <w:spacing w:before="179" w:line="242" w:lineRule="auto"/>
              <w:ind w:left="107" w:right="75"/>
              <w:rPr>
                <w:sz w:val="24"/>
              </w:rPr>
            </w:pPr>
            <w:r>
              <w:rPr>
                <w:spacing w:val="-22"/>
                <w:sz w:val="24"/>
              </w:rPr>
              <w:t>绿化带内及节点标识标牌维护齐全，有损坏且维修不及</w:t>
            </w:r>
            <w:r>
              <w:rPr>
                <w:spacing w:val="-17"/>
                <w:sz w:val="24"/>
              </w:rPr>
              <w:t>时的，视具体情况扣</w:t>
            </w:r>
            <w:r>
              <w:rPr>
                <w:spacing w:val="-9"/>
                <w:sz w:val="24"/>
              </w:rPr>
              <w:t>0.5-3</w:t>
            </w:r>
            <w:r>
              <w:rPr>
                <w:spacing w:val="-34"/>
                <w:sz w:val="24"/>
              </w:rPr>
              <w:t xml:space="preserve"> 分。</w:t>
            </w:r>
          </w:p>
        </w:tc>
        <w:tc>
          <w:tcPr>
            <w:tcW w:w="627" w:type="dxa"/>
          </w:tcPr>
          <w:p>
            <w:pPr>
              <w:pStyle w:val="135"/>
              <w:spacing w:before="2"/>
              <w:rPr>
                <w:rFonts w:ascii="Times New Roman"/>
                <w:sz w:val="29"/>
              </w:rPr>
            </w:pPr>
          </w:p>
          <w:p>
            <w:pPr>
              <w:pStyle w:val="135"/>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0" w:type="dxa"/>
          </w:tcPr>
          <w:p>
            <w:pPr>
              <w:pStyle w:val="135"/>
              <w:spacing w:before="158"/>
              <w:ind w:left="90" w:right="79"/>
              <w:jc w:val="center"/>
              <w:rPr>
                <w:sz w:val="24"/>
              </w:rPr>
            </w:pPr>
            <w:r>
              <w:rPr>
                <w:sz w:val="24"/>
              </w:rPr>
              <w:t>23</w:t>
            </w:r>
          </w:p>
        </w:tc>
        <w:tc>
          <w:tcPr>
            <w:tcW w:w="1165" w:type="dxa"/>
            <w:vMerge w:val="continue"/>
            <w:tcBorders>
              <w:top w:val="nil"/>
            </w:tcBorders>
          </w:tcPr>
          <w:p>
            <w:pPr>
              <w:rPr>
                <w:sz w:val="2"/>
                <w:szCs w:val="2"/>
              </w:rPr>
            </w:pPr>
          </w:p>
        </w:tc>
        <w:tc>
          <w:tcPr>
            <w:tcW w:w="3330" w:type="dxa"/>
          </w:tcPr>
          <w:p>
            <w:pPr>
              <w:pStyle w:val="135"/>
              <w:spacing w:before="158"/>
              <w:ind w:left="107"/>
              <w:rPr>
                <w:sz w:val="24"/>
              </w:rPr>
            </w:pPr>
            <w:r>
              <w:rPr>
                <w:sz w:val="24"/>
              </w:rPr>
              <w:t>平侧石整齐完整</w:t>
            </w:r>
          </w:p>
        </w:tc>
        <w:tc>
          <w:tcPr>
            <w:tcW w:w="4815" w:type="dxa"/>
          </w:tcPr>
          <w:p>
            <w:pPr>
              <w:pStyle w:val="135"/>
              <w:spacing w:before="2"/>
              <w:ind w:left="107"/>
              <w:rPr>
                <w:sz w:val="24"/>
              </w:rPr>
            </w:pPr>
            <w:r>
              <w:rPr>
                <w:spacing w:val="-22"/>
                <w:sz w:val="24"/>
              </w:rPr>
              <w:t>发现侧石、平石松动、破损或倒塌，长时间不处理的，</w:t>
            </w:r>
          </w:p>
          <w:p>
            <w:pPr>
              <w:pStyle w:val="135"/>
              <w:spacing w:before="5" w:line="288" w:lineRule="exact"/>
              <w:ind w:left="107"/>
              <w:rPr>
                <w:sz w:val="24"/>
              </w:rPr>
            </w:pPr>
            <w:r>
              <w:rPr>
                <w:sz w:val="24"/>
              </w:rPr>
              <w:t>发现1 处扣0.5 分。</w:t>
            </w:r>
          </w:p>
        </w:tc>
        <w:tc>
          <w:tcPr>
            <w:tcW w:w="627" w:type="dxa"/>
          </w:tcPr>
          <w:p>
            <w:pPr>
              <w:pStyle w:val="135"/>
              <w:spacing w:before="158"/>
              <w:ind w:left="9"/>
              <w:jc w:val="center"/>
              <w:rPr>
                <w:sz w:val="24"/>
              </w:rPr>
            </w:pPr>
            <w:r>
              <w:rPr>
                <w:sz w:val="24"/>
              </w:rPr>
              <w:t>3</w:t>
            </w:r>
          </w:p>
        </w:tc>
      </w:tr>
    </w:tbl>
    <w:p>
      <w:pPr>
        <w:pStyle w:val="2"/>
        <w:pageBreakBefore/>
        <w:ind w:firstLine="0" w:firstLineChars="0"/>
        <w:rPr>
          <w:rFonts w:hAnsi="宋体"/>
          <w:b/>
          <w:bCs/>
          <w:sz w:val="32"/>
          <w:szCs w:val="30"/>
        </w:rPr>
      </w:pPr>
    </w:p>
    <w:tbl>
      <w:tblPr>
        <w:tblStyle w:val="41"/>
        <w:tblpPr w:leftFromText="180" w:rightFromText="180" w:vertAnchor="text" w:horzAnchor="page" w:tblpX="642" w:tblpY="50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15"/>
        <w:gridCol w:w="3375"/>
        <w:gridCol w:w="4785"/>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35"/>
              <w:spacing w:before="121"/>
              <w:ind w:left="90" w:right="79"/>
              <w:jc w:val="center"/>
              <w:rPr>
                <w:rFonts w:ascii="Arial Unicode MS" w:eastAsia="Arial Unicode MS"/>
                <w:sz w:val="24"/>
              </w:rPr>
            </w:pPr>
            <w:r>
              <w:rPr>
                <w:rFonts w:hint="eastAsia" w:ascii="Arial Unicode MS" w:eastAsia="Arial Unicode MS"/>
                <w:sz w:val="24"/>
              </w:rPr>
              <w:t>序号</w:t>
            </w:r>
          </w:p>
        </w:tc>
        <w:tc>
          <w:tcPr>
            <w:tcW w:w="1015" w:type="dxa"/>
          </w:tcPr>
          <w:p>
            <w:pPr>
              <w:pStyle w:val="135"/>
              <w:spacing w:before="121"/>
              <w:rPr>
                <w:rFonts w:ascii="Arial Unicode MS" w:eastAsia="Arial Unicode MS"/>
                <w:sz w:val="24"/>
              </w:rPr>
            </w:pPr>
            <w:r>
              <w:rPr>
                <w:rFonts w:hint="eastAsia" w:ascii="Arial Unicode MS" w:eastAsia="Arial Unicode MS"/>
                <w:sz w:val="24"/>
              </w:rPr>
              <w:t>考核内容</w:t>
            </w:r>
          </w:p>
        </w:tc>
        <w:tc>
          <w:tcPr>
            <w:tcW w:w="3375" w:type="dxa"/>
          </w:tcPr>
          <w:p>
            <w:pPr>
              <w:pStyle w:val="135"/>
              <w:spacing w:before="121"/>
              <w:ind w:left="80" w:right="72"/>
              <w:jc w:val="center"/>
              <w:rPr>
                <w:rFonts w:ascii="Arial Unicode MS" w:eastAsia="Arial Unicode MS"/>
                <w:sz w:val="24"/>
              </w:rPr>
            </w:pPr>
            <w:r>
              <w:rPr>
                <w:rFonts w:hint="eastAsia" w:ascii="Arial Unicode MS" w:eastAsia="Arial Unicode MS"/>
                <w:sz w:val="24"/>
              </w:rPr>
              <w:t>管理要求</w:t>
            </w:r>
          </w:p>
        </w:tc>
        <w:tc>
          <w:tcPr>
            <w:tcW w:w="4785" w:type="dxa"/>
          </w:tcPr>
          <w:p>
            <w:pPr>
              <w:pStyle w:val="135"/>
              <w:spacing w:before="121"/>
              <w:ind w:right="2227"/>
              <w:jc w:val="center"/>
              <w:rPr>
                <w:rFonts w:ascii="Arial Unicode MS" w:eastAsia="Arial Unicode MS"/>
                <w:sz w:val="24"/>
              </w:rPr>
            </w:pPr>
            <w:r>
              <w:rPr>
                <w:rFonts w:hint="eastAsia" w:ascii="Arial Unicode MS" w:eastAsia="Arial Unicode MS"/>
                <w:sz w:val="24"/>
              </w:rPr>
              <w:t>评分标准</w:t>
            </w:r>
          </w:p>
        </w:tc>
        <w:tc>
          <w:tcPr>
            <w:tcW w:w="620" w:type="dxa"/>
          </w:tcPr>
          <w:p>
            <w:pPr>
              <w:pStyle w:val="135"/>
              <w:spacing w:before="121"/>
              <w:ind w:left="177" w:right="168"/>
              <w:jc w:val="center"/>
              <w:rPr>
                <w:rFonts w:ascii="Arial Unicode MS" w:eastAsia="Arial Unicode MS"/>
                <w:sz w:val="24"/>
              </w:rPr>
            </w:pPr>
            <w:r>
              <w:rPr>
                <w:rFonts w:hint="eastAsia" w:ascii="Arial Unicode MS" w:eastAsia="Arial Unicode M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700" w:type="dxa"/>
          </w:tcPr>
          <w:p>
            <w:pPr>
              <w:pStyle w:val="135"/>
              <w:rPr>
                <w:rFonts w:ascii="Times New Roman"/>
                <w:sz w:val="24"/>
              </w:rPr>
            </w:pPr>
          </w:p>
          <w:p>
            <w:pPr>
              <w:pStyle w:val="135"/>
              <w:rPr>
                <w:rFonts w:ascii="Times New Roman"/>
                <w:sz w:val="24"/>
              </w:rPr>
            </w:pPr>
          </w:p>
          <w:p>
            <w:pPr>
              <w:pStyle w:val="135"/>
              <w:spacing w:before="168"/>
              <w:ind w:left="90" w:right="79"/>
              <w:jc w:val="center"/>
              <w:rPr>
                <w:sz w:val="24"/>
              </w:rPr>
            </w:pPr>
            <w:r>
              <w:rPr>
                <w:sz w:val="24"/>
              </w:rPr>
              <w:t>24</w:t>
            </w:r>
          </w:p>
        </w:tc>
        <w:tc>
          <w:tcPr>
            <w:tcW w:w="1015" w:type="dxa"/>
            <w:vMerge w:val="restart"/>
          </w:tcPr>
          <w:p>
            <w:pPr>
              <w:pStyle w:val="135"/>
              <w:spacing w:before="120"/>
              <w:ind w:left="106" w:right="-15"/>
              <w:rPr>
                <w:rFonts w:ascii="Arial Unicode MS" w:eastAsia="Arial Unicode MS"/>
                <w:sz w:val="24"/>
              </w:rPr>
            </w:pPr>
            <w:r>
              <w:rPr>
                <w:rFonts w:hint="eastAsia" w:ascii="Arial Unicode MS" w:eastAsia="Arial Unicode MS"/>
                <w:sz w:val="24"/>
              </w:rPr>
              <w:t>维护（12</w:t>
            </w:r>
            <w:r>
              <w:rPr>
                <w:rFonts w:hint="eastAsia" w:ascii="Arial Unicode MS" w:eastAsia="Arial Unicode MS"/>
                <w:spacing w:val="-5"/>
                <w:sz w:val="24"/>
              </w:rPr>
              <w:t xml:space="preserve"> 分</w:t>
            </w:r>
            <w:r>
              <w:rPr>
                <w:rFonts w:hint="eastAsia" w:ascii="Arial Unicode MS" w:eastAsia="Arial Unicode MS"/>
                <w:spacing w:val="-17"/>
                <w:sz w:val="24"/>
              </w:rPr>
              <w:t>）</w:t>
            </w:r>
          </w:p>
        </w:tc>
        <w:tc>
          <w:tcPr>
            <w:tcW w:w="3375" w:type="dxa"/>
          </w:tcPr>
          <w:p>
            <w:pPr>
              <w:pStyle w:val="135"/>
              <w:rPr>
                <w:rFonts w:ascii="Times New Roman"/>
                <w:sz w:val="24"/>
              </w:rPr>
            </w:pPr>
          </w:p>
          <w:p>
            <w:pPr>
              <w:pStyle w:val="135"/>
              <w:rPr>
                <w:rFonts w:ascii="Times New Roman"/>
                <w:sz w:val="24"/>
              </w:rPr>
            </w:pPr>
          </w:p>
          <w:p>
            <w:pPr>
              <w:pStyle w:val="135"/>
              <w:spacing w:before="168"/>
              <w:ind w:left="107"/>
              <w:rPr>
                <w:sz w:val="24"/>
              </w:rPr>
            </w:pPr>
            <w:r>
              <w:rPr>
                <w:sz w:val="24"/>
              </w:rPr>
              <w:t>沿线违法建筑管控</w:t>
            </w:r>
          </w:p>
        </w:tc>
        <w:tc>
          <w:tcPr>
            <w:tcW w:w="4785" w:type="dxa"/>
          </w:tcPr>
          <w:p>
            <w:pPr>
              <w:pStyle w:val="135"/>
              <w:spacing w:before="10"/>
              <w:rPr>
                <w:rFonts w:ascii="Times New Roman"/>
                <w:sz w:val="21"/>
              </w:rPr>
            </w:pPr>
          </w:p>
          <w:p>
            <w:pPr>
              <w:pStyle w:val="135"/>
              <w:spacing w:before="1" w:line="242" w:lineRule="auto"/>
              <w:ind w:left="107" w:right="73"/>
              <w:rPr>
                <w:sz w:val="24"/>
              </w:rPr>
            </w:pPr>
            <w:r>
              <w:rPr>
                <w:spacing w:val="-22"/>
                <w:sz w:val="24"/>
              </w:rPr>
              <w:t>加强日常巡查，绿化带范围内不得新增违法建筑，发现新增问题点位，管理养护单位须及时向当地政府反馈。</w:t>
            </w:r>
            <w:r>
              <w:rPr>
                <w:spacing w:val="-20"/>
                <w:sz w:val="24"/>
              </w:rPr>
              <w:t>如果发现新增问题点位未及时向当地政府反馈的，</w:t>
            </w:r>
            <w:r>
              <w:rPr>
                <w:spacing w:val="-10"/>
                <w:sz w:val="24"/>
              </w:rPr>
              <w:t>1</w:t>
            </w:r>
            <w:r>
              <w:rPr>
                <w:spacing w:val="-36"/>
                <w:sz w:val="24"/>
              </w:rPr>
              <w:t xml:space="preserve"> 处</w:t>
            </w:r>
            <w:r>
              <w:rPr>
                <w:spacing w:val="31"/>
                <w:sz w:val="24"/>
              </w:rPr>
              <w:t>扣</w:t>
            </w:r>
            <w:r>
              <w:rPr>
                <w:sz w:val="24"/>
              </w:rPr>
              <w:t>1</w:t>
            </w:r>
            <w:r>
              <w:rPr>
                <w:spacing w:val="-33"/>
                <w:sz w:val="24"/>
              </w:rPr>
              <w:t xml:space="preserve"> 分。</w:t>
            </w:r>
          </w:p>
        </w:tc>
        <w:tc>
          <w:tcPr>
            <w:tcW w:w="620" w:type="dxa"/>
          </w:tcPr>
          <w:p>
            <w:pPr>
              <w:pStyle w:val="135"/>
              <w:rPr>
                <w:rFonts w:ascii="Times New Roman"/>
                <w:sz w:val="24"/>
              </w:rPr>
            </w:pPr>
          </w:p>
          <w:p>
            <w:pPr>
              <w:pStyle w:val="135"/>
              <w:rPr>
                <w:rFonts w:ascii="Times New Roman"/>
                <w:sz w:val="24"/>
              </w:rPr>
            </w:pPr>
          </w:p>
          <w:p>
            <w:pPr>
              <w:pStyle w:val="135"/>
              <w:spacing w:before="168"/>
              <w:ind w:left="9"/>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0" w:type="dxa"/>
          </w:tcPr>
          <w:p>
            <w:pPr>
              <w:pStyle w:val="135"/>
              <w:spacing w:before="5"/>
              <w:rPr>
                <w:rFonts w:ascii="Times New Roman"/>
                <w:sz w:val="27"/>
              </w:rPr>
            </w:pPr>
          </w:p>
          <w:p>
            <w:pPr>
              <w:pStyle w:val="135"/>
              <w:ind w:left="90" w:right="79"/>
              <w:jc w:val="center"/>
              <w:rPr>
                <w:sz w:val="24"/>
              </w:rPr>
            </w:pPr>
            <w:r>
              <w:rPr>
                <w:sz w:val="24"/>
              </w:rPr>
              <w:t>25</w:t>
            </w:r>
          </w:p>
        </w:tc>
        <w:tc>
          <w:tcPr>
            <w:tcW w:w="1015" w:type="dxa"/>
            <w:vMerge w:val="continue"/>
            <w:tcBorders>
              <w:top w:val="nil"/>
            </w:tcBorders>
          </w:tcPr>
          <w:p>
            <w:pPr>
              <w:rPr>
                <w:sz w:val="2"/>
                <w:szCs w:val="2"/>
              </w:rPr>
            </w:pPr>
          </w:p>
        </w:tc>
        <w:tc>
          <w:tcPr>
            <w:tcW w:w="3375" w:type="dxa"/>
          </w:tcPr>
          <w:p>
            <w:pPr>
              <w:pStyle w:val="135"/>
              <w:spacing w:before="5"/>
              <w:rPr>
                <w:rFonts w:ascii="Times New Roman"/>
                <w:sz w:val="27"/>
              </w:rPr>
            </w:pPr>
          </w:p>
          <w:p>
            <w:pPr>
              <w:pStyle w:val="135"/>
              <w:ind w:left="107"/>
              <w:rPr>
                <w:sz w:val="24"/>
              </w:rPr>
            </w:pPr>
            <w:r>
              <w:rPr>
                <w:sz w:val="24"/>
              </w:rPr>
              <w:t>空间线缆管控</w:t>
            </w:r>
          </w:p>
        </w:tc>
        <w:tc>
          <w:tcPr>
            <w:tcW w:w="4785" w:type="dxa"/>
          </w:tcPr>
          <w:p>
            <w:pPr>
              <w:pStyle w:val="135"/>
              <w:spacing w:before="4" w:line="242" w:lineRule="auto"/>
              <w:ind w:left="107" w:right="75"/>
              <w:rPr>
                <w:sz w:val="24"/>
              </w:rPr>
            </w:pPr>
            <w:r>
              <w:rPr>
                <w:spacing w:val="-22"/>
                <w:sz w:val="24"/>
              </w:rPr>
              <w:t>弱电线缆全部实现下埋，有乱拉电线情况的，及时反馈当地政府；发现乱拉电线线缆，但未及时反馈的，每发</w:t>
            </w:r>
          </w:p>
          <w:p>
            <w:pPr>
              <w:pStyle w:val="135"/>
              <w:spacing w:before="3" w:line="288" w:lineRule="exact"/>
              <w:ind w:left="107"/>
              <w:rPr>
                <w:sz w:val="24"/>
              </w:rPr>
            </w:pPr>
            <w:r>
              <w:rPr>
                <w:sz w:val="24"/>
              </w:rPr>
              <w:t>现1 处扣0.5 分。</w:t>
            </w:r>
          </w:p>
        </w:tc>
        <w:tc>
          <w:tcPr>
            <w:tcW w:w="620" w:type="dxa"/>
          </w:tcPr>
          <w:p>
            <w:pPr>
              <w:pStyle w:val="135"/>
              <w:spacing w:before="5"/>
              <w:rPr>
                <w:rFonts w:ascii="Times New Roman"/>
                <w:sz w:val="27"/>
              </w:rPr>
            </w:pPr>
          </w:p>
          <w:p>
            <w:pPr>
              <w:pStyle w:val="135"/>
              <w:ind w:left="9"/>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0" w:type="dxa"/>
          </w:tcPr>
          <w:p>
            <w:pPr>
              <w:pStyle w:val="135"/>
              <w:spacing w:before="5"/>
              <w:rPr>
                <w:rFonts w:ascii="Times New Roman"/>
                <w:sz w:val="27"/>
              </w:rPr>
            </w:pPr>
          </w:p>
          <w:p>
            <w:pPr>
              <w:pStyle w:val="135"/>
              <w:ind w:left="90" w:right="79"/>
              <w:jc w:val="center"/>
              <w:rPr>
                <w:sz w:val="24"/>
              </w:rPr>
            </w:pPr>
            <w:r>
              <w:rPr>
                <w:sz w:val="24"/>
              </w:rPr>
              <w:t>26</w:t>
            </w:r>
          </w:p>
        </w:tc>
        <w:tc>
          <w:tcPr>
            <w:tcW w:w="1015" w:type="dxa"/>
            <w:vMerge w:val="continue"/>
            <w:tcBorders>
              <w:top w:val="nil"/>
            </w:tcBorders>
          </w:tcPr>
          <w:p>
            <w:pPr>
              <w:rPr>
                <w:sz w:val="2"/>
                <w:szCs w:val="2"/>
              </w:rPr>
            </w:pPr>
          </w:p>
        </w:tc>
        <w:tc>
          <w:tcPr>
            <w:tcW w:w="3375" w:type="dxa"/>
          </w:tcPr>
          <w:p>
            <w:pPr>
              <w:pStyle w:val="135"/>
              <w:spacing w:before="5"/>
              <w:rPr>
                <w:rFonts w:ascii="Times New Roman"/>
                <w:sz w:val="27"/>
              </w:rPr>
            </w:pPr>
          </w:p>
          <w:p>
            <w:pPr>
              <w:pStyle w:val="135"/>
              <w:ind w:left="107"/>
              <w:rPr>
                <w:sz w:val="24"/>
              </w:rPr>
            </w:pPr>
            <w:r>
              <w:rPr>
                <w:sz w:val="24"/>
              </w:rPr>
              <w:t>灯光、桌椅等设施维护及时</w:t>
            </w:r>
          </w:p>
        </w:tc>
        <w:tc>
          <w:tcPr>
            <w:tcW w:w="4785" w:type="dxa"/>
          </w:tcPr>
          <w:p>
            <w:pPr>
              <w:pStyle w:val="135"/>
              <w:spacing w:before="3" w:line="242" w:lineRule="auto"/>
              <w:ind w:left="107" w:right="73"/>
              <w:rPr>
                <w:sz w:val="24"/>
              </w:rPr>
            </w:pPr>
            <w:r>
              <w:rPr>
                <w:spacing w:val="-22"/>
                <w:sz w:val="24"/>
              </w:rPr>
              <w:t>重要节点区域照明设施、座椅、景观小品等设施维护良</w:t>
            </w:r>
            <w:r>
              <w:rPr>
                <w:spacing w:val="-20"/>
                <w:sz w:val="24"/>
              </w:rPr>
              <w:t>好，景墙无破损，无违法广告，每年至少开展</w:t>
            </w:r>
            <w:r>
              <w:rPr>
                <w:sz w:val="24"/>
              </w:rPr>
              <w:t>2</w:t>
            </w:r>
            <w:r>
              <w:rPr>
                <w:spacing w:val="-30"/>
                <w:sz w:val="24"/>
              </w:rPr>
              <w:t xml:space="preserve"> 次全面</w:t>
            </w:r>
          </w:p>
          <w:p>
            <w:pPr>
              <w:pStyle w:val="135"/>
              <w:spacing w:before="3" w:line="288" w:lineRule="exact"/>
              <w:ind w:left="107"/>
              <w:rPr>
                <w:sz w:val="24"/>
              </w:rPr>
            </w:pPr>
            <w:r>
              <w:rPr>
                <w:sz w:val="24"/>
              </w:rPr>
              <w:t>检修。对存在明显问题的，每处扣0.5 分。</w:t>
            </w:r>
          </w:p>
        </w:tc>
        <w:tc>
          <w:tcPr>
            <w:tcW w:w="620" w:type="dxa"/>
          </w:tcPr>
          <w:p>
            <w:pPr>
              <w:pStyle w:val="135"/>
              <w:spacing w:before="5"/>
              <w:rPr>
                <w:rFonts w:ascii="Times New Roman"/>
                <w:sz w:val="27"/>
              </w:rPr>
            </w:pPr>
          </w:p>
          <w:p>
            <w:pPr>
              <w:pStyle w:val="135"/>
              <w:ind w:left="9"/>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0" w:type="dxa"/>
          </w:tcPr>
          <w:p>
            <w:pPr>
              <w:pStyle w:val="135"/>
              <w:spacing w:before="4"/>
              <w:rPr>
                <w:rFonts w:ascii="Times New Roman"/>
                <w:sz w:val="27"/>
              </w:rPr>
            </w:pPr>
          </w:p>
          <w:p>
            <w:pPr>
              <w:pStyle w:val="135"/>
              <w:ind w:left="90" w:right="79"/>
              <w:jc w:val="center"/>
              <w:rPr>
                <w:sz w:val="24"/>
              </w:rPr>
            </w:pPr>
            <w:r>
              <w:rPr>
                <w:sz w:val="24"/>
              </w:rPr>
              <w:t>27</w:t>
            </w:r>
          </w:p>
        </w:tc>
        <w:tc>
          <w:tcPr>
            <w:tcW w:w="1015" w:type="dxa"/>
            <w:vMerge w:val="restart"/>
          </w:tcPr>
          <w:p>
            <w:pPr>
              <w:pStyle w:val="135"/>
              <w:rPr>
                <w:rFonts w:ascii="Times New Roman"/>
                <w:sz w:val="32"/>
              </w:rPr>
            </w:pPr>
          </w:p>
          <w:p>
            <w:pPr>
              <w:pStyle w:val="135"/>
              <w:rPr>
                <w:rFonts w:ascii="Times New Roman"/>
                <w:sz w:val="32"/>
              </w:rPr>
            </w:pPr>
          </w:p>
          <w:p>
            <w:pPr>
              <w:pStyle w:val="135"/>
              <w:spacing w:before="1"/>
              <w:rPr>
                <w:rFonts w:ascii="Times New Roman"/>
                <w:sz w:val="47"/>
              </w:rPr>
            </w:pPr>
          </w:p>
          <w:p>
            <w:pPr>
              <w:pStyle w:val="135"/>
              <w:rPr>
                <w:rFonts w:ascii="Arial Unicode MS" w:eastAsia="Arial Unicode MS"/>
                <w:sz w:val="24"/>
              </w:rPr>
            </w:pPr>
            <w:r>
              <w:rPr>
                <w:rFonts w:hint="eastAsia" w:ascii="Arial Unicode MS" w:eastAsia="Arial Unicode MS"/>
                <w:sz w:val="24"/>
              </w:rPr>
              <w:t>规范管理</w:t>
            </w:r>
          </w:p>
          <w:p>
            <w:pPr>
              <w:pStyle w:val="135"/>
              <w:spacing w:before="206"/>
              <w:ind w:left="358"/>
              <w:rPr>
                <w:rFonts w:ascii="Arial Unicode MS" w:eastAsia="Arial Unicode MS"/>
                <w:sz w:val="24"/>
              </w:rPr>
            </w:pPr>
            <w:r>
              <w:rPr>
                <w:rFonts w:hint="eastAsia" w:ascii="Arial Unicode MS" w:eastAsia="Arial Unicode MS"/>
                <w:sz w:val="24"/>
              </w:rPr>
              <w:t>（8</w:t>
            </w:r>
            <w:r>
              <w:rPr>
                <w:rFonts w:hint="eastAsia" w:ascii="Arial Unicode MS" w:eastAsia="Arial Unicode MS"/>
                <w:spacing w:val="-5"/>
                <w:sz w:val="24"/>
              </w:rPr>
              <w:t xml:space="preserve"> 分</w:t>
            </w:r>
            <w:r>
              <w:rPr>
                <w:rFonts w:hint="eastAsia" w:ascii="Arial Unicode MS" w:eastAsia="Arial Unicode MS"/>
                <w:sz w:val="24"/>
              </w:rPr>
              <w:t>）</w:t>
            </w:r>
          </w:p>
        </w:tc>
        <w:tc>
          <w:tcPr>
            <w:tcW w:w="3375" w:type="dxa"/>
          </w:tcPr>
          <w:p>
            <w:pPr>
              <w:pStyle w:val="135"/>
              <w:spacing w:before="4"/>
              <w:rPr>
                <w:rFonts w:ascii="Times New Roman"/>
                <w:sz w:val="27"/>
              </w:rPr>
            </w:pPr>
          </w:p>
          <w:p>
            <w:pPr>
              <w:pStyle w:val="135"/>
              <w:ind w:left="107"/>
              <w:rPr>
                <w:sz w:val="24"/>
              </w:rPr>
            </w:pPr>
            <w:r>
              <w:rPr>
                <w:sz w:val="24"/>
              </w:rPr>
              <w:t>专业养护管理</w:t>
            </w:r>
          </w:p>
        </w:tc>
        <w:tc>
          <w:tcPr>
            <w:tcW w:w="4785" w:type="dxa"/>
          </w:tcPr>
          <w:p>
            <w:pPr>
              <w:pStyle w:val="135"/>
              <w:spacing w:before="3" w:line="242" w:lineRule="auto"/>
              <w:ind w:left="107" w:right="75"/>
              <w:rPr>
                <w:sz w:val="24"/>
              </w:rPr>
            </w:pPr>
            <w:r>
              <w:rPr>
                <w:spacing w:val="-22"/>
                <w:sz w:val="24"/>
              </w:rPr>
              <w:t>编制可行性管理养护方案，并交属地政府审核；建立长效专业养护队伍，养护措施齐全，对养护不规范，甚至</w:t>
            </w:r>
          </w:p>
          <w:p>
            <w:pPr>
              <w:pStyle w:val="135"/>
              <w:spacing w:before="3" w:line="289" w:lineRule="exact"/>
              <w:ind w:left="107"/>
              <w:rPr>
                <w:sz w:val="24"/>
              </w:rPr>
            </w:pPr>
            <w:r>
              <w:rPr>
                <w:sz w:val="24"/>
              </w:rPr>
              <w:t>懈怠的，扣1-2 分。</w:t>
            </w:r>
          </w:p>
        </w:tc>
        <w:tc>
          <w:tcPr>
            <w:tcW w:w="620" w:type="dxa"/>
          </w:tcPr>
          <w:p>
            <w:pPr>
              <w:pStyle w:val="135"/>
              <w:spacing w:before="4"/>
              <w:rPr>
                <w:rFonts w:ascii="Times New Roman"/>
                <w:sz w:val="27"/>
              </w:rPr>
            </w:pPr>
          </w:p>
          <w:p>
            <w:pPr>
              <w:pStyle w:val="135"/>
              <w:ind w:left="9"/>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00" w:type="dxa"/>
          </w:tcPr>
          <w:p>
            <w:pPr>
              <w:pStyle w:val="135"/>
              <w:spacing w:before="10"/>
              <w:rPr>
                <w:rFonts w:ascii="Times New Roman"/>
                <w:sz w:val="25"/>
              </w:rPr>
            </w:pPr>
          </w:p>
          <w:p>
            <w:pPr>
              <w:pStyle w:val="135"/>
              <w:ind w:left="90" w:right="79"/>
              <w:jc w:val="center"/>
              <w:rPr>
                <w:sz w:val="24"/>
              </w:rPr>
            </w:pPr>
            <w:r>
              <w:rPr>
                <w:sz w:val="24"/>
              </w:rPr>
              <w:t>28</w:t>
            </w:r>
          </w:p>
        </w:tc>
        <w:tc>
          <w:tcPr>
            <w:tcW w:w="1015" w:type="dxa"/>
            <w:vMerge w:val="continue"/>
            <w:tcBorders>
              <w:top w:val="nil"/>
            </w:tcBorders>
          </w:tcPr>
          <w:p>
            <w:pPr>
              <w:rPr>
                <w:sz w:val="2"/>
                <w:szCs w:val="2"/>
              </w:rPr>
            </w:pPr>
          </w:p>
        </w:tc>
        <w:tc>
          <w:tcPr>
            <w:tcW w:w="3375" w:type="dxa"/>
          </w:tcPr>
          <w:p>
            <w:pPr>
              <w:pStyle w:val="135"/>
              <w:spacing w:before="10"/>
              <w:rPr>
                <w:rFonts w:ascii="Times New Roman"/>
                <w:sz w:val="25"/>
              </w:rPr>
            </w:pPr>
          </w:p>
          <w:p>
            <w:pPr>
              <w:pStyle w:val="135"/>
              <w:ind w:left="107"/>
              <w:rPr>
                <w:sz w:val="24"/>
              </w:rPr>
            </w:pPr>
            <w:r>
              <w:rPr>
                <w:sz w:val="24"/>
              </w:rPr>
              <w:t>养护项目管理规范</w:t>
            </w:r>
          </w:p>
        </w:tc>
        <w:tc>
          <w:tcPr>
            <w:tcW w:w="4785" w:type="dxa"/>
          </w:tcPr>
          <w:p>
            <w:pPr>
              <w:pStyle w:val="135"/>
              <w:spacing w:before="142" w:line="242" w:lineRule="auto"/>
              <w:ind w:left="107" w:right="-44"/>
              <w:rPr>
                <w:sz w:val="24"/>
              </w:rPr>
            </w:pPr>
            <w:r>
              <w:rPr>
                <w:spacing w:val="-22"/>
                <w:sz w:val="24"/>
              </w:rPr>
              <w:t>管理养护的台账要收集保存齐全。养护项目管理按规定</w:t>
            </w:r>
            <w:r>
              <w:rPr>
                <w:spacing w:val="-30"/>
                <w:sz w:val="24"/>
              </w:rPr>
              <w:t>执行，管理资金使用规范，对未达到要求的，酌情扣分。</w:t>
            </w:r>
          </w:p>
        </w:tc>
        <w:tc>
          <w:tcPr>
            <w:tcW w:w="620" w:type="dxa"/>
          </w:tcPr>
          <w:p>
            <w:pPr>
              <w:pStyle w:val="135"/>
              <w:spacing w:before="10"/>
              <w:rPr>
                <w:rFonts w:ascii="Times New Roman"/>
                <w:sz w:val="25"/>
              </w:rPr>
            </w:pPr>
          </w:p>
          <w:p>
            <w:pPr>
              <w:pStyle w:val="135"/>
              <w:ind w:left="9"/>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00" w:type="dxa"/>
          </w:tcPr>
          <w:p>
            <w:pPr>
              <w:pStyle w:val="135"/>
              <w:spacing w:before="9"/>
              <w:rPr>
                <w:rFonts w:ascii="Times New Roman"/>
                <w:sz w:val="19"/>
              </w:rPr>
            </w:pPr>
          </w:p>
          <w:p>
            <w:pPr>
              <w:pStyle w:val="135"/>
              <w:ind w:left="90" w:right="79"/>
              <w:jc w:val="center"/>
              <w:rPr>
                <w:sz w:val="24"/>
              </w:rPr>
            </w:pPr>
            <w:r>
              <w:rPr>
                <w:sz w:val="24"/>
              </w:rPr>
              <w:t>29</w:t>
            </w:r>
          </w:p>
        </w:tc>
        <w:tc>
          <w:tcPr>
            <w:tcW w:w="1015" w:type="dxa"/>
            <w:vMerge w:val="continue"/>
            <w:tcBorders>
              <w:top w:val="nil"/>
            </w:tcBorders>
          </w:tcPr>
          <w:p>
            <w:pPr>
              <w:rPr>
                <w:sz w:val="2"/>
                <w:szCs w:val="2"/>
              </w:rPr>
            </w:pPr>
          </w:p>
        </w:tc>
        <w:tc>
          <w:tcPr>
            <w:tcW w:w="3375" w:type="dxa"/>
          </w:tcPr>
          <w:p>
            <w:pPr>
              <w:pStyle w:val="135"/>
              <w:spacing w:before="9"/>
              <w:rPr>
                <w:rFonts w:ascii="Times New Roman"/>
                <w:sz w:val="19"/>
              </w:rPr>
            </w:pPr>
          </w:p>
          <w:p>
            <w:pPr>
              <w:pStyle w:val="135"/>
              <w:ind w:left="107"/>
              <w:rPr>
                <w:sz w:val="24"/>
              </w:rPr>
            </w:pPr>
            <w:r>
              <w:rPr>
                <w:sz w:val="24"/>
              </w:rPr>
              <w:t>安全管理</w:t>
            </w:r>
          </w:p>
        </w:tc>
        <w:tc>
          <w:tcPr>
            <w:tcW w:w="4785" w:type="dxa"/>
          </w:tcPr>
          <w:p>
            <w:pPr>
              <w:pStyle w:val="135"/>
              <w:spacing w:before="72" w:line="242" w:lineRule="auto"/>
              <w:ind w:left="107" w:right="75"/>
              <w:rPr>
                <w:sz w:val="24"/>
              </w:rPr>
            </w:pPr>
            <w:r>
              <w:rPr>
                <w:spacing w:val="-22"/>
                <w:sz w:val="24"/>
              </w:rPr>
              <w:t>采取有效防患措施，确保无安全隐患，若发生安全事故</w:t>
            </w:r>
            <w:r>
              <w:rPr>
                <w:spacing w:val="-20"/>
                <w:sz w:val="24"/>
              </w:rPr>
              <w:t>的，不得分。</w:t>
            </w:r>
          </w:p>
        </w:tc>
        <w:tc>
          <w:tcPr>
            <w:tcW w:w="620" w:type="dxa"/>
          </w:tcPr>
          <w:p>
            <w:pPr>
              <w:pStyle w:val="135"/>
              <w:spacing w:before="9"/>
              <w:rPr>
                <w:rFonts w:ascii="Times New Roman"/>
                <w:sz w:val="19"/>
              </w:rPr>
            </w:pPr>
          </w:p>
          <w:p>
            <w:pPr>
              <w:pStyle w:val="135"/>
              <w:ind w:left="9"/>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0" w:type="dxa"/>
          </w:tcPr>
          <w:p>
            <w:pPr>
              <w:pStyle w:val="135"/>
              <w:spacing w:before="276"/>
              <w:ind w:left="89" w:right="79"/>
              <w:jc w:val="center"/>
              <w:rPr>
                <w:rFonts w:ascii="Arial Unicode MS"/>
                <w:sz w:val="24"/>
              </w:rPr>
            </w:pPr>
            <w:r>
              <w:rPr>
                <w:rFonts w:ascii="Arial Unicode MS"/>
                <w:sz w:val="24"/>
              </w:rPr>
              <w:t>30</w:t>
            </w:r>
          </w:p>
        </w:tc>
        <w:tc>
          <w:tcPr>
            <w:tcW w:w="1015" w:type="dxa"/>
            <w:vMerge w:val="continue"/>
            <w:tcBorders>
              <w:top w:val="nil"/>
            </w:tcBorders>
          </w:tcPr>
          <w:p>
            <w:pPr>
              <w:rPr>
                <w:sz w:val="2"/>
                <w:szCs w:val="2"/>
              </w:rPr>
            </w:pPr>
          </w:p>
        </w:tc>
        <w:tc>
          <w:tcPr>
            <w:tcW w:w="3375" w:type="dxa"/>
          </w:tcPr>
          <w:p>
            <w:pPr>
              <w:pStyle w:val="135"/>
              <w:spacing w:before="4"/>
              <w:rPr>
                <w:rFonts w:ascii="Times New Roman"/>
                <w:sz w:val="27"/>
              </w:rPr>
            </w:pPr>
          </w:p>
          <w:p>
            <w:pPr>
              <w:pStyle w:val="135"/>
              <w:ind w:left="107"/>
              <w:rPr>
                <w:sz w:val="24"/>
              </w:rPr>
            </w:pPr>
            <w:r>
              <w:rPr>
                <w:sz w:val="24"/>
              </w:rPr>
              <w:t>应急处理</w:t>
            </w:r>
          </w:p>
        </w:tc>
        <w:tc>
          <w:tcPr>
            <w:tcW w:w="4785" w:type="dxa"/>
          </w:tcPr>
          <w:p>
            <w:pPr>
              <w:pStyle w:val="135"/>
              <w:spacing w:before="3" w:line="242" w:lineRule="auto"/>
              <w:ind w:left="107" w:right="75"/>
              <w:rPr>
                <w:sz w:val="24"/>
              </w:rPr>
            </w:pPr>
            <w:r>
              <w:rPr>
                <w:spacing w:val="-22"/>
                <w:sz w:val="24"/>
              </w:rPr>
              <w:t>做好防台风、暴雨、大雪等极端天气的应对工作，因措施不及时、不到位，造成景观线绿化及景观设施严重损</w:t>
            </w:r>
          </w:p>
          <w:p>
            <w:pPr>
              <w:pStyle w:val="135"/>
              <w:spacing w:before="2" w:line="287" w:lineRule="exact"/>
              <w:ind w:left="107"/>
              <w:rPr>
                <w:sz w:val="24"/>
              </w:rPr>
            </w:pPr>
            <w:r>
              <w:rPr>
                <w:sz w:val="24"/>
              </w:rPr>
              <w:t>失的，不得分。</w:t>
            </w:r>
          </w:p>
        </w:tc>
        <w:tc>
          <w:tcPr>
            <w:tcW w:w="620" w:type="dxa"/>
          </w:tcPr>
          <w:p>
            <w:pPr>
              <w:pStyle w:val="135"/>
              <w:spacing w:before="4"/>
              <w:rPr>
                <w:rFonts w:ascii="Times New Roman"/>
                <w:sz w:val="27"/>
              </w:rPr>
            </w:pPr>
          </w:p>
          <w:p>
            <w:pPr>
              <w:pStyle w:val="135"/>
              <w:ind w:left="9"/>
              <w:jc w:val="center"/>
              <w:rPr>
                <w:sz w:val="24"/>
              </w:rPr>
            </w:pPr>
            <w:r>
              <w:rPr>
                <w:sz w:val="24"/>
              </w:rPr>
              <w:t>2</w:t>
            </w:r>
          </w:p>
        </w:tc>
      </w:tr>
    </w:tbl>
    <w:p>
      <w:pPr>
        <w:pStyle w:val="2"/>
        <w:ind w:left="0" w:leftChars="0" w:firstLine="0" w:firstLineChars="0"/>
        <w:rPr>
          <w:rFonts w:hAnsi="宋体"/>
          <w:b/>
          <w:bCs/>
          <w:sz w:val="32"/>
          <w:szCs w:val="30"/>
        </w:rPr>
      </w:pPr>
    </w:p>
    <w:tbl>
      <w:tblPr>
        <w:tblStyle w:val="41"/>
        <w:tblpPr w:leftFromText="180" w:rightFromText="180" w:vertAnchor="text" w:horzAnchor="page" w:tblpX="657" w:tblpY="16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30"/>
        <w:gridCol w:w="3345"/>
        <w:gridCol w:w="442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tcPr>
          <w:p>
            <w:pPr>
              <w:pStyle w:val="135"/>
              <w:spacing w:before="121"/>
              <w:ind w:left="90" w:right="79"/>
              <w:jc w:val="center"/>
              <w:rPr>
                <w:rFonts w:ascii="Arial Unicode MS" w:eastAsia="Arial Unicode MS"/>
                <w:sz w:val="24"/>
              </w:rPr>
            </w:pPr>
            <w:r>
              <w:rPr>
                <w:rFonts w:hint="eastAsia" w:ascii="Arial Unicode MS" w:eastAsia="Arial Unicode MS"/>
                <w:sz w:val="24"/>
              </w:rPr>
              <w:t>序号</w:t>
            </w:r>
          </w:p>
        </w:tc>
        <w:tc>
          <w:tcPr>
            <w:tcW w:w="1030" w:type="dxa"/>
          </w:tcPr>
          <w:p>
            <w:pPr>
              <w:pStyle w:val="135"/>
              <w:spacing w:before="121"/>
              <w:ind w:right="304"/>
              <w:jc w:val="center"/>
              <w:rPr>
                <w:rFonts w:ascii="Arial Unicode MS" w:eastAsia="Arial Unicode MS"/>
                <w:sz w:val="24"/>
              </w:rPr>
            </w:pPr>
            <w:r>
              <w:rPr>
                <w:rFonts w:hint="eastAsia" w:ascii="Arial Unicode MS" w:eastAsia="Arial Unicode MS"/>
                <w:sz w:val="24"/>
              </w:rPr>
              <w:t>考核内容</w:t>
            </w:r>
          </w:p>
        </w:tc>
        <w:tc>
          <w:tcPr>
            <w:tcW w:w="3345" w:type="dxa"/>
          </w:tcPr>
          <w:p>
            <w:pPr>
              <w:pStyle w:val="135"/>
              <w:spacing w:before="121"/>
              <w:ind w:left="80" w:right="72"/>
              <w:jc w:val="center"/>
              <w:rPr>
                <w:rFonts w:ascii="Arial Unicode MS" w:eastAsia="Arial Unicode MS"/>
                <w:sz w:val="24"/>
              </w:rPr>
            </w:pPr>
            <w:r>
              <w:rPr>
                <w:rFonts w:hint="eastAsia" w:ascii="Arial Unicode MS" w:eastAsia="Arial Unicode MS"/>
                <w:sz w:val="24"/>
              </w:rPr>
              <w:t>管理要求</w:t>
            </w:r>
          </w:p>
        </w:tc>
        <w:tc>
          <w:tcPr>
            <w:tcW w:w="4428" w:type="dxa"/>
          </w:tcPr>
          <w:p>
            <w:pPr>
              <w:pStyle w:val="135"/>
              <w:spacing w:before="121"/>
              <w:ind w:right="2227"/>
              <w:jc w:val="center"/>
              <w:rPr>
                <w:rFonts w:ascii="Arial Unicode MS" w:eastAsia="Arial Unicode MS"/>
                <w:sz w:val="24"/>
              </w:rPr>
            </w:pPr>
            <w:r>
              <w:rPr>
                <w:rFonts w:hint="eastAsia" w:ascii="Arial Unicode MS" w:eastAsia="Arial Unicode MS"/>
                <w:sz w:val="24"/>
              </w:rPr>
              <w:t>评分标准</w:t>
            </w:r>
          </w:p>
        </w:tc>
        <w:tc>
          <w:tcPr>
            <w:tcW w:w="992" w:type="dxa"/>
          </w:tcPr>
          <w:p>
            <w:pPr>
              <w:pStyle w:val="135"/>
              <w:spacing w:before="121"/>
              <w:ind w:left="177" w:right="168"/>
              <w:jc w:val="center"/>
              <w:rPr>
                <w:rFonts w:ascii="Arial Unicode MS" w:eastAsia="Arial Unicode MS"/>
                <w:sz w:val="24"/>
              </w:rPr>
            </w:pPr>
            <w:r>
              <w:rPr>
                <w:rFonts w:hint="eastAsia" w:ascii="Arial Unicode MS" w:eastAsia="Arial Unicode M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tcPr>
          <w:p>
            <w:pPr>
              <w:pStyle w:val="135"/>
              <w:rPr>
                <w:rFonts w:ascii="Times New Roman"/>
                <w:sz w:val="32"/>
              </w:rPr>
            </w:pPr>
          </w:p>
          <w:p>
            <w:pPr>
              <w:pStyle w:val="135"/>
              <w:spacing w:before="8"/>
              <w:rPr>
                <w:rFonts w:ascii="Times New Roman"/>
                <w:sz w:val="32"/>
              </w:rPr>
            </w:pPr>
          </w:p>
          <w:p>
            <w:pPr>
              <w:pStyle w:val="135"/>
              <w:ind w:left="89" w:right="79"/>
              <w:jc w:val="center"/>
              <w:rPr>
                <w:rFonts w:ascii="Arial Unicode MS"/>
                <w:sz w:val="24"/>
              </w:rPr>
            </w:pPr>
            <w:r>
              <w:rPr>
                <w:rFonts w:ascii="Arial Unicode MS"/>
                <w:sz w:val="24"/>
              </w:rPr>
              <w:t>31</w:t>
            </w:r>
          </w:p>
        </w:tc>
        <w:tc>
          <w:tcPr>
            <w:tcW w:w="1030" w:type="dxa"/>
          </w:tcPr>
          <w:p>
            <w:pPr>
              <w:pStyle w:val="135"/>
              <w:spacing w:before="207"/>
              <w:rPr>
                <w:rFonts w:ascii="Arial Unicode MS" w:eastAsia="Arial Unicode MS"/>
                <w:sz w:val="24"/>
              </w:rPr>
            </w:pPr>
            <w:r>
              <w:rPr>
                <w:rFonts w:hint="eastAsia" w:ascii="Arial Unicode MS" w:eastAsia="Arial Unicode MS"/>
                <w:sz w:val="24"/>
              </w:rPr>
              <w:t>社会影响与监理评介</w:t>
            </w:r>
          </w:p>
          <w:p>
            <w:pPr>
              <w:pStyle w:val="135"/>
              <w:spacing w:before="206"/>
              <w:ind w:left="106"/>
              <w:rPr>
                <w:rFonts w:ascii="Arial Unicode MS" w:eastAsia="Arial Unicode MS"/>
                <w:sz w:val="24"/>
              </w:rPr>
            </w:pPr>
            <w:r>
              <w:rPr>
                <w:rFonts w:hint="eastAsia" w:ascii="Arial Unicode MS" w:eastAsia="Arial Unicode MS"/>
                <w:sz w:val="24"/>
              </w:rPr>
              <w:t>（3 分）</w:t>
            </w:r>
          </w:p>
        </w:tc>
        <w:tc>
          <w:tcPr>
            <w:tcW w:w="3345" w:type="dxa"/>
          </w:tcPr>
          <w:p>
            <w:pPr>
              <w:pStyle w:val="135"/>
              <w:rPr>
                <w:rFonts w:ascii="Times New Roman"/>
                <w:sz w:val="24"/>
              </w:rPr>
            </w:pPr>
          </w:p>
          <w:p>
            <w:pPr>
              <w:pStyle w:val="135"/>
              <w:rPr>
                <w:rFonts w:ascii="Times New Roman"/>
                <w:sz w:val="24"/>
              </w:rPr>
            </w:pPr>
          </w:p>
          <w:p>
            <w:pPr>
              <w:pStyle w:val="135"/>
              <w:rPr>
                <w:rFonts w:ascii="Times New Roman"/>
                <w:sz w:val="20"/>
              </w:rPr>
            </w:pPr>
          </w:p>
          <w:p>
            <w:pPr>
              <w:pStyle w:val="135"/>
              <w:spacing w:before="1"/>
              <w:ind w:left="102" w:right="72"/>
              <w:jc w:val="center"/>
              <w:rPr>
                <w:sz w:val="24"/>
              </w:rPr>
            </w:pPr>
            <w:r>
              <w:rPr>
                <w:spacing w:val="-23"/>
                <w:sz w:val="24"/>
              </w:rPr>
              <w:t>社会公众评价、监理单位信息反馈</w:t>
            </w:r>
          </w:p>
        </w:tc>
        <w:tc>
          <w:tcPr>
            <w:tcW w:w="4428" w:type="dxa"/>
          </w:tcPr>
          <w:p>
            <w:pPr>
              <w:pStyle w:val="135"/>
              <w:rPr>
                <w:rFonts w:ascii="Times New Roman"/>
                <w:sz w:val="24"/>
              </w:rPr>
            </w:pPr>
          </w:p>
          <w:p>
            <w:pPr>
              <w:pStyle w:val="135"/>
              <w:spacing w:before="5"/>
              <w:rPr>
                <w:rFonts w:ascii="Times New Roman"/>
                <w:sz w:val="30"/>
              </w:rPr>
            </w:pPr>
          </w:p>
          <w:p>
            <w:pPr>
              <w:pStyle w:val="135"/>
              <w:spacing w:before="1" w:line="242" w:lineRule="auto"/>
              <w:ind w:left="107" w:right="75"/>
              <w:rPr>
                <w:sz w:val="24"/>
              </w:rPr>
            </w:pPr>
            <w:r>
              <w:rPr>
                <w:spacing w:val="-22"/>
                <w:sz w:val="24"/>
              </w:rPr>
              <w:t>体现经常性管理，接受监理单位监督及群众评议，若有</w:t>
            </w:r>
            <w:r>
              <w:rPr>
                <w:spacing w:val="-21"/>
                <w:sz w:val="24"/>
              </w:rPr>
              <w:t>不良反映与社会舆情的，酌情扣</w:t>
            </w:r>
            <w:r>
              <w:rPr>
                <w:spacing w:val="-7"/>
                <w:sz w:val="24"/>
              </w:rPr>
              <w:t>1-3</w:t>
            </w:r>
            <w:r>
              <w:rPr>
                <w:spacing w:val="-34"/>
                <w:sz w:val="24"/>
              </w:rPr>
              <w:t xml:space="preserve"> 分。</w:t>
            </w:r>
          </w:p>
        </w:tc>
        <w:tc>
          <w:tcPr>
            <w:tcW w:w="992" w:type="dxa"/>
          </w:tcPr>
          <w:p>
            <w:pPr>
              <w:pStyle w:val="135"/>
              <w:rPr>
                <w:rFonts w:ascii="Times New Roman"/>
                <w:sz w:val="24"/>
              </w:rPr>
            </w:pPr>
          </w:p>
          <w:p>
            <w:pPr>
              <w:pStyle w:val="135"/>
              <w:rPr>
                <w:rFonts w:ascii="Times New Roman"/>
                <w:sz w:val="24"/>
              </w:rPr>
            </w:pPr>
          </w:p>
          <w:p>
            <w:pPr>
              <w:pStyle w:val="135"/>
              <w:rPr>
                <w:rFonts w:ascii="Times New Roman"/>
                <w:sz w:val="20"/>
              </w:rPr>
            </w:pPr>
          </w:p>
          <w:p>
            <w:pPr>
              <w:pStyle w:val="135"/>
              <w:spacing w:before="1"/>
              <w:ind w:left="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tcPr>
          <w:p>
            <w:pPr>
              <w:pStyle w:val="135"/>
              <w:spacing w:before="120"/>
              <w:ind w:left="90" w:right="79"/>
              <w:jc w:val="center"/>
              <w:rPr>
                <w:rFonts w:ascii="Arial Unicode MS" w:eastAsia="Arial Unicode MS"/>
                <w:sz w:val="24"/>
              </w:rPr>
            </w:pPr>
            <w:r>
              <w:rPr>
                <w:rFonts w:hint="eastAsia" w:ascii="Arial Unicode MS" w:eastAsia="Arial Unicode MS"/>
                <w:sz w:val="24"/>
              </w:rPr>
              <w:t>合计</w:t>
            </w:r>
          </w:p>
        </w:tc>
        <w:tc>
          <w:tcPr>
            <w:tcW w:w="1030" w:type="dxa"/>
          </w:tcPr>
          <w:p>
            <w:pPr>
              <w:pStyle w:val="135"/>
              <w:spacing w:before="120"/>
              <w:ind w:left="314" w:right="302"/>
              <w:jc w:val="center"/>
              <w:rPr>
                <w:rFonts w:ascii="Arial Unicode MS"/>
                <w:sz w:val="24"/>
              </w:rPr>
            </w:pPr>
            <w:r>
              <w:rPr>
                <w:rFonts w:ascii="Arial Unicode MS"/>
                <w:sz w:val="24"/>
              </w:rPr>
              <w:t>100</w:t>
            </w:r>
          </w:p>
        </w:tc>
        <w:tc>
          <w:tcPr>
            <w:tcW w:w="3345" w:type="dxa"/>
          </w:tcPr>
          <w:p>
            <w:pPr>
              <w:pStyle w:val="135"/>
              <w:rPr>
                <w:rFonts w:ascii="Times New Roman"/>
                <w:sz w:val="24"/>
              </w:rPr>
            </w:pPr>
          </w:p>
        </w:tc>
        <w:tc>
          <w:tcPr>
            <w:tcW w:w="4428" w:type="dxa"/>
          </w:tcPr>
          <w:p>
            <w:pPr>
              <w:pStyle w:val="135"/>
              <w:rPr>
                <w:rFonts w:ascii="Times New Roman"/>
                <w:sz w:val="24"/>
              </w:rPr>
            </w:pPr>
          </w:p>
        </w:tc>
        <w:tc>
          <w:tcPr>
            <w:tcW w:w="992" w:type="dxa"/>
          </w:tcPr>
          <w:p>
            <w:pPr>
              <w:pStyle w:val="135"/>
              <w:spacing w:before="120"/>
              <w:ind w:left="177" w:right="166"/>
              <w:jc w:val="center"/>
              <w:rPr>
                <w:rFonts w:ascii="Arial Unicode MS"/>
                <w:sz w:val="24"/>
              </w:rPr>
            </w:pPr>
            <w:r>
              <w:rPr>
                <w:rFonts w:ascii="Arial Unicode MS"/>
                <w:sz w:val="24"/>
              </w:rPr>
              <w:t>100</w:t>
            </w:r>
          </w:p>
        </w:tc>
      </w:tr>
    </w:tbl>
    <w:p>
      <w:pPr>
        <w:pageBreakBefore/>
        <w:spacing w:line="500" w:lineRule="exact"/>
        <w:jc w:val="center"/>
        <w:rPr>
          <w:rFonts w:ascii="仿宋_GB2312" w:hAnsi="Calibri" w:eastAsia="仿宋_GB2312"/>
          <w:b/>
          <w:szCs w:val="28"/>
        </w:rPr>
      </w:pPr>
      <w:r>
        <w:rPr>
          <w:rFonts w:hint="eastAsia" w:ascii="仿宋_GB2312" w:hAnsi="Calibri" w:eastAsia="仿宋_GB2312"/>
          <w:b/>
          <w:szCs w:val="28"/>
        </w:rPr>
        <w:t>绿地养护管理季度考核情况汇总</w:t>
      </w:r>
    </w:p>
    <w:p>
      <w:pPr>
        <w:spacing w:line="500" w:lineRule="exact"/>
        <w:jc w:val="center"/>
        <w:rPr>
          <w:rFonts w:ascii="仿宋_GB2312" w:hAnsi="Calibri" w:eastAsia="仿宋_GB2312"/>
          <w:b/>
          <w:szCs w:val="28"/>
        </w:rPr>
      </w:pPr>
      <w:r>
        <w:rPr>
          <w:rFonts w:hint="eastAsia" w:ascii="仿宋_GB2312" w:hAnsi="Calibri" w:eastAsia="仿宋_GB2312"/>
          <w:b/>
          <w:szCs w:val="28"/>
        </w:rPr>
        <w:t>（第</w:t>
      </w:r>
      <w:r>
        <w:rPr>
          <w:rFonts w:ascii="仿宋_GB2312" w:hAnsi="Calibri" w:eastAsia="仿宋_GB2312"/>
          <w:b/>
          <w:szCs w:val="28"/>
        </w:rPr>
        <w:t>___</w:t>
      </w:r>
      <w:r>
        <w:rPr>
          <w:rFonts w:hint="eastAsia" w:ascii="仿宋_GB2312" w:hAnsi="Calibri" w:eastAsia="仿宋_GB2312"/>
          <w:b/>
          <w:szCs w:val="28"/>
        </w:rPr>
        <w:t>季）</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Align w:val="center"/>
          </w:tcPr>
          <w:p>
            <w:pPr>
              <w:spacing w:line="500" w:lineRule="exact"/>
              <w:jc w:val="center"/>
              <w:rPr>
                <w:rFonts w:ascii="仿宋_GB2312" w:hAnsi="Calibri" w:eastAsia="仿宋_GB2312"/>
                <w:b/>
                <w:bCs/>
                <w:sz w:val="24"/>
                <w:szCs w:val="22"/>
              </w:rPr>
            </w:pPr>
            <w:r>
              <w:rPr>
                <w:rFonts w:hint="eastAsia" w:ascii="仿宋_GB2312" w:hAnsi="Calibri" w:eastAsia="仿宋_GB2312"/>
                <w:b/>
                <w:bCs/>
                <w:sz w:val="24"/>
                <w:szCs w:val="22"/>
              </w:rPr>
              <w:t>序号</w:t>
            </w:r>
          </w:p>
        </w:tc>
        <w:tc>
          <w:tcPr>
            <w:tcW w:w="2072" w:type="dxa"/>
            <w:vAlign w:val="center"/>
          </w:tcPr>
          <w:p>
            <w:pPr>
              <w:spacing w:line="500" w:lineRule="exact"/>
              <w:jc w:val="center"/>
              <w:rPr>
                <w:rFonts w:ascii="仿宋_GB2312" w:hAnsi="Calibri" w:eastAsia="仿宋_GB2312"/>
                <w:b/>
                <w:bCs/>
                <w:sz w:val="24"/>
                <w:szCs w:val="22"/>
              </w:rPr>
            </w:pPr>
            <w:r>
              <w:rPr>
                <w:rFonts w:hint="eastAsia" w:ascii="仿宋_GB2312" w:hAnsi="Calibri" w:eastAsia="仿宋_GB2312"/>
                <w:b/>
                <w:bCs/>
                <w:sz w:val="24"/>
                <w:szCs w:val="22"/>
              </w:rPr>
              <w:t>类别</w:t>
            </w:r>
          </w:p>
        </w:tc>
        <w:tc>
          <w:tcPr>
            <w:tcW w:w="2464" w:type="dxa"/>
            <w:vAlign w:val="center"/>
          </w:tcPr>
          <w:p>
            <w:pPr>
              <w:spacing w:line="500" w:lineRule="exact"/>
              <w:jc w:val="center"/>
              <w:rPr>
                <w:rFonts w:ascii="仿宋_GB2312" w:hAnsi="Calibri" w:eastAsia="仿宋_GB2312"/>
                <w:b/>
                <w:bCs/>
                <w:sz w:val="24"/>
                <w:szCs w:val="22"/>
              </w:rPr>
            </w:pPr>
            <w:r>
              <w:rPr>
                <w:rFonts w:hint="eastAsia" w:ascii="仿宋_GB2312" w:hAnsi="Calibri" w:eastAsia="仿宋_GB2312"/>
                <w:b/>
                <w:bCs/>
                <w:sz w:val="24"/>
                <w:szCs w:val="22"/>
              </w:rPr>
              <w:t>考核时间</w:t>
            </w:r>
          </w:p>
        </w:tc>
        <w:tc>
          <w:tcPr>
            <w:tcW w:w="1984" w:type="dxa"/>
            <w:vAlign w:val="center"/>
          </w:tcPr>
          <w:p>
            <w:pPr>
              <w:spacing w:line="500" w:lineRule="exact"/>
              <w:jc w:val="center"/>
              <w:rPr>
                <w:rFonts w:ascii="仿宋_GB2312" w:hAnsi="Calibri" w:eastAsia="仿宋_GB2312"/>
                <w:b/>
                <w:bCs/>
                <w:sz w:val="24"/>
                <w:szCs w:val="22"/>
              </w:rPr>
            </w:pPr>
            <w:r>
              <w:rPr>
                <w:rFonts w:hint="eastAsia" w:ascii="仿宋_GB2312" w:hAnsi="Calibri" w:eastAsia="仿宋_GB2312"/>
                <w:b/>
                <w:bCs/>
                <w:sz w:val="24"/>
                <w:szCs w:val="22"/>
              </w:rPr>
              <w:t>实得分</w:t>
            </w:r>
          </w:p>
        </w:tc>
        <w:tc>
          <w:tcPr>
            <w:tcW w:w="1276" w:type="dxa"/>
            <w:vAlign w:val="center"/>
          </w:tcPr>
          <w:p>
            <w:pPr>
              <w:spacing w:line="500" w:lineRule="exact"/>
              <w:jc w:val="center"/>
              <w:rPr>
                <w:rFonts w:ascii="仿宋_GB2312" w:hAnsi="Calibri" w:eastAsia="仿宋_GB2312"/>
                <w:b/>
                <w:bCs/>
                <w:sz w:val="24"/>
                <w:szCs w:val="22"/>
              </w:rPr>
            </w:pPr>
            <w:r>
              <w:rPr>
                <w:rFonts w:hint="eastAsia" w:ascii="仿宋_GB2312" w:hAnsi="Calibri" w:eastAsia="仿宋_GB2312"/>
                <w:b/>
                <w:bCs/>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vAlign w:val="center"/>
          </w:tcPr>
          <w:p>
            <w:pPr>
              <w:spacing w:line="500" w:lineRule="exact"/>
              <w:jc w:val="center"/>
              <w:rPr>
                <w:rFonts w:ascii="仿宋_GB2312" w:hAnsi="Calibri" w:eastAsia="仿宋_GB2312"/>
                <w:b/>
                <w:sz w:val="24"/>
              </w:rPr>
            </w:pPr>
            <w:r>
              <w:rPr>
                <w:rFonts w:hint="eastAsia" w:ascii="仿宋_GB2312" w:hAnsi="Calibri" w:eastAsia="仿宋_GB2312"/>
                <w:b/>
                <w:sz w:val="24"/>
              </w:rPr>
              <w:t>一</w:t>
            </w:r>
          </w:p>
        </w:tc>
        <w:tc>
          <w:tcPr>
            <w:tcW w:w="2072" w:type="dxa"/>
            <w:vMerge w:val="restart"/>
            <w:vAlign w:val="center"/>
          </w:tcPr>
          <w:p>
            <w:pPr>
              <w:spacing w:line="500" w:lineRule="exact"/>
              <w:jc w:val="center"/>
              <w:rPr>
                <w:rFonts w:ascii="仿宋_GB2312" w:hAnsi="Calibri" w:eastAsia="仿宋_GB2312"/>
                <w:b/>
                <w:sz w:val="24"/>
              </w:rPr>
            </w:pPr>
            <w:r>
              <w:rPr>
                <w:rFonts w:hint="eastAsia" w:ascii="仿宋_GB2312" w:hAnsi="Calibri" w:eastAsia="仿宋_GB2312"/>
                <w:b/>
                <w:sz w:val="24"/>
              </w:rPr>
              <w:t>月考核</w:t>
            </w:r>
          </w:p>
        </w:tc>
        <w:tc>
          <w:tcPr>
            <w:tcW w:w="2464" w:type="dxa"/>
            <w:vAlign w:val="center"/>
          </w:tcPr>
          <w:p>
            <w:pPr>
              <w:spacing w:line="500" w:lineRule="exact"/>
              <w:jc w:val="center"/>
              <w:rPr>
                <w:rFonts w:ascii="仿宋_GB2312" w:hAnsi="Calibri" w:eastAsia="仿宋_GB2312"/>
                <w:sz w:val="24"/>
              </w:rPr>
            </w:pPr>
          </w:p>
        </w:tc>
        <w:tc>
          <w:tcPr>
            <w:tcW w:w="1984" w:type="dxa"/>
            <w:vAlign w:val="center"/>
          </w:tcPr>
          <w:p>
            <w:pPr>
              <w:spacing w:line="500" w:lineRule="exact"/>
              <w:jc w:val="center"/>
              <w:rPr>
                <w:rFonts w:ascii="仿宋_GB2312" w:hAnsi="Calibri" w:eastAsia="仿宋_GB2312"/>
                <w:sz w:val="24"/>
              </w:rPr>
            </w:pPr>
          </w:p>
        </w:tc>
        <w:tc>
          <w:tcPr>
            <w:tcW w:w="1276" w:type="dxa"/>
            <w:vAlign w:val="center"/>
          </w:tcPr>
          <w:p>
            <w:pPr>
              <w:spacing w:line="500" w:lineRule="exact"/>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vAlign w:val="center"/>
          </w:tcPr>
          <w:p>
            <w:pPr>
              <w:spacing w:line="500" w:lineRule="exact"/>
              <w:jc w:val="center"/>
              <w:rPr>
                <w:rFonts w:ascii="仿宋_GB2312" w:hAnsi="Calibri" w:eastAsia="仿宋_GB2312"/>
                <w:b/>
                <w:sz w:val="24"/>
              </w:rPr>
            </w:pPr>
          </w:p>
        </w:tc>
        <w:tc>
          <w:tcPr>
            <w:tcW w:w="2072" w:type="dxa"/>
            <w:vMerge w:val="continue"/>
            <w:vAlign w:val="center"/>
          </w:tcPr>
          <w:p>
            <w:pPr>
              <w:spacing w:line="500" w:lineRule="exact"/>
              <w:jc w:val="center"/>
              <w:rPr>
                <w:rFonts w:ascii="仿宋_GB2312" w:hAnsi="Calibri" w:eastAsia="仿宋_GB2312"/>
                <w:sz w:val="24"/>
              </w:rPr>
            </w:pPr>
          </w:p>
        </w:tc>
        <w:tc>
          <w:tcPr>
            <w:tcW w:w="2464" w:type="dxa"/>
            <w:vAlign w:val="center"/>
          </w:tcPr>
          <w:p>
            <w:pPr>
              <w:spacing w:line="500" w:lineRule="exact"/>
              <w:jc w:val="center"/>
              <w:rPr>
                <w:rFonts w:ascii="仿宋_GB2312" w:hAnsi="Calibri" w:eastAsia="仿宋_GB2312"/>
                <w:sz w:val="24"/>
              </w:rPr>
            </w:pPr>
          </w:p>
        </w:tc>
        <w:tc>
          <w:tcPr>
            <w:tcW w:w="1984" w:type="dxa"/>
            <w:vAlign w:val="center"/>
          </w:tcPr>
          <w:p>
            <w:pPr>
              <w:spacing w:line="500" w:lineRule="exact"/>
              <w:jc w:val="center"/>
              <w:rPr>
                <w:rFonts w:ascii="仿宋_GB2312" w:hAnsi="Calibri" w:eastAsia="仿宋_GB2312"/>
                <w:sz w:val="24"/>
              </w:rPr>
            </w:pPr>
          </w:p>
        </w:tc>
        <w:tc>
          <w:tcPr>
            <w:tcW w:w="1276" w:type="dxa"/>
            <w:vAlign w:val="center"/>
          </w:tcPr>
          <w:p>
            <w:pPr>
              <w:spacing w:line="500" w:lineRule="exact"/>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vAlign w:val="center"/>
          </w:tcPr>
          <w:p>
            <w:pPr>
              <w:spacing w:line="500" w:lineRule="exact"/>
              <w:jc w:val="center"/>
              <w:rPr>
                <w:rFonts w:ascii="仿宋_GB2312" w:hAnsi="Calibri" w:eastAsia="仿宋_GB2312"/>
                <w:b/>
                <w:sz w:val="24"/>
              </w:rPr>
            </w:pPr>
          </w:p>
        </w:tc>
        <w:tc>
          <w:tcPr>
            <w:tcW w:w="2072" w:type="dxa"/>
            <w:vMerge w:val="continue"/>
            <w:vAlign w:val="center"/>
          </w:tcPr>
          <w:p>
            <w:pPr>
              <w:spacing w:line="500" w:lineRule="exact"/>
              <w:jc w:val="center"/>
              <w:rPr>
                <w:rFonts w:ascii="仿宋_GB2312" w:hAnsi="Calibri" w:eastAsia="仿宋_GB2312"/>
                <w:sz w:val="24"/>
              </w:rPr>
            </w:pPr>
          </w:p>
        </w:tc>
        <w:tc>
          <w:tcPr>
            <w:tcW w:w="2464" w:type="dxa"/>
            <w:vAlign w:val="center"/>
          </w:tcPr>
          <w:p>
            <w:pPr>
              <w:spacing w:line="500" w:lineRule="exact"/>
              <w:jc w:val="center"/>
              <w:rPr>
                <w:rFonts w:ascii="仿宋_GB2312" w:hAnsi="Calibri" w:eastAsia="仿宋_GB2312"/>
                <w:sz w:val="24"/>
              </w:rPr>
            </w:pPr>
          </w:p>
        </w:tc>
        <w:tc>
          <w:tcPr>
            <w:tcW w:w="1984" w:type="dxa"/>
            <w:vAlign w:val="center"/>
          </w:tcPr>
          <w:p>
            <w:pPr>
              <w:spacing w:line="500" w:lineRule="exact"/>
              <w:jc w:val="center"/>
              <w:rPr>
                <w:rFonts w:ascii="仿宋_GB2312" w:hAnsi="Calibri" w:eastAsia="仿宋_GB2312"/>
                <w:sz w:val="24"/>
              </w:rPr>
            </w:pPr>
          </w:p>
        </w:tc>
        <w:tc>
          <w:tcPr>
            <w:tcW w:w="1276" w:type="dxa"/>
            <w:vAlign w:val="center"/>
          </w:tcPr>
          <w:p>
            <w:pPr>
              <w:spacing w:line="500" w:lineRule="exact"/>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Align w:val="center"/>
          </w:tcPr>
          <w:p>
            <w:pPr>
              <w:spacing w:line="500" w:lineRule="exact"/>
              <w:jc w:val="center"/>
              <w:rPr>
                <w:rFonts w:ascii="仿宋_GB2312" w:hAnsi="Calibri" w:eastAsia="仿宋_GB2312"/>
                <w:b/>
                <w:sz w:val="24"/>
              </w:rPr>
            </w:pPr>
            <w:r>
              <w:rPr>
                <w:rFonts w:hint="eastAsia" w:ascii="仿宋_GB2312" w:hAnsi="Calibri" w:eastAsia="仿宋_GB2312"/>
                <w:b/>
                <w:sz w:val="24"/>
              </w:rPr>
              <w:t>二</w:t>
            </w:r>
          </w:p>
        </w:tc>
        <w:tc>
          <w:tcPr>
            <w:tcW w:w="2072" w:type="dxa"/>
            <w:vAlign w:val="center"/>
          </w:tcPr>
          <w:p>
            <w:pPr>
              <w:spacing w:line="500" w:lineRule="exact"/>
              <w:jc w:val="center"/>
              <w:rPr>
                <w:rFonts w:ascii="仿宋_GB2312" w:hAnsi="Calibri" w:eastAsia="仿宋_GB2312"/>
                <w:sz w:val="24"/>
              </w:rPr>
            </w:pPr>
            <w:r>
              <w:rPr>
                <w:rFonts w:hint="eastAsia" w:ascii="仿宋_GB2312" w:hAnsi="Calibri" w:eastAsia="仿宋_GB2312"/>
                <w:b/>
                <w:sz w:val="24"/>
              </w:rPr>
              <w:t>季度平均考核分</w:t>
            </w:r>
          </w:p>
        </w:tc>
        <w:tc>
          <w:tcPr>
            <w:tcW w:w="5724" w:type="dxa"/>
            <w:gridSpan w:val="3"/>
            <w:vAlign w:val="center"/>
          </w:tcPr>
          <w:p>
            <w:pPr>
              <w:spacing w:line="500" w:lineRule="exact"/>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vAlign w:val="center"/>
          </w:tcPr>
          <w:p>
            <w:pPr>
              <w:spacing w:line="500" w:lineRule="exact"/>
              <w:jc w:val="center"/>
              <w:rPr>
                <w:rFonts w:ascii="仿宋_GB2312" w:hAnsi="Calibri" w:eastAsia="仿宋_GB2312"/>
                <w:b/>
                <w:sz w:val="24"/>
              </w:rPr>
            </w:pPr>
            <w:r>
              <w:rPr>
                <w:rFonts w:hint="eastAsia" w:ascii="仿宋_GB2312" w:hAnsi="Calibri" w:eastAsia="仿宋_GB2312"/>
                <w:b/>
                <w:sz w:val="24"/>
              </w:rPr>
              <w:t>三</w:t>
            </w:r>
          </w:p>
        </w:tc>
        <w:tc>
          <w:tcPr>
            <w:tcW w:w="2072" w:type="dxa"/>
            <w:vAlign w:val="center"/>
          </w:tcPr>
          <w:p>
            <w:pPr>
              <w:spacing w:line="500" w:lineRule="exact"/>
              <w:jc w:val="center"/>
              <w:rPr>
                <w:rFonts w:ascii="仿宋_GB2312" w:hAnsi="Calibri" w:eastAsia="仿宋_GB2312"/>
                <w:b/>
                <w:sz w:val="24"/>
              </w:rPr>
            </w:pPr>
            <w:r>
              <w:rPr>
                <w:rFonts w:hint="eastAsia" w:ascii="仿宋_GB2312" w:hAnsi="Calibri" w:eastAsia="仿宋_GB2312"/>
                <w:b/>
                <w:sz w:val="24"/>
              </w:rPr>
              <w:t>直接扣款项</w:t>
            </w:r>
          </w:p>
        </w:tc>
        <w:tc>
          <w:tcPr>
            <w:tcW w:w="5724" w:type="dxa"/>
            <w:gridSpan w:val="3"/>
            <w:vAlign w:val="center"/>
          </w:tcPr>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tc>
      </w:tr>
    </w:tbl>
    <w:p/>
    <w:p>
      <w:pPr>
        <w:pStyle w:val="21"/>
        <w:ind w:firstLine="0" w:firstLineChars="0"/>
        <w:rPr>
          <w:rFonts w:ascii="宋体" w:hAnsi="宋体" w:cs="宋体"/>
          <w:sz w:val="24"/>
          <w:szCs w:val="24"/>
        </w:rPr>
      </w:pPr>
    </w:p>
    <w:p>
      <w:pPr>
        <w:spacing w:line="360" w:lineRule="auto"/>
        <w:jc w:val="center"/>
        <w:outlineLvl w:val="0"/>
        <w:rPr>
          <w:rFonts w:ascii="宋体" w:hAnsi="宋体" w:cs="宋体"/>
          <w:b/>
          <w:sz w:val="44"/>
          <w:szCs w:val="44"/>
        </w:rPr>
      </w:pPr>
      <w:bookmarkStart w:id="9" w:name="_Toc23238"/>
    </w:p>
    <w:p>
      <w:pPr>
        <w:spacing w:line="360" w:lineRule="auto"/>
        <w:jc w:val="center"/>
        <w:outlineLvl w:val="0"/>
        <w:rPr>
          <w:rFonts w:ascii="宋体" w:hAnsi="宋体" w:cs="宋体"/>
          <w:b/>
          <w:sz w:val="44"/>
          <w:szCs w:val="44"/>
        </w:rPr>
      </w:pPr>
    </w:p>
    <w:p>
      <w:pPr>
        <w:spacing w:line="360" w:lineRule="auto"/>
        <w:jc w:val="center"/>
        <w:outlineLvl w:val="0"/>
        <w:rPr>
          <w:rFonts w:ascii="宋体" w:hAnsi="宋体" w:cs="宋体"/>
          <w:b/>
          <w:sz w:val="44"/>
          <w:szCs w:val="44"/>
        </w:rPr>
      </w:pPr>
    </w:p>
    <w:p>
      <w:pPr>
        <w:spacing w:line="360" w:lineRule="auto"/>
        <w:jc w:val="center"/>
        <w:outlineLvl w:val="0"/>
        <w:rPr>
          <w:rFonts w:ascii="宋体" w:hAnsi="宋体" w:cs="宋体"/>
          <w:b/>
          <w:sz w:val="44"/>
          <w:szCs w:val="44"/>
        </w:rPr>
      </w:pPr>
    </w:p>
    <w:p>
      <w:pPr>
        <w:spacing w:line="360" w:lineRule="auto"/>
        <w:jc w:val="center"/>
        <w:outlineLvl w:val="0"/>
        <w:rPr>
          <w:rFonts w:ascii="宋体" w:hAnsi="宋体" w:cs="宋体"/>
          <w:b/>
          <w:sz w:val="44"/>
          <w:szCs w:val="44"/>
        </w:rPr>
      </w:pPr>
    </w:p>
    <w:p>
      <w:pPr>
        <w:spacing w:line="360" w:lineRule="auto"/>
        <w:jc w:val="center"/>
        <w:outlineLvl w:val="0"/>
        <w:rPr>
          <w:rFonts w:ascii="宋体" w:hAnsi="宋体" w:cs="宋体"/>
          <w:b/>
          <w:sz w:val="44"/>
          <w:szCs w:val="44"/>
        </w:rPr>
      </w:pPr>
      <w:r>
        <w:rPr>
          <w:rFonts w:hint="eastAsia" w:ascii="宋体" w:hAnsi="宋体" w:cs="宋体"/>
          <w:b/>
          <w:sz w:val="44"/>
          <w:szCs w:val="44"/>
        </w:rPr>
        <w:t>第三章  投标人须知</w:t>
      </w:r>
      <w:bookmarkEnd w:id="9"/>
    </w:p>
    <w:p>
      <w:pPr>
        <w:spacing w:line="360" w:lineRule="auto"/>
        <w:jc w:val="center"/>
        <w:rPr>
          <w:rFonts w:ascii="宋体" w:hAnsi="宋体" w:cs="宋体"/>
          <w:b/>
          <w:szCs w:val="28"/>
        </w:rPr>
      </w:pPr>
      <w:r>
        <w:rPr>
          <w:rFonts w:hint="eastAsia" w:ascii="宋体" w:hAnsi="宋体" w:cs="宋体"/>
          <w:b/>
          <w:szCs w:val="28"/>
        </w:rPr>
        <w:t>前附表</w:t>
      </w:r>
    </w:p>
    <w:tbl>
      <w:tblPr>
        <w:tblStyle w:val="41"/>
        <w:tblW w:w="98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1"/>
        <w:gridCol w:w="1759"/>
        <w:gridCol w:w="7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序号</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b/>
                <w:bCs/>
                <w:sz w:val="24"/>
              </w:rPr>
              <w:t>项 目</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1</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项目名称</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湖州南浔城投城市建设集团有限公司年度（2021-2022）乡镇道路绿化养护工程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项目编号</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 w:val="24"/>
              </w:rPr>
            </w:pPr>
            <w:r>
              <w:rPr>
                <w:rFonts w:hint="eastAsia" w:ascii="宋体" w:hAnsi="宋体" w:cs="宋体"/>
                <w:b/>
                <w:bCs/>
                <w:sz w:val="24"/>
              </w:rPr>
              <w:t>招标文件编号：</w:t>
            </w:r>
            <w:r>
              <w:rPr>
                <w:rFonts w:hint="eastAsia" w:ascii="宋体" w:hAnsi="宋体" w:cs="宋体"/>
                <w:sz w:val="24"/>
              </w:rPr>
              <w:t>ZJJY2021-114；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3</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管护内容</w:t>
            </w:r>
          </w:p>
        </w:tc>
        <w:tc>
          <w:tcPr>
            <w:tcW w:w="7628"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0" w:leftChars="0" w:firstLine="0" w:firstLineChars="0"/>
              <w:rPr>
                <w:rFonts w:hAnsi="宋体" w:cs="宋体"/>
                <w:sz w:val="24"/>
              </w:rPr>
            </w:pPr>
            <w:r>
              <w:rPr>
                <w:rFonts w:hint="eastAsia" w:hAnsi="宋体" w:cs="宋体"/>
                <w:kern w:val="2"/>
                <w:sz w:val="24"/>
                <w:szCs w:val="24"/>
              </w:rPr>
              <w:t>①绿化养护，景观线绿化带除草、病虫害防治、水肥管理、苗木补植等项目的管护；②环境卫生保洁, 绿化带环境卫生保洁，绿化带边坡清理；③设施维护, 绿道、平侧石、灯光设施、座椅、公交驿站、旅游驿站、旅游标识、停车场、 景观节点等设施管理维修（包括材料）；④排水系统日常维护， 明沟、暗沟、沟盖板、排水井等维护；（包括附属设施及材料）⑤其它绿化带范围内的建筑设施等。管护范围不包括主干路的路基、路面的养护。</w:t>
            </w:r>
            <w:r>
              <w:rPr>
                <w:rFonts w:hint="eastAsia" w:hAnsi="宋体" w:cs="宋体"/>
                <w:kern w:val="2"/>
                <w:sz w:val="24"/>
                <w:szCs w:val="24"/>
                <w:lang w:val="zh-CN"/>
              </w:rPr>
              <w:t>（</w:t>
            </w:r>
            <w:r>
              <w:rPr>
                <w:rFonts w:hint="eastAsia" w:hAnsi="宋体" w:cs="宋体"/>
                <w:sz w:val="24"/>
              </w:rPr>
              <w:t>具体详见第二章）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4</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投标报价及费用</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1、本项目投标应以人民币报价；2、不论投标结果如何，投标人均应自行承担所有与投标有关的全部费用。</w:t>
            </w:r>
            <w:r>
              <w:rPr>
                <w:rFonts w:hint="eastAsia" w:ascii="宋体" w:hAnsi="宋体" w:cs="宋体"/>
                <w:b/>
                <w:sz w:val="24"/>
              </w:rPr>
              <w:t>3、本项目招标代理服务费计取标准如下：每个标段按5000元计取。代理费由各标段中标单位在领取中标通知书前一次性向招标代理机构支付完成。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5</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b/>
                <w:bCs/>
                <w:sz w:val="24"/>
              </w:rPr>
              <w:t>答疑与澄清</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供应商对磋商文件有异议的，应当在2021年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下午17：00前以书面方式通过电子邮件（邮箱：383027718@qq.com）一次性提出。如果确需澄清和修改，采购人、代理机构将在规定的时间内统一进行澄清和修改，并以书面方式通过电子邮件通知所有认购磋商文件的供应商。供应商未按规定要求提出或者未在法定时间内对磋商文件提出质疑的，则视同认可磋商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sz w:val="24"/>
              </w:rPr>
            </w:pPr>
            <w:r>
              <w:rPr>
                <w:rFonts w:hint="eastAsia" w:ascii="宋体" w:hAnsi="宋体"/>
                <w:b/>
                <w:bCs/>
                <w:sz w:val="24"/>
              </w:rPr>
              <w:t>采购预算</w:t>
            </w:r>
          </w:p>
        </w:tc>
        <w:tc>
          <w:tcPr>
            <w:tcW w:w="7628"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firstLine="0"/>
              <w:rPr>
                <w:rFonts w:hAnsi="宋体"/>
                <w:b/>
                <w:bCs/>
                <w:sz w:val="24"/>
              </w:rPr>
            </w:pPr>
            <w:r>
              <w:rPr>
                <w:rFonts w:hint="eastAsia" w:hAnsi="宋体"/>
                <w:b/>
                <w:bCs/>
                <w:sz w:val="24"/>
              </w:rPr>
              <w:t>单价最高限价：5元/平方米，</w:t>
            </w:r>
            <w:r>
              <w:rPr>
                <w:rFonts w:hint="eastAsia" w:hAnsi="宋体" w:cs="宋体"/>
                <w:b/>
                <w:kern w:val="2"/>
                <w:sz w:val="24"/>
                <w:szCs w:val="24"/>
                <w:lang w:val="zh-CN"/>
              </w:rPr>
              <w:t>各标段养护费用按单价</w:t>
            </w:r>
            <w:r>
              <w:rPr>
                <w:rFonts w:hint="eastAsia" w:hAnsi="宋体" w:cs="宋体"/>
                <w:b/>
                <w:kern w:val="2"/>
                <w:sz w:val="24"/>
                <w:szCs w:val="24"/>
              </w:rPr>
              <w:t>×面积结算（具体按实结算）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sz w:val="24"/>
                <w:u w:val="single"/>
              </w:rPr>
            </w:pPr>
            <w:r>
              <w:rPr>
                <w:rFonts w:hint="eastAsia" w:ascii="宋体" w:hAnsi="宋体"/>
                <w:b/>
                <w:bCs/>
                <w:sz w:val="24"/>
              </w:rPr>
              <w:t>投标文件的组成</w:t>
            </w:r>
          </w:p>
        </w:tc>
        <w:tc>
          <w:tcPr>
            <w:tcW w:w="7628"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rPr>
                <w:rFonts w:ascii="宋体" w:hAnsi="宋体"/>
                <w:b/>
                <w:bCs/>
                <w:sz w:val="24"/>
              </w:rPr>
            </w:pPr>
            <w:r>
              <w:rPr>
                <w:rFonts w:hint="eastAsia" w:ascii="宋体" w:hAnsi="宋体" w:cs="宋体"/>
                <w:sz w:val="24"/>
              </w:rPr>
              <w:t>投标文件组成：投标文件组成：“资格文件”、“技术、商务、资信及其他文件”和“报价文件”正本各1份，副本各2份；（资格文件、报价文件必须单独装订、密封，其余的技术、商务、资信及其他文件装订在成一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8</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Cs/>
                <w:sz w:val="24"/>
              </w:rPr>
            </w:pPr>
            <w:r>
              <w:rPr>
                <w:rFonts w:hint="eastAsia" w:ascii="宋体" w:hAnsi="宋体" w:cs="宋体"/>
                <w:b/>
                <w:sz w:val="24"/>
              </w:rPr>
              <w:t>投标文件递交</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10" w:lineRule="exact"/>
              <w:rPr>
                <w:rFonts w:ascii="宋体" w:hAnsi="宋体" w:cs="宋体"/>
                <w:sz w:val="24"/>
              </w:rPr>
            </w:pPr>
            <w:r>
              <w:rPr>
                <w:rFonts w:hint="eastAsia" w:ascii="宋体" w:hAnsi="宋体" w:cs="宋体"/>
                <w:sz w:val="24"/>
              </w:rPr>
              <w:t>投标截止时间：2021年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日下午14：00：00 （北京时间）</w:t>
            </w:r>
          </w:p>
          <w:p>
            <w:pPr>
              <w:snapToGrid w:val="0"/>
              <w:spacing w:line="310" w:lineRule="exact"/>
              <w:rPr>
                <w:rFonts w:ascii="宋体" w:hAnsi="宋体" w:cs="宋体"/>
                <w:sz w:val="24"/>
              </w:rPr>
            </w:pPr>
            <w:r>
              <w:rPr>
                <w:rFonts w:hint="eastAsia" w:ascii="宋体" w:hAnsi="宋体" w:cs="宋体"/>
                <w:sz w:val="24"/>
              </w:rPr>
              <w:t>投标文件递交地点：湖州南浔城投城市建设集团有限公司会议室（浙江省南浔镇朝阳路88号）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rPr>
            </w:pPr>
            <w:r>
              <w:rPr>
                <w:rFonts w:hint="eastAsia" w:ascii="宋体" w:hAnsi="宋体"/>
                <w:sz w:val="24"/>
              </w:rPr>
              <w:t>9</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rPr>
            </w:pPr>
            <w:r>
              <w:rPr>
                <w:rFonts w:hint="eastAsia" w:ascii="宋体" w:hAnsi="宋体" w:cs="宋体"/>
                <w:b/>
                <w:sz w:val="24"/>
              </w:rPr>
              <w:t>开标时间（投标截止时间）、地点</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10" w:lineRule="exact"/>
              <w:rPr>
                <w:rFonts w:ascii="宋体" w:hAnsi="宋体" w:cs="宋体"/>
                <w:sz w:val="24"/>
              </w:rPr>
            </w:pPr>
            <w:r>
              <w:rPr>
                <w:rFonts w:hint="eastAsia" w:ascii="宋体" w:hAnsi="宋体" w:cs="宋体"/>
                <w:sz w:val="24"/>
              </w:rPr>
              <w:t>开标时间：2021年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日下午14：00：00 （北京时间）</w:t>
            </w:r>
          </w:p>
          <w:p>
            <w:pPr>
              <w:snapToGrid w:val="0"/>
              <w:spacing w:line="310" w:lineRule="exact"/>
              <w:rPr>
                <w:rFonts w:ascii="宋体" w:hAnsi="宋体" w:cs="宋体"/>
                <w:sz w:val="24"/>
              </w:rPr>
            </w:pPr>
            <w:r>
              <w:rPr>
                <w:rFonts w:hint="eastAsia" w:ascii="宋体" w:hAnsi="宋体" w:cs="宋体"/>
                <w:sz w:val="24"/>
              </w:rPr>
              <w:t>开标地点：湖州南浔城投城市建设集团有限公司会议室（浙江省南浔镇朝阳路88号）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10</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rPr>
            </w:pPr>
            <w:r>
              <w:rPr>
                <w:rFonts w:hint="eastAsia" w:ascii="宋体" w:hAnsi="宋体" w:cs="宋体"/>
                <w:b/>
                <w:sz w:val="24"/>
              </w:rPr>
              <w:t>采购方式</w:t>
            </w:r>
          </w:p>
        </w:tc>
        <w:tc>
          <w:tcPr>
            <w:tcW w:w="7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pPr>
            <w:r>
              <w:rPr>
                <w:rFonts w:hint="eastAsia" w:ascii="宋体" w:hAnsi="宋体" w:cs="宋体"/>
                <w:sz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11</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b/>
                <w:sz w:val="24"/>
              </w:rPr>
              <w:t>评标办法及评分标准</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按照招标文件第四章评标办法及评分标准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12</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评标结果公示</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评标结束后2天内，评标结果公示于：</w:t>
            </w:r>
          </w:p>
          <w:p>
            <w:pPr>
              <w:widowControl/>
              <w:spacing w:line="500" w:lineRule="exact"/>
              <w:ind w:right="60"/>
              <w:jc w:val="left"/>
              <w:rPr>
                <w:rFonts w:ascii="宋体" w:hAnsi="宋体" w:cs="宋体"/>
                <w:color w:val="000000"/>
                <w:kern w:val="0"/>
                <w:sz w:val="24"/>
              </w:rPr>
            </w:pPr>
            <w:r>
              <w:rPr>
                <w:rFonts w:hint="eastAsia" w:ascii="宋体" w:hAnsi="宋体" w:cs="宋体"/>
                <w:color w:val="000000"/>
                <w:kern w:val="0"/>
                <w:sz w:val="24"/>
              </w:rPr>
              <w:t>浙江金业管理咨询有限公司网站：</w:t>
            </w:r>
            <w:r>
              <w:fldChar w:fldCharType="begin"/>
            </w:r>
            <w:r>
              <w:instrText xml:space="preserve"> HYPERLINK "http://www.jygczb.com/" </w:instrText>
            </w:r>
            <w:r>
              <w:fldChar w:fldCharType="separate"/>
            </w:r>
            <w:r>
              <w:rPr>
                <w:rStyle w:val="52"/>
                <w:rFonts w:hint="eastAsia" w:ascii="宋体" w:hAnsi="宋体" w:cs="宋体"/>
                <w:color w:val="000000"/>
                <w:kern w:val="0"/>
                <w:sz w:val="24"/>
              </w:rPr>
              <w:t>http://www.jygczb.com/</w:t>
            </w:r>
            <w:r>
              <w:rPr>
                <w:rStyle w:val="52"/>
                <w:rFonts w:hint="eastAsia" w:ascii="宋体" w:hAnsi="宋体" w:cs="宋体"/>
                <w:color w:val="000000"/>
                <w:kern w:val="0"/>
                <w:sz w:val="24"/>
              </w:rPr>
              <w:fldChar w:fldCharType="end"/>
            </w:r>
          </w:p>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13</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签订合同时间</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pacing w:val="-20"/>
                <w:sz w:val="24"/>
              </w:rPr>
            </w:pPr>
            <w:r>
              <w:rPr>
                <w:rFonts w:hint="eastAsia" w:ascii="宋体" w:hAnsi="宋体" w:cs="宋体"/>
                <w:sz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14</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履约保证金</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15</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采购资金来源</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预算资金，已落实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16</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投标文件有效期</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自开标日起</w:t>
            </w:r>
            <w:r>
              <w:rPr>
                <w:rFonts w:hint="eastAsia" w:ascii="宋体" w:hAnsi="宋体" w:cs="宋体"/>
                <w:sz w:val="24"/>
                <w:u w:val="single"/>
              </w:rPr>
              <w:t xml:space="preserve">  180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0"/>
              </w:rPr>
            </w:pPr>
            <w:r>
              <w:rPr>
                <w:rFonts w:hint="eastAsia" w:ascii="宋体" w:hAnsi="宋体" w:cs="宋体"/>
                <w:sz w:val="24"/>
              </w:rPr>
              <w:t>17</w:t>
            </w:r>
          </w:p>
        </w:tc>
        <w:tc>
          <w:tcPr>
            <w:tcW w:w="17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解释</w:t>
            </w:r>
          </w:p>
        </w:tc>
        <w:tc>
          <w:tcPr>
            <w:tcW w:w="7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本招标文件的解释权属于招标采购单位。</w:t>
            </w:r>
          </w:p>
        </w:tc>
      </w:tr>
    </w:tbl>
    <w:p>
      <w:pPr>
        <w:spacing w:line="360" w:lineRule="auto"/>
        <w:jc w:val="center"/>
        <w:outlineLvl w:val="1"/>
        <w:rPr>
          <w:rFonts w:ascii="宋体" w:hAnsi="宋体" w:cs="宋体"/>
          <w:b/>
          <w:sz w:val="32"/>
          <w:szCs w:val="32"/>
        </w:rPr>
      </w:pPr>
      <w:bookmarkStart w:id="10" w:name="_Toc9577"/>
    </w:p>
    <w:p>
      <w:pPr>
        <w:spacing w:line="360" w:lineRule="auto"/>
        <w:jc w:val="center"/>
        <w:outlineLvl w:val="1"/>
        <w:rPr>
          <w:rFonts w:ascii="宋体" w:hAnsi="宋体" w:cs="宋体"/>
          <w:b/>
          <w:sz w:val="32"/>
          <w:szCs w:val="32"/>
        </w:rPr>
      </w:pPr>
      <w:r>
        <w:rPr>
          <w:rFonts w:hint="eastAsia" w:ascii="宋体" w:hAnsi="宋体" w:cs="宋体"/>
          <w:b/>
          <w:sz w:val="32"/>
          <w:szCs w:val="32"/>
        </w:rPr>
        <w:t>一、总  则</w:t>
      </w:r>
      <w:bookmarkEnd w:id="10"/>
    </w:p>
    <w:p>
      <w:pPr>
        <w:snapToGrid w:val="0"/>
        <w:spacing w:line="360" w:lineRule="auto"/>
        <w:ind w:firstLine="482" w:firstLineChars="200"/>
        <w:outlineLvl w:val="2"/>
        <w:rPr>
          <w:rFonts w:ascii="宋体" w:hAnsi="宋体" w:cs="宋体"/>
          <w:b/>
          <w:sz w:val="24"/>
          <w:szCs w:val="20"/>
        </w:rPr>
      </w:pPr>
      <w:r>
        <w:rPr>
          <w:rFonts w:hint="eastAsia" w:ascii="宋体" w:hAnsi="宋体" w:cs="宋体"/>
          <w:b/>
          <w:sz w:val="24"/>
        </w:rPr>
        <w:t>（一） 适用范围</w:t>
      </w:r>
    </w:p>
    <w:p>
      <w:pPr>
        <w:spacing w:line="360" w:lineRule="auto"/>
        <w:ind w:firstLine="480" w:firstLineChars="200"/>
        <w:rPr>
          <w:rFonts w:ascii="宋体" w:hAnsi="宋体" w:cs="宋体"/>
          <w:bCs/>
          <w:snapToGrid w:val="0"/>
          <w:sz w:val="32"/>
          <w:u w:val="single"/>
        </w:rPr>
      </w:pPr>
      <w:r>
        <w:rPr>
          <w:rFonts w:hint="eastAsia" w:ascii="宋体" w:hAnsi="宋体" w:cs="宋体"/>
          <w:sz w:val="24"/>
        </w:rPr>
        <w:t>本招标文件适用于</w:t>
      </w:r>
      <w:r>
        <w:rPr>
          <w:rFonts w:hint="eastAsia" w:ascii="宋体" w:hAnsi="宋体" w:cs="宋体"/>
          <w:b/>
          <w:bCs/>
          <w:sz w:val="24"/>
          <w:u w:val="single"/>
        </w:rPr>
        <w:t>湖州南浔城投城市建设集团有限公司</w:t>
      </w:r>
      <w:r>
        <w:rPr>
          <w:rFonts w:hint="eastAsia" w:ascii="宋体" w:hAnsi="宋体" w:cs="宋体"/>
          <w:sz w:val="24"/>
        </w:rPr>
        <w:t>的</w:t>
      </w:r>
      <w:r>
        <w:rPr>
          <w:rFonts w:hint="eastAsia" w:ascii="宋体" w:hAnsi="宋体" w:cs="宋体"/>
          <w:b/>
          <w:bCs/>
          <w:sz w:val="24"/>
          <w:u w:val="single"/>
        </w:rPr>
        <w:t>湖州南浔城投城市建设集团有限公司年度（2021-2022）乡镇道路绿化养护工程</w:t>
      </w:r>
      <w:r>
        <w:rPr>
          <w:rFonts w:hint="eastAsia" w:ascii="宋体" w:hAnsi="宋体" w:cs="宋体"/>
          <w:sz w:val="24"/>
        </w:rPr>
        <w:t>的招标、投标、评标、定标、验收、合同履约、付款等行为（法律、法规另有规定的，从其规定）。</w:t>
      </w:r>
    </w:p>
    <w:p>
      <w:pPr>
        <w:snapToGrid w:val="0"/>
        <w:spacing w:line="360" w:lineRule="auto"/>
        <w:ind w:firstLine="482" w:firstLineChars="200"/>
        <w:outlineLvl w:val="2"/>
        <w:rPr>
          <w:rFonts w:ascii="宋体" w:hAnsi="宋体" w:cs="宋体"/>
          <w:b/>
          <w:sz w:val="24"/>
        </w:rPr>
      </w:pPr>
      <w:r>
        <w:rPr>
          <w:rFonts w:hint="eastAsia" w:ascii="宋体" w:hAnsi="宋体" w:cs="宋体"/>
          <w:b/>
          <w:sz w:val="24"/>
        </w:rPr>
        <w:t>（二）定义</w:t>
      </w:r>
    </w:p>
    <w:p>
      <w:pPr>
        <w:numPr>
          <w:ilvl w:val="0"/>
          <w:numId w:val="6"/>
        </w:numPr>
        <w:snapToGrid w:val="0"/>
        <w:spacing w:line="360" w:lineRule="auto"/>
        <w:rPr>
          <w:rFonts w:ascii="宋体" w:hAnsi="宋体" w:cs="宋体"/>
          <w:sz w:val="24"/>
        </w:rPr>
      </w:pPr>
      <w:r>
        <w:rPr>
          <w:rFonts w:hint="eastAsia" w:ascii="宋体" w:hAnsi="宋体" w:cs="宋体"/>
          <w:sz w:val="24"/>
        </w:rPr>
        <w:t>“采购人”系指</w:t>
      </w:r>
      <w:r>
        <w:rPr>
          <w:rFonts w:hint="eastAsia" w:ascii="宋体" w:hAnsi="宋体" w:cs="宋体"/>
          <w:b/>
          <w:bCs/>
          <w:sz w:val="24"/>
        </w:rPr>
        <w:t>湖州南浔城投城市建设集团有限公司</w:t>
      </w:r>
      <w:r>
        <w:rPr>
          <w:rFonts w:hint="eastAsia" w:ascii="宋体" w:hAnsi="宋体" w:cs="宋体"/>
          <w:sz w:val="24"/>
        </w:rPr>
        <w:t>。</w:t>
      </w:r>
    </w:p>
    <w:p>
      <w:pPr>
        <w:numPr>
          <w:ilvl w:val="0"/>
          <w:numId w:val="6"/>
        </w:numPr>
        <w:snapToGrid w:val="0"/>
        <w:spacing w:line="360" w:lineRule="auto"/>
        <w:rPr>
          <w:rFonts w:ascii="宋体" w:hAnsi="宋体" w:cs="宋体"/>
          <w:sz w:val="24"/>
        </w:rPr>
      </w:pPr>
      <w:r>
        <w:rPr>
          <w:rFonts w:hint="eastAsia" w:ascii="宋体" w:hAnsi="宋体" w:cs="宋体"/>
          <w:sz w:val="24"/>
        </w:rPr>
        <w:t>“采购代理机构”系指</w:t>
      </w:r>
      <w:r>
        <w:rPr>
          <w:rFonts w:hint="eastAsia" w:ascii="宋体" w:hAnsi="宋体" w:cs="宋体"/>
          <w:b/>
          <w:bCs/>
          <w:sz w:val="24"/>
        </w:rPr>
        <w:t>浙江金业管理咨询有限公司</w:t>
      </w:r>
      <w:r>
        <w:rPr>
          <w:rFonts w:hint="eastAsia" w:ascii="宋体" w:hAnsi="宋体" w:cs="宋体"/>
          <w:sz w:val="24"/>
        </w:rPr>
        <w:t>。</w:t>
      </w:r>
    </w:p>
    <w:p>
      <w:pPr>
        <w:numPr>
          <w:ilvl w:val="0"/>
          <w:numId w:val="6"/>
        </w:numPr>
        <w:snapToGrid w:val="0"/>
        <w:spacing w:line="360" w:lineRule="auto"/>
        <w:rPr>
          <w:rFonts w:ascii="宋体" w:hAnsi="宋体" w:cs="宋体"/>
          <w:sz w:val="24"/>
          <w:szCs w:val="20"/>
        </w:rPr>
      </w:pPr>
      <w:r>
        <w:rPr>
          <w:rFonts w:hint="eastAsia" w:ascii="宋体" w:hAnsi="宋体" w:cs="宋体"/>
          <w:sz w:val="24"/>
        </w:rPr>
        <w:t>“投标人”系指向招标方提交投标文件的单位或个人。</w:t>
      </w:r>
    </w:p>
    <w:p>
      <w:pPr>
        <w:numPr>
          <w:ilvl w:val="0"/>
          <w:numId w:val="6"/>
        </w:numPr>
        <w:snapToGrid w:val="0"/>
        <w:spacing w:line="360" w:lineRule="auto"/>
        <w:rPr>
          <w:rFonts w:ascii="宋体" w:hAnsi="宋体" w:cs="宋体"/>
          <w:sz w:val="24"/>
          <w:szCs w:val="20"/>
        </w:rPr>
      </w:pPr>
      <w:r>
        <w:rPr>
          <w:rFonts w:hint="eastAsia" w:ascii="宋体" w:hAnsi="宋体" w:cs="宋体"/>
          <w:sz w:val="24"/>
        </w:rPr>
        <w:t>“产品”系指供方按招标文件规定，须向采购单位提供的一切设备（技术）、保险、税金、备品备件、工具、手册及其它有关技术资料和材料。</w:t>
      </w:r>
    </w:p>
    <w:p>
      <w:pPr>
        <w:numPr>
          <w:ilvl w:val="0"/>
          <w:numId w:val="6"/>
        </w:numPr>
        <w:snapToGrid w:val="0"/>
        <w:spacing w:line="360" w:lineRule="auto"/>
        <w:rPr>
          <w:rFonts w:ascii="宋体" w:hAnsi="宋体" w:cs="宋体"/>
          <w:sz w:val="24"/>
          <w:szCs w:val="20"/>
        </w:rPr>
      </w:pPr>
      <w:r>
        <w:rPr>
          <w:rFonts w:hint="eastAsia" w:ascii="宋体" w:hAnsi="宋体" w:cs="宋体"/>
          <w:sz w:val="24"/>
        </w:rPr>
        <w:t>“服务”系指招标文件规定投标人须承担的安装、调试、技术协助、校准、培训、技术指导以及其他类似的义务。</w:t>
      </w:r>
    </w:p>
    <w:p>
      <w:pPr>
        <w:numPr>
          <w:ilvl w:val="0"/>
          <w:numId w:val="6"/>
        </w:numPr>
        <w:snapToGrid w:val="0"/>
        <w:spacing w:line="360" w:lineRule="auto"/>
        <w:rPr>
          <w:rFonts w:ascii="宋体" w:hAnsi="宋体" w:cs="宋体"/>
          <w:sz w:val="24"/>
          <w:szCs w:val="20"/>
        </w:rPr>
      </w:pPr>
      <w:r>
        <w:rPr>
          <w:rFonts w:hint="eastAsia" w:ascii="宋体" w:hAnsi="宋体" w:cs="宋体"/>
          <w:sz w:val="24"/>
        </w:rPr>
        <w:t>“项目”系指投标人按招标文件规定向采购单位提供的产品和服务。</w:t>
      </w:r>
    </w:p>
    <w:p>
      <w:pPr>
        <w:numPr>
          <w:ilvl w:val="0"/>
          <w:numId w:val="6"/>
        </w:numPr>
        <w:snapToGrid w:val="0"/>
        <w:spacing w:line="360" w:lineRule="auto"/>
        <w:rPr>
          <w:rFonts w:ascii="宋体" w:hAnsi="宋体" w:cs="宋体"/>
          <w:sz w:val="24"/>
          <w:szCs w:val="20"/>
        </w:rPr>
      </w:pPr>
      <w:r>
        <w:rPr>
          <w:rFonts w:hint="eastAsia" w:ascii="宋体" w:hAnsi="宋体" w:cs="宋体"/>
          <w:sz w:val="24"/>
        </w:rPr>
        <w:t>“书面形式”包括信函、传真、电报等。</w:t>
      </w:r>
    </w:p>
    <w:p>
      <w:pPr>
        <w:numPr>
          <w:ilvl w:val="0"/>
          <w:numId w:val="6"/>
        </w:numPr>
        <w:snapToGrid w:val="0"/>
        <w:spacing w:line="360" w:lineRule="auto"/>
        <w:rPr>
          <w:rFonts w:ascii="宋体" w:hAnsi="宋体" w:cs="宋体"/>
          <w:sz w:val="24"/>
          <w:szCs w:val="20"/>
        </w:rPr>
      </w:pPr>
      <w:r>
        <w:rPr>
          <w:rFonts w:hint="eastAsia" w:ascii="宋体" w:hAnsi="宋体" w:cs="宋体"/>
          <w:sz w:val="24"/>
        </w:rPr>
        <w:t>“</w:t>
      </w:r>
      <w:r>
        <w:rPr>
          <w:rFonts w:hint="eastAsia" w:ascii="宋体" w:hAnsi="宋体" w:cs="宋体"/>
          <w:b/>
          <w:szCs w:val="21"/>
        </w:rPr>
        <w:t>▲</w:t>
      </w:r>
      <w:r>
        <w:rPr>
          <w:rFonts w:hint="eastAsia" w:ascii="宋体" w:hAnsi="宋体" w:cs="宋体"/>
          <w:sz w:val="24"/>
        </w:rPr>
        <w:t>”系指实质性要求条款。</w:t>
      </w:r>
    </w:p>
    <w:p>
      <w:pPr>
        <w:numPr>
          <w:ilvl w:val="0"/>
          <w:numId w:val="7"/>
        </w:numPr>
        <w:snapToGrid w:val="0"/>
        <w:spacing w:line="360" w:lineRule="auto"/>
        <w:ind w:firstLine="482" w:firstLineChars="200"/>
        <w:outlineLvl w:val="2"/>
        <w:rPr>
          <w:rFonts w:ascii="宋体" w:hAnsi="宋体" w:cs="宋体"/>
          <w:b/>
          <w:sz w:val="24"/>
        </w:rPr>
      </w:pPr>
      <w:r>
        <w:rPr>
          <w:rFonts w:hint="eastAsia" w:ascii="宋体" w:hAnsi="宋体" w:cs="宋体"/>
          <w:b/>
          <w:sz w:val="24"/>
        </w:rPr>
        <w:t>采购预算：</w:t>
      </w:r>
      <w:r>
        <w:rPr>
          <w:rFonts w:hint="eastAsia" w:hAnsi="宋体"/>
          <w:b/>
          <w:bCs/>
          <w:sz w:val="24"/>
        </w:rPr>
        <w:t>单价最高限价：</w:t>
      </w:r>
      <w:r>
        <w:rPr>
          <w:rFonts w:hint="eastAsia" w:ascii="宋体" w:hAnsi="宋体"/>
          <w:b/>
          <w:bCs/>
          <w:sz w:val="24"/>
        </w:rPr>
        <w:t>5元/平方米，</w:t>
      </w:r>
      <w:r>
        <w:rPr>
          <w:rFonts w:hint="eastAsia" w:hAnsi="宋体" w:cs="宋体"/>
          <w:b/>
          <w:sz w:val="24"/>
          <w:lang w:val="zh-CN"/>
        </w:rPr>
        <w:t>各标段养护费用按单价</w:t>
      </w:r>
      <w:r>
        <w:rPr>
          <w:rFonts w:hint="eastAsia" w:hAnsi="宋体" w:cs="宋体"/>
          <w:b/>
          <w:sz w:val="24"/>
        </w:rPr>
        <w:t>×面积结算（具体按实结算）</w:t>
      </w:r>
    </w:p>
    <w:p>
      <w:pPr>
        <w:numPr>
          <w:ilvl w:val="0"/>
          <w:numId w:val="7"/>
        </w:numPr>
        <w:snapToGrid w:val="0"/>
        <w:spacing w:line="360" w:lineRule="auto"/>
        <w:ind w:firstLine="482" w:firstLineChars="200"/>
        <w:outlineLvl w:val="2"/>
        <w:rPr>
          <w:rFonts w:ascii="宋体" w:hAnsi="宋体" w:cs="宋体"/>
          <w:b/>
          <w:sz w:val="24"/>
        </w:rPr>
      </w:pPr>
      <w:r>
        <w:rPr>
          <w:rFonts w:hint="eastAsia" w:ascii="宋体" w:hAnsi="宋体" w:cs="宋体"/>
          <w:b/>
          <w:sz w:val="24"/>
        </w:rPr>
        <w:t>采购方式</w:t>
      </w:r>
    </w:p>
    <w:p>
      <w:pPr>
        <w:snapToGrid w:val="0"/>
        <w:spacing w:line="360" w:lineRule="auto"/>
        <w:ind w:firstLine="480" w:firstLineChars="200"/>
        <w:rPr>
          <w:rFonts w:ascii="宋体" w:hAnsi="宋体" w:cs="宋体"/>
          <w:sz w:val="24"/>
          <w:szCs w:val="20"/>
        </w:rPr>
      </w:pPr>
      <w:r>
        <w:rPr>
          <w:rFonts w:hint="eastAsia" w:ascii="宋体" w:hAnsi="宋体" w:cs="宋体"/>
          <w:sz w:val="24"/>
        </w:rPr>
        <w:t>本次招标采用公开招标方式进行。</w:t>
      </w:r>
    </w:p>
    <w:p>
      <w:pPr>
        <w:numPr>
          <w:ilvl w:val="0"/>
          <w:numId w:val="7"/>
        </w:numPr>
        <w:snapToGrid w:val="0"/>
        <w:spacing w:line="360" w:lineRule="auto"/>
        <w:ind w:firstLine="482" w:firstLineChars="200"/>
        <w:outlineLvl w:val="2"/>
        <w:rPr>
          <w:rFonts w:ascii="宋体" w:hAnsi="宋体" w:cs="宋体"/>
          <w:b/>
          <w:sz w:val="24"/>
        </w:rPr>
      </w:pPr>
      <w:r>
        <w:rPr>
          <w:rFonts w:hint="eastAsia" w:ascii="宋体" w:hAnsi="宋体" w:cs="宋体"/>
          <w:b/>
          <w:sz w:val="24"/>
        </w:rPr>
        <w:t>投标费用</w:t>
      </w:r>
    </w:p>
    <w:p>
      <w:pPr>
        <w:spacing w:line="360" w:lineRule="auto"/>
        <w:ind w:firstLine="480" w:firstLineChars="200"/>
        <w:rPr>
          <w:rFonts w:ascii="宋体" w:hAnsi="宋体" w:cs="宋体"/>
          <w:sz w:val="24"/>
        </w:rPr>
      </w:pPr>
      <w:r>
        <w:rPr>
          <w:rFonts w:hint="eastAsia" w:ascii="宋体" w:hAnsi="宋体" w:cs="宋体"/>
          <w:sz w:val="24"/>
        </w:rPr>
        <w:t>1.不论投标结果如何，投标人均应自行承担所有与投标有关的全部费用（招标文件有相关规定除外）。</w:t>
      </w:r>
    </w:p>
    <w:p>
      <w:pPr>
        <w:spacing w:line="360" w:lineRule="auto"/>
        <w:ind w:firstLine="480" w:firstLineChars="200"/>
        <w:rPr>
          <w:rFonts w:ascii="宋体" w:hAnsi="宋体" w:cs="宋体"/>
          <w:sz w:val="24"/>
        </w:rPr>
      </w:pPr>
      <w:r>
        <w:rPr>
          <w:rFonts w:hint="eastAsia" w:ascii="宋体" w:hAnsi="宋体" w:cs="宋体"/>
          <w:sz w:val="24"/>
        </w:rPr>
        <w:t>2、本项目招标代理服务费计取标准如下：</w:t>
      </w:r>
      <w:r>
        <w:rPr>
          <w:rFonts w:hint="eastAsia" w:ascii="宋体" w:hAnsi="宋体" w:cs="宋体"/>
          <w:b/>
          <w:sz w:val="24"/>
        </w:rPr>
        <w:t>本项目招标代理服务费计取标准如下：每个标段按5000元计取。代理费由各标段中标单位在领取中标通知书前一次性向招标代理机构支付完成。</w:t>
      </w:r>
    </w:p>
    <w:p>
      <w:pPr>
        <w:snapToGrid w:val="0"/>
        <w:spacing w:line="360" w:lineRule="auto"/>
        <w:ind w:firstLine="482" w:firstLineChars="200"/>
        <w:outlineLvl w:val="2"/>
        <w:rPr>
          <w:rFonts w:ascii="宋体" w:hAnsi="宋体" w:cs="宋体"/>
          <w:b/>
          <w:sz w:val="24"/>
        </w:rPr>
      </w:pPr>
      <w:r>
        <w:rPr>
          <w:rFonts w:hint="eastAsia" w:ascii="宋体" w:hAnsi="宋体" w:cs="宋体"/>
          <w:b/>
          <w:sz w:val="24"/>
        </w:rPr>
        <w:t>（六）联合体投标</w:t>
      </w:r>
    </w:p>
    <w:p>
      <w:pPr>
        <w:spacing w:line="360" w:lineRule="auto"/>
        <w:ind w:firstLine="480" w:firstLineChars="200"/>
        <w:rPr>
          <w:rFonts w:ascii="宋体" w:hAnsi="宋体" w:cs="宋体"/>
          <w:sz w:val="24"/>
        </w:rPr>
      </w:pPr>
      <w:r>
        <w:rPr>
          <w:rFonts w:hint="eastAsia" w:ascii="宋体" w:hAnsi="宋体" w:cs="宋体"/>
          <w:sz w:val="24"/>
        </w:rPr>
        <w:t>本项目不接受联合体投标。</w:t>
      </w:r>
    </w:p>
    <w:p>
      <w:pPr>
        <w:snapToGrid w:val="0"/>
        <w:spacing w:line="360" w:lineRule="auto"/>
        <w:ind w:firstLine="482" w:firstLineChars="200"/>
        <w:outlineLvl w:val="2"/>
        <w:rPr>
          <w:rFonts w:ascii="宋体" w:hAnsi="宋体" w:cs="宋体"/>
          <w:b/>
          <w:sz w:val="24"/>
        </w:rPr>
      </w:pPr>
      <w:r>
        <w:rPr>
          <w:rFonts w:hint="eastAsia" w:ascii="宋体" w:hAnsi="宋体" w:cs="宋体"/>
          <w:b/>
          <w:sz w:val="24"/>
        </w:rPr>
        <w:t>（七）转包与分包</w:t>
      </w:r>
    </w:p>
    <w:p>
      <w:pPr>
        <w:spacing w:line="360" w:lineRule="auto"/>
        <w:ind w:firstLine="480" w:firstLineChars="200"/>
        <w:rPr>
          <w:rFonts w:ascii="宋体" w:hAnsi="宋体" w:cs="宋体"/>
          <w:sz w:val="24"/>
        </w:rPr>
      </w:pPr>
      <w:r>
        <w:rPr>
          <w:rFonts w:hint="eastAsia" w:ascii="宋体" w:hAnsi="宋体" w:cs="宋体"/>
          <w:sz w:val="24"/>
        </w:rPr>
        <w:t>本项目不允许转包不允许分包。</w:t>
      </w:r>
    </w:p>
    <w:p>
      <w:pPr>
        <w:snapToGrid w:val="0"/>
        <w:spacing w:line="360" w:lineRule="auto"/>
        <w:ind w:firstLine="482" w:firstLineChars="200"/>
        <w:outlineLvl w:val="2"/>
        <w:rPr>
          <w:rFonts w:ascii="宋体" w:hAnsi="宋体" w:cs="宋体"/>
          <w:b/>
          <w:sz w:val="24"/>
        </w:rPr>
      </w:pPr>
      <w:r>
        <w:rPr>
          <w:rFonts w:hint="eastAsia" w:ascii="宋体" w:hAnsi="宋体" w:cs="宋体"/>
          <w:b/>
          <w:sz w:val="24"/>
        </w:rPr>
        <w:t>（八）特别说明：</w:t>
      </w:r>
    </w:p>
    <w:p>
      <w:pPr>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▲1、单位负责人为同一人或者存在直接控股、管理关系的不同供应商，不得参加同一合同项下的采购活动。</w:t>
      </w:r>
    </w:p>
    <w:p>
      <w:pPr>
        <w:spacing w:line="360" w:lineRule="auto"/>
        <w:ind w:firstLine="480" w:firstLineChars="200"/>
        <w:rPr>
          <w:rFonts w:ascii="宋体" w:hAnsi="宋体" w:cs="宋体"/>
          <w:sz w:val="24"/>
        </w:rPr>
      </w:pPr>
      <w:r>
        <w:rPr>
          <w:rFonts w:hint="eastAsia" w:ascii="宋体" w:hAnsi="宋体" w:cs="宋体"/>
          <w:sz w:val="24"/>
        </w:rPr>
        <w:t>▲2、投标人投标所使用的资格、信誉、业绩与企业认证必须为本法人所拥有。投标人投标所使用的采购项目实施人员必须为本法人员工（或必须为本法人或控股公司正式员工）（招标文件有相关规定除外）。</w:t>
      </w:r>
    </w:p>
    <w:p>
      <w:pPr>
        <w:spacing w:line="360" w:lineRule="auto"/>
        <w:ind w:firstLine="480" w:firstLineChars="200"/>
        <w:rPr>
          <w:rFonts w:ascii="宋体" w:hAnsi="宋体" w:cs="宋体"/>
          <w:sz w:val="24"/>
        </w:rPr>
      </w:pPr>
      <w:r>
        <w:rPr>
          <w:rFonts w:hint="eastAsia" w:ascii="宋体" w:hAnsi="宋体" w:cs="宋体"/>
          <w:sz w:val="24"/>
        </w:rPr>
        <w:t>▲3、投标人应仔细阅读招标文件的所有内容，按照招标文件的要求提交投标文件，并对所提供的全部资料的真实性承担法律责任。</w:t>
      </w:r>
    </w:p>
    <w:p>
      <w:pPr>
        <w:spacing w:line="360" w:lineRule="auto"/>
        <w:ind w:firstLine="480" w:firstLineChars="200"/>
        <w:rPr>
          <w:rFonts w:ascii="宋体" w:hAnsi="宋体" w:cs="宋体"/>
          <w:sz w:val="24"/>
        </w:rPr>
      </w:pPr>
      <w:r>
        <w:rPr>
          <w:rFonts w:hint="eastAsia" w:ascii="宋体" w:hAnsi="宋体" w:cs="宋体"/>
          <w:sz w:val="24"/>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snapToGrid w:val="0"/>
        <w:spacing w:line="360" w:lineRule="auto"/>
        <w:ind w:firstLine="482" w:firstLineChars="200"/>
        <w:outlineLvl w:val="2"/>
        <w:rPr>
          <w:rFonts w:ascii="宋体" w:hAnsi="宋体" w:cs="宋体"/>
          <w:b/>
          <w:sz w:val="24"/>
        </w:rPr>
      </w:pPr>
      <w:r>
        <w:rPr>
          <w:rFonts w:hint="eastAsia" w:ascii="宋体" w:hAnsi="宋体" w:cs="宋体"/>
          <w:b/>
          <w:sz w:val="24"/>
        </w:rPr>
        <w:t>（九）质疑和投诉</w:t>
      </w:r>
    </w:p>
    <w:p>
      <w:pPr>
        <w:spacing w:line="360" w:lineRule="auto"/>
        <w:ind w:firstLine="480" w:firstLineChars="200"/>
        <w:rPr>
          <w:rFonts w:ascii="宋体" w:hAnsi="宋体" w:cs="宋体"/>
          <w:sz w:val="24"/>
        </w:rPr>
      </w:pPr>
      <w:r>
        <w:rPr>
          <w:rFonts w:hint="eastAsia" w:ascii="宋体" w:hAnsi="宋体" w:cs="宋体"/>
          <w:sz w:val="24"/>
        </w:rPr>
        <w:t>1、投标人认为招标文件、招标过程或中标结果使自己的合法权益受到损害的，应当在知道或者应知其权益受到损害之日起七个工作日内，以书面形式向采购单位、招标方提出质疑。投标人对招标采购单位的质疑答复不满意或者招标采购单位未在规定时间内作出答复的，可以在答复期满后十五个工作日内向同级采购监管部门投诉。</w:t>
      </w:r>
    </w:p>
    <w:p>
      <w:pPr>
        <w:spacing w:line="360" w:lineRule="auto"/>
        <w:ind w:firstLine="480" w:firstLineChars="200"/>
        <w:rPr>
          <w:rFonts w:ascii="宋体" w:hAnsi="宋体" w:cs="宋体"/>
          <w:sz w:val="24"/>
        </w:rPr>
      </w:pPr>
      <w:r>
        <w:rPr>
          <w:rFonts w:hint="eastAsia" w:ascii="宋体" w:hAnsi="宋体" w:cs="宋体"/>
          <w:sz w:val="24"/>
        </w:rPr>
        <w:t>2、提出质疑的供应商（以下简称质疑供应商）应当是参与所质疑项目采购活动的供应商。</w:t>
      </w:r>
    </w:p>
    <w:p>
      <w:pPr>
        <w:spacing w:line="360" w:lineRule="auto"/>
        <w:ind w:firstLine="480" w:firstLineChars="200"/>
        <w:rPr>
          <w:rFonts w:ascii="宋体" w:hAnsi="宋体" w:cs="宋体"/>
          <w:sz w:val="24"/>
        </w:rPr>
      </w:pPr>
      <w:r>
        <w:rPr>
          <w:rFonts w:hint="eastAsia" w:ascii="宋体" w:hAnsi="宋体" w:cs="宋体"/>
          <w:sz w:val="24"/>
        </w:rPr>
        <w:t>潜在供应商已依法获取其可质疑的招标文件的，可以对该文件提出质疑。对招标文件提出质疑的，应当在获取招标文件或者招标文件公告期限届满之日起7个工作日内提出。</w:t>
      </w:r>
    </w:p>
    <w:p>
      <w:pPr>
        <w:spacing w:line="360" w:lineRule="auto"/>
        <w:ind w:firstLine="480" w:firstLineChars="200"/>
        <w:rPr>
          <w:rFonts w:ascii="宋体" w:hAnsi="宋体" w:cs="宋体"/>
          <w:sz w:val="24"/>
        </w:rPr>
      </w:pPr>
      <w:r>
        <w:rPr>
          <w:rFonts w:hint="eastAsia" w:ascii="宋体" w:hAnsi="宋体" w:cs="宋体"/>
          <w:sz w:val="24"/>
        </w:rPr>
        <w:t>3、供应商提出质疑应当提交质疑函和必要的证明材料。质疑函应当包括下列内容：</w:t>
      </w:r>
    </w:p>
    <w:p>
      <w:pPr>
        <w:spacing w:line="360" w:lineRule="auto"/>
        <w:ind w:firstLine="480" w:firstLineChars="200"/>
        <w:rPr>
          <w:rFonts w:ascii="宋体" w:hAnsi="宋体" w:cs="宋体"/>
          <w:sz w:val="24"/>
        </w:rPr>
      </w:pPr>
      <w:r>
        <w:rPr>
          <w:rFonts w:hint="eastAsia" w:ascii="宋体" w:hAnsi="宋体" w:cs="宋体"/>
          <w:sz w:val="24"/>
        </w:rPr>
        <w:t>（1）供应商的姓名或者名称、地址、邮编、联系人及联系电话；</w:t>
      </w:r>
    </w:p>
    <w:p>
      <w:pPr>
        <w:spacing w:line="360" w:lineRule="auto"/>
        <w:ind w:firstLine="480" w:firstLineChars="200"/>
        <w:rPr>
          <w:rFonts w:ascii="宋体" w:hAnsi="宋体" w:cs="宋体"/>
          <w:sz w:val="24"/>
        </w:rPr>
      </w:pPr>
      <w:r>
        <w:rPr>
          <w:rFonts w:hint="eastAsia" w:ascii="宋体" w:hAnsi="宋体" w:cs="宋体"/>
          <w:sz w:val="24"/>
        </w:rPr>
        <w:t>（2）质疑项目的名称、编号；</w:t>
      </w:r>
    </w:p>
    <w:p>
      <w:pPr>
        <w:spacing w:line="360" w:lineRule="auto"/>
        <w:ind w:firstLine="480" w:firstLineChars="200"/>
        <w:rPr>
          <w:rFonts w:ascii="宋体" w:hAnsi="宋体" w:cs="宋体"/>
          <w:sz w:val="24"/>
        </w:rPr>
      </w:pPr>
      <w:r>
        <w:rPr>
          <w:rFonts w:hint="eastAsia" w:ascii="宋体" w:hAnsi="宋体" w:cs="宋体"/>
          <w:sz w:val="24"/>
        </w:rPr>
        <w:t>（3）具体、明确的质疑事项和与质疑事项相关的请求；</w:t>
      </w:r>
    </w:p>
    <w:p>
      <w:pPr>
        <w:spacing w:line="360" w:lineRule="auto"/>
        <w:ind w:firstLine="480" w:firstLineChars="200"/>
        <w:rPr>
          <w:rFonts w:ascii="宋体" w:hAnsi="宋体" w:cs="宋体"/>
          <w:sz w:val="24"/>
        </w:rPr>
      </w:pPr>
      <w:r>
        <w:rPr>
          <w:rFonts w:hint="eastAsia" w:ascii="宋体" w:hAnsi="宋体" w:cs="宋体"/>
          <w:sz w:val="24"/>
        </w:rPr>
        <w:t>（4）事实依据；</w:t>
      </w:r>
    </w:p>
    <w:p>
      <w:pPr>
        <w:spacing w:line="360" w:lineRule="auto"/>
        <w:ind w:firstLine="480" w:firstLineChars="200"/>
        <w:rPr>
          <w:rFonts w:ascii="宋体" w:hAnsi="宋体" w:cs="宋体"/>
          <w:sz w:val="24"/>
        </w:rPr>
      </w:pPr>
      <w:r>
        <w:rPr>
          <w:rFonts w:hint="eastAsia" w:ascii="宋体" w:hAnsi="宋体" w:cs="宋体"/>
          <w:sz w:val="24"/>
        </w:rPr>
        <w:t>（5）必要的法律依据；</w:t>
      </w:r>
    </w:p>
    <w:p>
      <w:pPr>
        <w:spacing w:line="360" w:lineRule="auto"/>
        <w:ind w:firstLine="480" w:firstLineChars="200"/>
        <w:rPr>
          <w:rFonts w:ascii="宋体" w:hAnsi="宋体" w:cs="宋体"/>
          <w:sz w:val="24"/>
        </w:rPr>
      </w:pPr>
      <w:r>
        <w:rPr>
          <w:rFonts w:hint="eastAsia" w:ascii="宋体" w:hAnsi="宋体" w:cs="宋体"/>
          <w:sz w:val="24"/>
        </w:rPr>
        <w:t>（6）提出质疑的日期。</w:t>
      </w:r>
    </w:p>
    <w:p>
      <w:pPr>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宋体" w:hAnsi="宋体" w:cs="宋体"/>
          <w:sz w:val="24"/>
        </w:rPr>
      </w:pPr>
      <w:r>
        <w:rPr>
          <w:rFonts w:hint="eastAsia" w:ascii="宋体" w:hAnsi="宋体" w:cs="宋体"/>
          <w:sz w:val="24"/>
        </w:rPr>
        <w:t>4、采购人、采购代理机构不得拒收质疑供应商在法定质疑期内发出的质疑函，应当在收到质疑函后7个工作日内作出答复，并将在网上发布补充（答疑、澄清）文件，潜在投标人应自行关注网站公告，招标人不再一一通知。投标人因自身贻误行为导致投标失败的，责任自负。</w:t>
      </w:r>
    </w:p>
    <w:p>
      <w:pPr>
        <w:spacing w:line="360" w:lineRule="auto"/>
        <w:ind w:firstLine="480" w:firstLineChars="200"/>
        <w:rPr>
          <w:rFonts w:ascii="宋体" w:hAnsi="宋体" w:cs="宋体"/>
          <w:sz w:val="24"/>
        </w:rPr>
      </w:pPr>
      <w:r>
        <w:rPr>
          <w:rFonts w:hint="eastAsia" w:ascii="宋体" w:hAnsi="宋体" w:cs="宋体"/>
          <w:sz w:val="24"/>
        </w:rPr>
        <w:t>5、供应商对评审过程、中标或者成交结果提出质疑的，采购人、采购代理机构可以组织原评标委员会、竞争性谈判小组、询价小组或者竞争性评标委员会协助答复质疑。</w:t>
      </w:r>
    </w:p>
    <w:p>
      <w:pPr>
        <w:spacing w:line="360" w:lineRule="auto"/>
        <w:ind w:firstLine="480" w:firstLineChars="200"/>
        <w:rPr>
          <w:rFonts w:ascii="宋体" w:hAnsi="宋体" w:cs="宋体"/>
          <w:sz w:val="24"/>
        </w:rPr>
      </w:pPr>
      <w:r>
        <w:rPr>
          <w:rFonts w:hint="eastAsia" w:ascii="宋体" w:hAnsi="宋体" w:cs="宋体"/>
          <w:sz w:val="24"/>
        </w:rPr>
        <w:t>6、质疑答复应当包括下列内容：</w:t>
      </w:r>
    </w:p>
    <w:p>
      <w:pPr>
        <w:spacing w:line="360" w:lineRule="auto"/>
        <w:ind w:firstLine="480" w:firstLineChars="200"/>
        <w:rPr>
          <w:rFonts w:ascii="宋体" w:hAnsi="宋体" w:cs="宋体"/>
          <w:sz w:val="24"/>
        </w:rPr>
      </w:pPr>
      <w:r>
        <w:rPr>
          <w:rFonts w:hint="eastAsia" w:ascii="宋体" w:hAnsi="宋体" w:cs="宋体"/>
          <w:sz w:val="24"/>
        </w:rPr>
        <w:t>（1）质疑供应商的姓名或者名称；</w:t>
      </w:r>
    </w:p>
    <w:p>
      <w:pPr>
        <w:spacing w:line="360" w:lineRule="auto"/>
        <w:ind w:firstLine="480" w:firstLineChars="200"/>
        <w:rPr>
          <w:rFonts w:ascii="宋体" w:hAnsi="宋体" w:cs="宋体"/>
          <w:sz w:val="24"/>
        </w:rPr>
      </w:pPr>
      <w:r>
        <w:rPr>
          <w:rFonts w:hint="eastAsia" w:ascii="宋体" w:hAnsi="宋体" w:cs="宋体"/>
          <w:sz w:val="24"/>
        </w:rPr>
        <w:t>（2）收到质疑函的日期、质疑项目名称及编号；</w:t>
      </w:r>
    </w:p>
    <w:p>
      <w:pPr>
        <w:spacing w:line="360" w:lineRule="auto"/>
        <w:ind w:firstLine="480" w:firstLineChars="200"/>
        <w:rPr>
          <w:rFonts w:ascii="宋体" w:hAnsi="宋体" w:cs="宋体"/>
          <w:sz w:val="24"/>
        </w:rPr>
      </w:pPr>
      <w:r>
        <w:rPr>
          <w:rFonts w:hint="eastAsia" w:ascii="宋体" w:hAnsi="宋体" w:cs="宋体"/>
          <w:sz w:val="24"/>
        </w:rPr>
        <w:t>（3）质疑事项、质疑答复的具体内容、事实依据和法律依据；</w:t>
      </w:r>
    </w:p>
    <w:p>
      <w:pPr>
        <w:spacing w:line="360" w:lineRule="auto"/>
        <w:ind w:firstLine="480" w:firstLineChars="200"/>
        <w:rPr>
          <w:rFonts w:ascii="宋体" w:hAnsi="宋体" w:cs="宋体"/>
          <w:sz w:val="24"/>
        </w:rPr>
      </w:pPr>
      <w:r>
        <w:rPr>
          <w:rFonts w:hint="eastAsia" w:ascii="宋体" w:hAnsi="宋体" w:cs="宋体"/>
          <w:sz w:val="24"/>
        </w:rPr>
        <w:t>（4）告知质疑供应商依法投诉的权利；</w:t>
      </w:r>
    </w:p>
    <w:p>
      <w:pPr>
        <w:spacing w:line="360" w:lineRule="auto"/>
        <w:ind w:firstLine="480" w:firstLineChars="200"/>
        <w:rPr>
          <w:rFonts w:ascii="宋体" w:hAnsi="宋体" w:cs="宋体"/>
          <w:sz w:val="24"/>
        </w:rPr>
      </w:pPr>
      <w:r>
        <w:rPr>
          <w:rFonts w:hint="eastAsia" w:ascii="宋体" w:hAnsi="宋体" w:cs="宋体"/>
          <w:sz w:val="24"/>
        </w:rPr>
        <w:t>（5）质疑答复人名称；</w:t>
      </w:r>
    </w:p>
    <w:p>
      <w:pPr>
        <w:spacing w:line="360" w:lineRule="auto"/>
        <w:ind w:firstLine="480" w:firstLineChars="200"/>
        <w:rPr>
          <w:rFonts w:ascii="宋体" w:hAnsi="宋体" w:cs="宋体"/>
          <w:sz w:val="24"/>
        </w:rPr>
      </w:pPr>
      <w:r>
        <w:rPr>
          <w:rFonts w:hint="eastAsia" w:ascii="宋体" w:hAnsi="宋体" w:cs="宋体"/>
          <w:sz w:val="24"/>
        </w:rPr>
        <w:t>（6）答复质疑的日期。</w:t>
      </w:r>
    </w:p>
    <w:p>
      <w:pPr>
        <w:spacing w:line="360" w:lineRule="auto"/>
        <w:ind w:firstLine="480" w:firstLineChars="200"/>
        <w:rPr>
          <w:rFonts w:ascii="宋体" w:hAnsi="宋体" w:cs="宋体"/>
          <w:sz w:val="24"/>
        </w:rPr>
      </w:pPr>
      <w:r>
        <w:rPr>
          <w:rFonts w:hint="eastAsia" w:ascii="宋体" w:hAnsi="宋体" w:cs="宋体"/>
          <w:sz w:val="24"/>
        </w:rPr>
        <w:t>质疑答复的内容不得涉及商业秘密。</w:t>
      </w:r>
    </w:p>
    <w:p>
      <w:pPr>
        <w:spacing w:line="360" w:lineRule="auto"/>
        <w:ind w:firstLine="480" w:firstLineChars="200"/>
        <w:rPr>
          <w:rFonts w:ascii="宋体" w:hAnsi="宋体" w:cs="宋体"/>
          <w:sz w:val="24"/>
        </w:rPr>
      </w:pPr>
      <w:r>
        <w:rPr>
          <w:rFonts w:hint="eastAsia" w:ascii="宋体" w:hAnsi="宋体" w:cs="宋体"/>
          <w:sz w:val="24"/>
        </w:rPr>
        <w:t>7、采购人、采购代理机构认为供应商质疑不成立，或者成立但未对中标、成交结果构成影响的，继续开展采购活动；认为供应商质疑成立且影响或者可能影响中标、成交结果的，按照下列情况处理：</w:t>
      </w:r>
    </w:p>
    <w:p>
      <w:pPr>
        <w:spacing w:line="360" w:lineRule="auto"/>
        <w:ind w:firstLine="480" w:firstLineChars="200"/>
        <w:rPr>
          <w:rFonts w:ascii="宋体" w:hAnsi="宋体" w:cs="宋体"/>
          <w:sz w:val="24"/>
        </w:rPr>
      </w:pPr>
      <w:r>
        <w:rPr>
          <w:rFonts w:hint="eastAsia" w:ascii="宋体" w:hAnsi="宋体" w:cs="宋体"/>
          <w:sz w:val="24"/>
        </w:rPr>
        <w:t>（1）对招标文件提出的质疑，依法通过澄清或者修改可以继续开展采购活动的，澄清或者修改招标文件后继续开展采购活动；否则应当修改招标文件后重新开展采购活动。</w:t>
      </w:r>
    </w:p>
    <w:p>
      <w:pPr>
        <w:spacing w:line="360" w:lineRule="auto"/>
        <w:ind w:firstLine="480" w:firstLineChars="200"/>
        <w:rPr>
          <w:rFonts w:ascii="宋体" w:hAnsi="宋体" w:cs="宋体"/>
          <w:sz w:val="24"/>
        </w:rPr>
      </w:pPr>
      <w:r>
        <w:rPr>
          <w:rFonts w:hint="eastAsia" w:ascii="宋体" w:hAnsi="宋体" w:cs="宋体"/>
          <w:sz w:val="24"/>
        </w:rPr>
        <w:t>（2）对采购过程、中标或者成交结果提出的质疑，合格供应商符合法定数量时，可以从合格的中标或者成交候选人中另行确定中标、成交供应商的，应当依法另行确定中标、成交供应商；否则应当重新开展采购活动。</w:t>
      </w:r>
    </w:p>
    <w:p>
      <w:pPr>
        <w:spacing w:line="360" w:lineRule="auto"/>
        <w:ind w:firstLine="480" w:firstLineChars="200"/>
        <w:rPr>
          <w:rFonts w:ascii="宋体" w:hAnsi="宋体" w:cs="宋体"/>
          <w:b/>
          <w:sz w:val="32"/>
          <w:szCs w:val="32"/>
        </w:rPr>
      </w:pPr>
      <w:r>
        <w:rPr>
          <w:rFonts w:hint="eastAsia" w:ascii="宋体" w:hAnsi="宋体" w:cs="宋体"/>
          <w:sz w:val="24"/>
        </w:rPr>
        <w:t>质疑答复导致中标、成交结果改变的，采购人或者采购代理机构应当将有关情况书面报告本级财政部门。</w:t>
      </w:r>
      <w:bookmarkStart w:id="11" w:name="_Toc13309"/>
    </w:p>
    <w:p>
      <w:pPr>
        <w:spacing w:line="360" w:lineRule="auto"/>
        <w:jc w:val="center"/>
        <w:outlineLvl w:val="1"/>
        <w:rPr>
          <w:rFonts w:ascii="宋体" w:hAnsi="宋体" w:cs="宋体"/>
          <w:b/>
          <w:sz w:val="32"/>
          <w:szCs w:val="32"/>
        </w:rPr>
      </w:pPr>
      <w:r>
        <w:rPr>
          <w:rFonts w:hint="eastAsia" w:ascii="宋体" w:hAnsi="宋体" w:cs="宋体"/>
          <w:b/>
          <w:sz w:val="32"/>
          <w:szCs w:val="32"/>
        </w:rPr>
        <w:t>二、招标文件</w:t>
      </w:r>
      <w:bookmarkEnd w:id="11"/>
    </w:p>
    <w:p>
      <w:pPr>
        <w:snapToGrid w:val="0"/>
        <w:spacing w:line="360" w:lineRule="auto"/>
        <w:ind w:firstLine="482" w:firstLineChars="200"/>
        <w:outlineLvl w:val="2"/>
        <w:rPr>
          <w:rFonts w:ascii="宋体" w:hAnsi="宋体" w:cs="宋体"/>
          <w:b/>
          <w:sz w:val="24"/>
        </w:rPr>
      </w:pPr>
      <w:r>
        <w:rPr>
          <w:rFonts w:hint="eastAsia" w:ascii="宋体" w:hAnsi="宋体" w:cs="宋体"/>
          <w:b/>
          <w:sz w:val="24"/>
        </w:rPr>
        <w:t>（一）招标文件的构成。本招标文件由以下部份组成：</w:t>
      </w:r>
    </w:p>
    <w:p>
      <w:pPr>
        <w:snapToGrid w:val="0"/>
        <w:spacing w:line="360" w:lineRule="auto"/>
        <w:ind w:firstLine="480" w:firstLineChars="200"/>
        <w:rPr>
          <w:rFonts w:ascii="宋体" w:hAnsi="宋体" w:cs="宋体"/>
          <w:sz w:val="24"/>
        </w:rPr>
      </w:pPr>
      <w:r>
        <w:rPr>
          <w:rFonts w:hint="eastAsia" w:ascii="宋体" w:hAnsi="宋体" w:cs="宋体"/>
          <w:sz w:val="24"/>
        </w:rPr>
        <w:t>1.招标公告</w:t>
      </w:r>
    </w:p>
    <w:p>
      <w:pPr>
        <w:snapToGrid w:val="0"/>
        <w:spacing w:line="360" w:lineRule="auto"/>
        <w:ind w:firstLine="480" w:firstLineChars="200"/>
        <w:rPr>
          <w:rFonts w:ascii="宋体" w:hAnsi="宋体" w:cs="宋体"/>
          <w:sz w:val="24"/>
        </w:rPr>
      </w:pPr>
      <w:r>
        <w:rPr>
          <w:rFonts w:hint="eastAsia" w:ascii="宋体" w:hAnsi="宋体" w:cs="宋体"/>
          <w:sz w:val="24"/>
        </w:rPr>
        <w:t>2.招标需求</w:t>
      </w:r>
    </w:p>
    <w:p>
      <w:pPr>
        <w:snapToGrid w:val="0"/>
        <w:spacing w:line="360" w:lineRule="auto"/>
        <w:ind w:firstLine="480" w:firstLineChars="200"/>
        <w:rPr>
          <w:rFonts w:ascii="宋体" w:hAnsi="宋体" w:cs="宋体"/>
          <w:sz w:val="24"/>
        </w:rPr>
      </w:pPr>
      <w:r>
        <w:rPr>
          <w:rFonts w:hint="eastAsia" w:ascii="宋体" w:hAnsi="宋体" w:cs="宋体"/>
          <w:sz w:val="24"/>
        </w:rPr>
        <w:t>3.投标人须知</w:t>
      </w:r>
    </w:p>
    <w:p>
      <w:pPr>
        <w:snapToGrid w:val="0"/>
        <w:spacing w:line="360" w:lineRule="auto"/>
        <w:ind w:firstLine="480" w:firstLineChars="200"/>
        <w:rPr>
          <w:rFonts w:ascii="宋体" w:hAnsi="宋体" w:cs="宋体"/>
          <w:sz w:val="24"/>
        </w:rPr>
      </w:pPr>
      <w:r>
        <w:rPr>
          <w:rFonts w:hint="eastAsia" w:ascii="宋体" w:hAnsi="宋体" w:cs="宋体"/>
          <w:sz w:val="24"/>
        </w:rPr>
        <w:t>4.评标办法及标准</w:t>
      </w:r>
    </w:p>
    <w:p>
      <w:pPr>
        <w:snapToGrid w:val="0"/>
        <w:spacing w:line="360" w:lineRule="auto"/>
        <w:ind w:firstLine="480" w:firstLineChars="200"/>
        <w:rPr>
          <w:rFonts w:ascii="宋体" w:hAnsi="宋体" w:cs="宋体"/>
          <w:sz w:val="24"/>
        </w:rPr>
      </w:pPr>
      <w:r>
        <w:rPr>
          <w:rFonts w:hint="eastAsia" w:ascii="宋体" w:hAnsi="宋体" w:cs="宋体"/>
          <w:sz w:val="24"/>
        </w:rPr>
        <w:t>5.合同主要条款</w:t>
      </w:r>
    </w:p>
    <w:p>
      <w:pPr>
        <w:snapToGrid w:val="0"/>
        <w:spacing w:line="360" w:lineRule="auto"/>
        <w:ind w:firstLine="480" w:firstLineChars="200"/>
        <w:rPr>
          <w:rFonts w:ascii="宋体" w:hAnsi="宋体" w:cs="宋体"/>
          <w:sz w:val="24"/>
        </w:rPr>
      </w:pPr>
      <w:r>
        <w:rPr>
          <w:rFonts w:hint="eastAsia" w:ascii="宋体" w:hAnsi="宋体" w:cs="宋体"/>
          <w:sz w:val="24"/>
        </w:rPr>
        <w:t>6.投标文件格式</w:t>
      </w:r>
    </w:p>
    <w:p>
      <w:pPr>
        <w:snapToGrid w:val="0"/>
        <w:spacing w:line="360" w:lineRule="auto"/>
        <w:ind w:firstLine="480" w:firstLineChars="200"/>
        <w:rPr>
          <w:rFonts w:ascii="宋体" w:hAnsi="宋体" w:cs="宋体"/>
          <w:sz w:val="24"/>
        </w:rPr>
      </w:pPr>
      <w:r>
        <w:rPr>
          <w:rFonts w:hint="eastAsia" w:ascii="宋体" w:hAnsi="宋体" w:cs="宋体"/>
          <w:sz w:val="24"/>
        </w:rPr>
        <w:t>7.本项目招标文件的澄清、答复、修改、补充的内容</w:t>
      </w:r>
    </w:p>
    <w:p>
      <w:pPr>
        <w:snapToGrid w:val="0"/>
        <w:spacing w:line="360" w:lineRule="auto"/>
        <w:ind w:firstLine="482" w:firstLineChars="200"/>
        <w:outlineLvl w:val="2"/>
        <w:rPr>
          <w:rFonts w:ascii="宋体" w:hAnsi="宋体" w:cs="宋体"/>
          <w:b/>
          <w:sz w:val="24"/>
        </w:rPr>
      </w:pPr>
      <w:r>
        <w:rPr>
          <w:rFonts w:hint="eastAsia" w:ascii="宋体" w:hAnsi="宋体" w:cs="宋体"/>
          <w:b/>
          <w:sz w:val="24"/>
        </w:rPr>
        <w:t>（二）投标人的风险</w:t>
      </w:r>
    </w:p>
    <w:p>
      <w:pPr>
        <w:snapToGrid w:val="0"/>
        <w:spacing w:line="360" w:lineRule="auto"/>
        <w:ind w:firstLine="480" w:firstLineChars="200"/>
        <w:rPr>
          <w:rFonts w:ascii="宋体" w:hAnsi="宋体" w:cs="宋体"/>
          <w:sz w:val="24"/>
        </w:rPr>
      </w:pPr>
      <w:r>
        <w:rPr>
          <w:rFonts w:hint="eastAsia" w:ascii="宋体" w:hAnsi="宋体" w:cs="宋体"/>
          <w:sz w:val="24"/>
        </w:rPr>
        <w:t>投标人没有按照招标文件要求提供全部资料，或者投标人没有对招标文件在各方面作出实质性响应是投标人的风险，并可能导致其投标被拒绝。</w:t>
      </w:r>
    </w:p>
    <w:p>
      <w:pPr>
        <w:snapToGrid w:val="0"/>
        <w:spacing w:line="360" w:lineRule="auto"/>
        <w:ind w:firstLine="482" w:firstLineChars="200"/>
        <w:outlineLvl w:val="2"/>
        <w:rPr>
          <w:rFonts w:ascii="宋体" w:hAnsi="宋体" w:cs="宋体"/>
          <w:b/>
          <w:sz w:val="24"/>
        </w:rPr>
      </w:pPr>
      <w:r>
        <w:rPr>
          <w:rFonts w:hint="eastAsia" w:ascii="宋体" w:hAnsi="宋体" w:cs="宋体"/>
          <w:b/>
          <w:sz w:val="24"/>
        </w:rPr>
        <w:t>（三）招标文件的澄清与修改</w:t>
      </w:r>
    </w:p>
    <w:p>
      <w:pPr>
        <w:snapToGrid w:val="0"/>
        <w:spacing w:line="360" w:lineRule="auto"/>
        <w:ind w:firstLine="480" w:firstLineChars="200"/>
        <w:rPr>
          <w:rFonts w:ascii="宋体" w:hAnsi="宋体" w:cs="宋体"/>
          <w:sz w:val="24"/>
        </w:rPr>
      </w:pPr>
      <w:bookmarkStart w:id="12" w:name="_Toc3451"/>
      <w:r>
        <w:rPr>
          <w:rFonts w:hint="eastAsia" w:ascii="宋体" w:hAnsi="宋体" w:cs="宋体"/>
          <w:sz w:val="24"/>
        </w:rPr>
        <w:t>1.供应商应认真阅读本招标文件，发现其中有误或有不合理要求的，供应商应当在获取招标文件或者招标文件公告期限届满之日起7个工作日内提出，否则逾期视为默认。采购人或采购代理机构对已发出的招标文件进行必要澄清、答复、修改或补充的，应当在招标文件要求提交投标文件截止时间十五日前，在公告发布的信息媒体上发布更正公告；不足十五日的，采购人或者采购代理机构应当顺延提交投标文件的截止时间。</w:t>
      </w:r>
    </w:p>
    <w:p>
      <w:pPr>
        <w:snapToGrid w:val="0"/>
        <w:spacing w:line="360" w:lineRule="auto"/>
        <w:ind w:firstLine="480" w:firstLineChars="200"/>
        <w:rPr>
          <w:rFonts w:ascii="宋体" w:hAnsi="宋体" w:cs="宋体"/>
          <w:sz w:val="24"/>
        </w:rPr>
      </w:pPr>
      <w:r>
        <w:rPr>
          <w:rFonts w:hint="eastAsia" w:ascii="宋体" w:hAnsi="宋体" w:cs="宋体"/>
          <w:sz w:val="24"/>
        </w:rPr>
        <w:t>2.采购人、采购代理机构必须以书面形式答复供应商要求澄清的问题，并将不包含问题来源的答复书面通知所有购买招标文件的供应商；除书面答复以外的其他澄清方式及澄清内容均无效。</w:t>
      </w:r>
    </w:p>
    <w:p>
      <w:pPr>
        <w:snapToGrid w:val="0"/>
        <w:spacing w:line="360" w:lineRule="auto"/>
        <w:ind w:firstLine="480" w:firstLineChars="200"/>
        <w:rPr>
          <w:rFonts w:ascii="宋体" w:hAnsi="宋体" w:cs="宋体"/>
          <w:sz w:val="24"/>
        </w:rPr>
      </w:pPr>
      <w:r>
        <w:rPr>
          <w:rFonts w:hint="eastAsia" w:ascii="宋体" w:hAnsi="宋体" w:cs="宋体"/>
          <w:sz w:val="24"/>
        </w:rPr>
        <w:t>3.招标文件澄清、答复、修改、补充的内容为招标文件的组成部分。当招标文件与招标文件的答复、澄清、修改、补充通知就同一内容的表述不一致时，以最后发出的书面文件为准。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4.招标文件的澄清、答复、修改或补充都应该通过本采购代理机构以法定形式发布，采购人非通过本采购代理机构，不得擅自澄清、答复、修改或补充招标文件。</w:t>
      </w:r>
    </w:p>
    <w:p>
      <w:pPr>
        <w:snapToGrid w:val="0"/>
        <w:spacing w:line="360" w:lineRule="auto"/>
        <w:ind w:firstLine="643" w:firstLineChars="200"/>
        <w:rPr>
          <w:rFonts w:ascii="宋体" w:hAnsi="宋体" w:cs="宋体"/>
          <w:b/>
          <w:sz w:val="32"/>
          <w:szCs w:val="32"/>
        </w:rPr>
      </w:pPr>
      <w:r>
        <w:rPr>
          <w:rFonts w:hint="eastAsia" w:ascii="宋体" w:hAnsi="宋体" w:cs="宋体"/>
          <w:b/>
          <w:sz w:val="32"/>
          <w:szCs w:val="32"/>
        </w:rPr>
        <w:t>三、投标文件的编制要求</w:t>
      </w:r>
      <w:bookmarkEnd w:id="12"/>
    </w:p>
    <w:p>
      <w:pPr>
        <w:snapToGrid w:val="0"/>
        <w:ind w:firstLine="482" w:firstLineChars="200"/>
        <w:outlineLvl w:val="2"/>
        <w:rPr>
          <w:rFonts w:ascii="宋体" w:hAnsi="宋体" w:cs="宋体"/>
          <w:b/>
          <w:sz w:val="24"/>
        </w:rPr>
      </w:pPr>
      <w:r>
        <w:rPr>
          <w:rFonts w:hint="eastAsia" w:ascii="宋体" w:hAnsi="宋体" w:cs="宋体"/>
          <w:b/>
          <w:sz w:val="24"/>
        </w:rPr>
        <w:t>（一）投标文件的组成</w:t>
      </w:r>
    </w:p>
    <w:p>
      <w:pPr>
        <w:pStyle w:val="35"/>
        <w:ind w:firstLine="386"/>
        <w:rPr>
          <w:sz w:val="24"/>
        </w:rPr>
      </w:pPr>
      <w:r>
        <w:rPr>
          <w:rFonts w:hint="eastAsia"/>
          <w:sz w:val="24"/>
        </w:rPr>
        <w:t>投标文件由</w:t>
      </w:r>
      <w:r>
        <w:rPr>
          <w:rFonts w:hint="eastAsia"/>
          <w:b/>
          <w:bCs/>
          <w:sz w:val="24"/>
        </w:rPr>
        <w:t>《</w:t>
      </w:r>
      <w:r>
        <w:rPr>
          <w:rFonts w:hint="eastAsia"/>
          <w:b/>
          <w:sz w:val="24"/>
        </w:rPr>
        <w:t>资格证明文件</w:t>
      </w:r>
      <w:r>
        <w:rPr>
          <w:rFonts w:hint="eastAsia"/>
          <w:b/>
          <w:bCs/>
          <w:sz w:val="24"/>
        </w:rPr>
        <w:t>》</w:t>
      </w:r>
      <w:r>
        <w:rPr>
          <w:rFonts w:hint="eastAsia"/>
          <w:b/>
          <w:sz w:val="24"/>
        </w:rPr>
        <w:t>、</w:t>
      </w:r>
      <w:r>
        <w:rPr>
          <w:rFonts w:hint="eastAsia"/>
          <w:b/>
          <w:bCs/>
          <w:sz w:val="24"/>
        </w:rPr>
        <w:t>《</w:t>
      </w:r>
      <w:r>
        <w:rPr>
          <w:rFonts w:hint="eastAsia"/>
          <w:b/>
          <w:sz w:val="24"/>
        </w:rPr>
        <w:t>技术、商务、资信及其他文件</w:t>
      </w:r>
      <w:r>
        <w:rPr>
          <w:rFonts w:hint="eastAsia"/>
          <w:b/>
          <w:bCs/>
          <w:sz w:val="24"/>
        </w:rPr>
        <w:t>》</w:t>
      </w:r>
      <w:r>
        <w:rPr>
          <w:rFonts w:hint="eastAsia"/>
          <w:b/>
          <w:sz w:val="24"/>
        </w:rPr>
        <w:t>和</w:t>
      </w:r>
      <w:r>
        <w:rPr>
          <w:rFonts w:hint="eastAsia"/>
          <w:b/>
          <w:bCs/>
          <w:sz w:val="24"/>
        </w:rPr>
        <w:t>《</w:t>
      </w:r>
      <w:r>
        <w:rPr>
          <w:rFonts w:hint="eastAsia"/>
          <w:b/>
          <w:sz w:val="24"/>
        </w:rPr>
        <w:t>报价文件</w:t>
      </w:r>
      <w:r>
        <w:rPr>
          <w:rFonts w:hint="eastAsia"/>
          <w:b/>
          <w:bCs/>
          <w:sz w:val="24"/>
        </w:rPr>
        <w:t>》</w:t>
      </w:r>
      <w:r>
        <w:rPr>
          <w:rFonts w:hint="eastAsia"/>
          <w:sz w:val="24"/>
        </w:rPr>
        <w:t>三部份组成。</w:t>
      </w:r>
    </w:p>
    <w:p>
      <w:pPr>
        <w:spacing w:line="460" w:lineRule="exact"/>
        <w:ind w:firstLine="480" w:firstLineChars="200"/>
        <w:rPr>
          <w:sz w:val="24"/>
        </w:rPr>
      </w:pPr>
      <w:r>
        <w:rPr>
          <w:rFonts w:hint="eastAsia"/>
          <w:sz w:val="24"/>
        </w:rPr>
        <w:t>投标人应保证所提供文件资料的真实性，所有文件资料必须是针对本次招标的。如发现投标人提供了虚假文件资料，其投标将被拒绝，并自行承担相应的法律责任。</w:t>
      </w:r>
    </w:p>
    <w:p>
      <w:pPr>
        <w:spacing w:line="460" w:lineRule="exact"/>
        <w:ind w:firstLine="482" w:firstLineChars="200"/>
        <w:rPr>
          <w:rFonts w:ascii="宋体" w:hAnsi="宋体" w:cs="宋体"/>
          <w:b/>
          <w:kern w:val="0"/>
          <w:sz w:val="24"/>
        </w:rPr>
      </w:pPr>
      <w:r>
        <w:rPr>
          <w:rFonts w:hint="eastAsia" w:ascii="宋体" w:hAnsi="宋体" w:cs="宋体"/>
          <w:b/>
          <w:kern w:val="0"/>
          <w:sz w:val="24"/>
        </w:rPr>
        <w:t>1.资格文件主要包括下列内容：</w:t>
      </w:r>
    </w:p>
    <w:p>
      <w:pPr>
        <w:spacing w:line="460" w:lineRule="exact"/>
        <w:ind w:firstLine="480" w:firstLineChars="200"/>
        <w:rPr>
          <w:rFonts w:ascii="宋体" w:hAnsi="宋体" w:cs="宋体"/>
          <w:szCs w:val="28"/>
        </w:rPr>
      </w:pPr>
      <w:r>
        <w:rPr>
          <w:rFonts w:hint="eastAsia" w:ascii="宋体" w:hAnsi="宋体" w:cs="宋体"/>
          <w:kern w:val="0"/>
          <w:sz w:val="24"/>
        </w:rPr>
        <w:t xml:space="preserve">1.1 </w:t>
      </w:r>
      <w:r>
        <w:rPr>
          <w:rFonts w:hint="eastAsia" w:ascii="宋体" w:hAnsi="宋体" w:cs="宋体"/>
          <w:sz w:val="24"/>
        </w:rPr>
        <w:t>投标声明书(格式见第六章，含重大违法记录声明)</w:t>
      </w:r>
      <w:r>
        <w:rPr>
          <w:rFonts w:hint="eastAsia" w:ascii="宋体" w:hAnsi="宋体" w:cs="宋体"/>
          <w:szCs w:val="28"/>
        </w:rPr>
        <w:t>；</w:t>
      </w:r>
    </w:p>
    <w:p>
      <w:pPr>
        <w:spacing w:line="460" w:lineRule="exact"/>
        <w:ind w:firstLine="480" w:firstLineChars="200"/>
        <w:rPr>
          <w:rFonts w:ascii="宋体" w:hAnsi="宋体" w:cs="宋体"/>
          <w:sz w:val="24"/>
        </w:rPr>
      </w:pPr>
      <w:r>
        <w:rPr>
          <w:rFonts w:hint="eastAsia" w:ascii="宋体" w:hAnsi="宋体" w:cs="宋体"/>
          <w:kern w:val="0"/>
          <w:sz w:val="24"/>
        </w:rPr>
        <w:t>1.2 有</w:t>
      </w:r>
      <w:r>
        <w:rPr>
          <w:rFonts w:hint="eastAsia" w:ascii="宋体" w:hAnsi="宋体" w:cs="宋体"/>
          <w:sz w:val="24"/>
        </w:rPr>
        <w:t>效的企业营业执照副本（原件扫描件加盖公章）；</w:t>
      </w:r>
    </w:p>
    <w:p>
      <w:pPr>
        <w:spacing w:line="480" w:lineRule="exact"/>
        <w:ind w:firstLine="470" w:firstLineChars="196"/>
        <w:jc w:val="left"/>
        <w:rPr>
          <w:rFonts w:ascii="宋体" w:hAnsi="宋体" w:cs="宋体"/>
          <w:sz w:val="24"/>
        </w:rPr>
      </w:pPr>
      <w:r>
        <w:rPr>
          <w:rFonts w:hint="eastAsia" w:ascii="宋体" w:hAnsi="宋体" w:cs="宋体"/>
          <w:kern w:val="0"/>
          <w:sz w:val="24"/>
        </w:rPr>
        <w:t>1.3 法定代表人有效身份证明书及法定代表人授权书</w:t>
      </w:r>
      <w:r>
        <w:rPr>
          <w:rFonts w:hint="eastAsia" w:ascii="宋体" w:hAnsi="宋体" w:cs="宋体"/>
          <w:sz w:val="24"/>
        </w:rPr>
        <w:t>（法定代表人直接参加投标并对相应文件签字的，只需提供前者；授权委托人参加投标并对相应文件签字的，两者均需提供。格式见第六章)；</w:t>
      </w:r>
    </w:p>
    <w:p>
      <w:pPr>
        <w:spacing w:line="460" w:lineRule="exact"/>
        <w:ind w:firstLine="480" w:firstLineChars="200"/>
        <w:rPr>
          <w:rFonts w:ascii="宋体" w:hAnsi="宋体" w:cs="宋体"/>
          <w:sz w:val="24"/>
        </w:rPr>
      </w:pPr>
      <w:r>
        <w:rPr>
          <w:rFonts w:hint="eastAsia" w:ascii="宋体" w:hAnsi="宋体" w:cs="宋体"/>
          <w:sz w:val="24"/>
        </w:rPr>
        <w:t>1.4 经当地税务、社保部门出具的投标单位最近三个月企业纳税情况和社保基金缴纳情况证明文书（税费凭证或者依法缴纳税费或依法免缴税费的证明，原件扫描件加盖公章）；</w:t>
      </w:r>
    </w:p>
    <w:p>
      <w:pPr>
        <w:spacing w:line="480" w:lineRule="exact"/>
        <w:ind w:firstLine="470" w:firstLineChars="196"/>
        <w:jc w:val="left"/>
        <w:rPr>
          <w:rFonts w:ascii="宋体" w:hAnsi="宋体" w:cs="宋体"/>
          <w:kern w:val="0"/>
          <w:sz w:val="24"/>
        </w:rPr>
      </w:pPr>
      <w:r>
        <w:rPr>
          <w:rFonts w:hint="eastAsia" w:ascii="宋体" w:hAnsi="宋体" w:cs="宋体"/>
          <w:sz w:val="24"/>
        </w:rPr>
        <w:t>1.5 上年度企业的财务报告</w:t>
      </w:r>
      <w:r>
        <w:rPr>
          <w:rFonts w:hint="eastAsia" w:ascii="宋体" w:hAnsi="宋体" w:cs="宋体"/>
          <w:kern w:val="0"/>
          <w:sz w:val="24"/>
        </w:rPr>
        <w:t>（经审计的财务报告，包括资产负债表、利润表；未经审计的，提供资产负债表、利润表或损益表，新成立的公司提供情况说明。原件扫描件加盖公章）；</w:t>
      </w:r>
    </w:p>
    <w:p>
      <w:pPr>
        <w:spacing w:line="460" w:lineRule="exact"/>
        <w:ind w:firstLine="480" w:firstLineChars="200"/>
        <w:rPr>
          <w:rFonts w:ascii="宋体" w:hAnsi="宋体" w:cs="宋体"/>
          <w:sz w:val="24"/>
        </w:rPr>
      </w:pPr>
      <w:r>
        <w:rPr>
          <w:rFonts w:hint="eastAsia" w:ascii="宋体" w:hAnsi="宋体" w:cs="宋体"/>
          <w:sz w:val="24"/>
        </w:rPr>
        <w:t>1.6信用承诺书（格式见第六章）；</w:t>
      </w:r>
    </w:p>
    <w:p>
      <w:pPr>
        <w:spacing w:line="460" w:lineRule="exact"/>
        <w:ind w:firstLine="482" w:firstLineChars="200"/>
        <w:rPr>
          <w:rFonts w:ascii="宋体" w:hAnsi="宋体" w:cs="宋体"/>
          <w:b/>
          <w:kern w:val="0"/>
          <w:sz w:val="24"/>
        </w:rPr>
      </w:pPr>
      <w:r>
        <w:rPr>
          <w:rFonts w:hint="eastAsia" w:ascii="宋体" w:hAnsi="宋体" w:cs="宋体"/>
          <w:b/>
          <w:kern w:val="0"/>
          <w:sz w:val="24"/>
        </w:rPr>
        <w:t>2. 技术、商务、资信及其他文件主要包括下列内容：</w:t>
      </w:r>
    </w:p>
    <w:p>
      <w:pPr>
        <w:spacing w:line="460" w:lineRule="exact"/>
        <w:ind w:firstLine="480" w:firstLineChars="200"/>
        <w:rPr>
          <w:rFonts w:ascii="宋体" w:hAnsi="宋体" w:cs="宋体"/>
          <w:kern w:val="0"/>
          <w:sz w:val="24"/>
        </w:rPr>
      </w:pPr>
      <w:r>
        <w:rPr>
          <w:rFonts w:hint="eastAsia" w:ascii="宋体" w:hAnsi="宋体" w:cs="宋体"/>
          <w:kern w:val="0"/>
          <w:sz w:val="24"/>
        </w:rPr>
        <w:t>2.1供应商自评分索引表（</w:t>
      </w:r>
      <w:r>
        <w:rPr>
          <w:rFonts w:hint="eastAsia" w:ascii="宋体" w:hAnsi="宋体" w:cs="宋体"/>
          <w:sz w:val="24"/>
        </w:rPr>
        <w:t>格式见第六章</w:t>
      </w:r>
      <w:r>
        <w:rPr>
          <w:rFonts w:hint="eastAsia" w:ascii="宋体" w:hAnsi="宋体" w:cs="宋体"/>
          <w:kern w:val="0"/>
          <w:sz w:val="24"/>
        </w:rPr>
        <w:t>）；</w:t>
      </w:r>
    </w:p>
    <w:p>
      <w:pPr>
        <w:spacing w:line="460" w:lineRule="exact"/>
        <w:ind w:firstLine="482" w:firstLineChars="200"/>
      </w:pPr>
      <w:r>
        <w:rPr>
          <w:rFonts w:hint="eastAsia" w:ascii="宋体" w:hAnsi="宋体" w:cs="宋体"/>
          <w:b/>
          <w:kern w:val="0"/>
          <w:sz w:val="24"/>
        </w:rPr>
        <w:t>2.2 技术部分：</w:t>
      </w:r>
    </w:p>
    <w:p>
      <w:pPr>
        <w:spacing w:line="460" w:lineRule="exact"/>
        <w:ind w:firstLine="480" w:firstLineChars="200"/>
        <w:rPr>
          <w:rFonts w:ascii="宋体" w:hAnsi="宋体" w:cs="宋体"/>
          <w:kern w:val="0"/>
          <w:sz w:val="24"/>
        </w:rPr>
      </w:pPr>
      <w:r>
        <w:rPr>
          <w:rFonts w:hint="eastAsia" w:ascii="宋体" w:hAnsi="宋体" w:cs="宋体"/>
          <w:kern w:val="0"/>
          <w:sz w:val="24"/>
        </w:rPr>
        <w:t>2.2.1管理作业方案；</w:t>
      </w:r>
    </w:p>
    <w:p>
      <w:pPr>
        <w:spacing w:line="460" w:lineRule="exact"/>
        <w:ind w:firstLine="480" w:firstLineChars="200"/>
        <w:rPr>
          <w:rFonts w:ascii="宋体" w:hAnsi="宋体" w:cs="宋体"/>
          <w:kern w:val="0"/>
          <w:sz w:val="24"/>
        </w:rPr>
      </w:pPr>
      <w:r>
        <w:rPr>
          <w:rFonts w:hint="eastAsia" w:ascii="宋体" w:hAnsi="宋体" w:cs="宋体"/>
          <w:kern w:val="0"/>
          <w:sz w:val="24"/>
        </w:rPr>
        <w:t>2.2.3安全生产措施方案；</w:t>
      </w:r>
    </w:p>
    <w:p>
      <w:pPr>
        <w:spacing w:line="460" w:lineRule="exact"/>
        <w:ind w:firstLine="480" w:firstLineChars="200"/>
        <w:rPr>
          <w:rFonts w:ascii="宋体" w:hAnsi="宋体" w:cs="宋体"/>
          <w:kern w:val="0"/>
          <w:sz w:val="24"/>
        </w:rPr>
      </w:pPr>
      <w:r>
        <w:rPr>
          <w:rFonts w:hint="eastAsia" w:ascii="宋体" w:hAnsi="宋体" w:cs="宋体"/>
          <w:kern w:val="0"/>
          <w:sz w:val="24"/>
        </w:rPr>
        <w:t>2.2.4养护移交平稳过渡计划实施方案；</w:t>
      </w:r>
    </w:p>
    <w:p>
      <w:pPr>
        <w:spacing w:line="460" w:lineRule="exact"/>
        <w:ind w:firstLine="480" w:firstLineChars="200"/>
        <w:rPr>
          <w:rFonts w:ascii="宋体" w:hAnsi="宋体" w:cs="宋体"/>
          <w:kern w:val="0"/>
          <w:sz w:val="24"/>
        </w:rPr>
      </w:pPr>
      <w:r>
        <w:rPr>
          <w:rFonts w:hint="eastAsia" w:ascii="宋体" w:hAnsi="宋体" w:cs="宋体"/>
          <w:kern w:val="0"/>
          <w:sz w:val="24"/>
        </w:rPr>
        <w:t>2.2.5应急响应方案；</w:t>
      </w:r>
    </w:p>
    <w:p>
      <w:pPr>
        <w:spacing w:line="460" w:lineRule="exact"/>
        <w:ind w:firstLine="482" w:firstLineChars="200"/>
        <w:rPr>
          <w:rFonts w:ascii="宋体" w:hAnsi="宋体" w:cs="宋体"/>
          <w:b/>
          <w:kern w:val="0"/>
          <w:sz w:val="24"/>
        </w:rPr>
      </w:pPr>
      <w:r>
        <w:rPr>
          <w:rFonts w:hint="eastAsia" w:ascii="宋体" w:hAnsi="宋体" w:cs="宋体"/>
          <w:b/>
          <w:kern w:val="0"/>
          <w:sz w:val="24"/>
        </w:rPr>
        <w:t>2.3商务、资信及其他部分：</w:t>
      </w:r>
    </w:p>
    <w:p>
      <w:pPr>
        <w:spacing w:line="460" w:lineRule="exact"/>
        <w:ind w:firstLine="480" w:firstLineChars="200"/>
        <w:rPr>
          <w:rFonts w:ascii="宋体" w:hAnsi="宋体" w:cs="宋体"/>
          <w:sz w:val="24"/>
        </w:rPr>
      </w:pPr>
      <w:r>
        <w:rPr>
          <w:rFonts w:hint="eastAsia" w:ascii="宋体" w:hAnsi="宋体" w:cs="宋体"/>
          <w:kern w:val="0"/>
          <w:sz w:val="24"/>
        </w:rPr>
        <w:t>2.3.1投标声明书</w:t>
      </w:r>
      <w:r>
        <w:rPr>
          <w:rFonts w:hint="eastAsia" w:ascii="宋体" w:hAnsi="宋体" w:cs="宋体"/>
          <w:sz w:val="24"/>
        </w:rPr>
        <w:t>（格式见第六章）</w:t>
      </w:r>
    </w:p>
    <w:p>
      <w:pPr>
        <w:spacing w:line="460" w:lineRule="exact"/>
        <w:ind w:firstLine="480" w:firstLineChars="200"/>
        <w:rPr>
          <w:rFonts w:ascii="宋体" w:hAnsi="宋体" w:cs="宋体"/>
          <w:kern w:val="0"/>
          <w:sz w:val="24"/>
        </w:rPr>
      </w:pPr>
      <w:r>
        <w:rPr>
          <w:rFonts w:hint="eastAsia" w:ascii="宋体" w:hAnsi="宋体" w:cs="宋体"/>
          <w:kern w:val="0"/>
          <w:sz w:val="24"/>
        </w:rPr>
        <w:t>2.3.2商务响应表（</w:t>
      </w:r>
      <w:r>
        <w:rPr>
          <w:rFonts w:hint="eastAsia" w:ascii="宋体" w:hAnsi="宋体" w:cs="宋体"/>
          <w:sz w:val="24"/>
        </w:rPr>
        <w:t>格式见第六章</w:t>
      </w:r>
      <w:r>
        <w:rPr>
          <w:rFonts w:hint="eastAsia" w:ascii="宋体" w:hAnsi="宋体" w:cs="宋体"/>
          <w:kern w:val="0"/>
          <w:sz w:val="24"/>
        </w:rPr>
        <w:t xml:space="preserve">）； </w:t>
      </w:r>
    </w:p>
    <w:p>
      <w:pPr>
        <w:spacing w:line="460" w:lineRule="exact"/>
        <w:ind w:firstLine="480" w:firstLineChars="200"/>
        <w:rPr>
          <w:rFonts w:ascii="宋体" w:hAnsi="宋体" w:cs="宋体"/>
          <w:kern w:val="0"/>
          <w:sz w:val="24"/>
        </w:rPr>
      </w:pPr>
      <w:r>
        <w:rPr>
          <w:rFonts w:hint="eastAsia" w:ascii="宋体" w:hAnsi="宋体" w:cs="宋体"/>
          <w:kern w:val="0"/>
          <w:sz w:val="24"/>
        </w:rPr>
        <w:t>2.3.3项目实施人员一览表（</w:t>
      </w:r>
      <w:r>
        <w:rPr>
          <w:rFonts w:hint="eastAsia" w:ascii="宋体" w:hAnsi="宋体" w:cs="宋体"/>
          <w:sz w:val="24"/>
        </w:rPr>
        <w:t>格式见第六章</w:t>
      </w:r>
      <w:r>
        <w:rPr>
          <w:rFonts w:hint="eastAsia" w:ascii="宋体" w:hAnsi="宋体" w:cs="宋体"/>
          <w:kern w:val="0"/>
          <w:sz w:val="24"/>
        </w:rPr>
        <w:t>）；</w:t>
      </w:r>
    </w:p>
    <w:p>
      <w:pPr>
        <w:spacing w:line="460" w:lineRule="exact"/>
        <w:ind w:firstLine="480" w:firstLineChars="200"/>
        <w:rPr>
          <w:rFonts w:ascii="宋体" w:hAnsi="宋体" w:cs="宋体"/>
          <w:kern w:val="0"/>
          <w:sz w:val="24"/>
        </w:rPr>
      </w:pPr>
      <w:r>
        <w:rPr>
          <w:rFonts w:hint="eastAsia" w:ascii="宋体" w:hAnsi="宋体" w:cs="宋体"/>
          <w:kern w:val="0"/>
          <w:sz w:val="24"/>
        </w:rPr>
        <w:t>2.3.4投标人拟投入机械设备情况</w:t>
      </w:r>
      <w:r>
        <w:rPr>
          <w:rFonts w:hint="eastAsia" w:ascii="宋体" w:hAnsi="宋体" w:cs="宋体"/>
          <w:sz w:val="24"/>
        </w:rPr>
        <w:t>（格式见第六章）</w:t>
      </w:r>
    </w:p>
    <w:p>
      <w:pPr>
        <w:spacing w:line="460" w:lineRule="exact"/>
        <w:ind w:firstLine="480" w:firstLineChars="200"/>
        <w:rPr>
          <w:rFonts w:ascii="宋体" w:hAnsi="宋体" w:cs="宋体"/>
          <w:kern w:val="0"/>
          <w:sz w:val="24"/>
        </w:rPr>
      </w:pPr>
      <w:r>
        <w:rPr>
          <w:rFonts w:hint="eastAsia" w:ascii="宋体" w:hAnsi="宋体" w:cs="宋体"/>
          <w:kern w:val="0"/>
          <w:sz w:val="24"/>
        </w:rPr>
        <w:t>2.3.5企业业绩</w:t>
      </w:r>
      <w:r>
        <w:rPr>
          <w:rFonts w:hint="eastAsia" w:ascii="宋体" w:hAnsi="宋体" w:cs="宋体"/>
          <w:sz w:val="24"/>
        </w:rPr>
        <w:t>（格式见第六章）</w:t>
      </w:r>
      <w:r>
        <w:rPr>
          <w:rFonts w:hint="eastAsia" w:ascii="宋体" w:hAnsi="宋体" w:cs="宋体"/>
          <w:kern w:val="0"/>
          <w:sz w:val="24"/>
        </w:rPr>
        <w:t>；</w:t>
      </w:r>
    </w:p>
    <w:p>
      <w:pPr>
        <w:spacing w:line="460" w:lineRule="exact"/>
        <w:ind w:firstLine="480" w:firstLineChars="200"/>
        <w:rPr>
          <w:rFonts w:ascii="宋体" w:hAnsi="宋体" w:cs="宋体"/>
          <w:kern w:val="0"/>
          <w:sz w:val="24"/>
        </w:rPr>
      </w:pPr>
      <w:r>
        <w:rPr>
          <w:rFonts w:hint="eastAsia" w:ascii="宋体" w:hAnsi="宋体" w:cs="宋体"/>
          <w:kern w:val="0"/>
          <w:sz w:val="24"/>
        </w:rPr>
        <w:t>2.3.6企业认证证书(如有)；</w:t>
      </w:r>
    </w:p>
    <w:p>
      <w:pPr>
        <w:spacing w:line="460" w:lineRule="exact"/>
        <w:ind w:firstLine="480" w:firstLineChars="200"/>
        <w:rPr>
          <w:rFonts w:ascii="宋体" w:hAnsi="宋体" w:cs="宋体"/>
          <w:kern w:val="0"/>
          <w:sz w:val="24"/>
        </w:rPr>
      </w:pPr>
      <w:r>
        <w:rPr>
          <w:rFonts w:hint="eastAsia" w:ascii="宋体" w:hAnsi="宋体" w:cs="宋体"/>
          <w:kern w:val="0"/>
          <w:sz w:val="24"/>
        </w:rPr>
        <w:t>2.3.7供应商需要说明的其他文件和说明(如有)。</w:t>
      </w:r>
    </w:p>
    <w:p>
      <w:pPr>
        <w:spacing w:line="460" w:lineRule="exact"/>
        <w:ind w:firstLine="482" w:firstLineChars="200"/>
        <w:rPr>
          <w:rFonts w:ascii="宋体" w:hAnsi="宋体" w:cs="宋体"/>
          <w:b/>
          <w:kern w:val="0"/>
          <w:sz w:val="24"/>
        </w:rPr>
      </w:pPr>
      <w:r>
        <w:rPr>
          <w:rFonts w:hint="eastAsia" w:ascii="宋体" w:hAnsi="宋体" w:cs="宋体"/>
          <w:b/>
          <w:kern w:val="0"/>
          <w:sz w:val="24"/>
        </w:rPr>
        <w:t>3. 报价文件：</w:t>
      </w:r>
    </w:p>
    <w:p>
      <w:pPr>
        <w:spacing w:line="460" w:lineRule="exact"/>
        <w:ind w:firstLine="480" w:firstLineChars="200"/>
        <w:rPr>
          <w:rFonts w:ascii="宋体" w:hAnsi="宋体" w:cs="宋体"/>
          <w:kern w:val="0"/>
          <w:sz w:val="24"/>
        </w:rPr>
      </w:pPr>
      <w:r>
        <w:rPr>
          <w:rFonts w:hint="eastAsia" w:ascii="宋体" w:hAnsi="宋体" w:cs="宋体"/>
          <w:kern w:val="0"/>
          <w:sz w:val="24"/>
        </w:rPr>
        <w:t>3.1投标函</w:t>
      </w:r>
      <w:r>
        <w:rPr>
          <w:rFonts w:hint="eastAsia" w:ascii="宋体" w:hAnsi="宋体" w:cs="宋体"/>
          <w:sz w:val="24"/>
        </w:rPr>
        <w:t>（格式见第六章）；</w:t>
      </w:r>
    </w:p>
    <w:p>
      <w:pPr>
        <w:spacing w:line="460" w:lineRule="exact"/>
        <w:ind w:firstLine="480" w:firstLineChars="200"/>
        <w:rPr>
          <w:rFonts w:ascii="宋体" w:hAnsi="宋体" w:cs="宋体"/>
          <w:sz w:val="24"/>
        </w:rPr>
      </w:pPr>
      <w:r>
        <w:rPr>
          <w:rFonts w:hint="eastAsia" w:ascii="宋体" w:hAnsi="宋体" w:cs="宋体"/>
          <w:kern w:val="0"/>
          <w:sz w:val="24"/>
        </w:rPr>
        <w:t>3.2开标一览表</w:t>
      </w:r>
      <w:r>
        <w:rPr>
          <w:rFonts w:hint="eastAsia" w:ascii="宋体" w:hAnsi="宋体" w:cs="宋体"/>
          <w:sz w:val="24"/>
        </w:rPr>
        <w:t>（格式见第六章）；</w:t>
      </w:r>
    </w:p>
    <w:p>
      <w:pPr>
        <w:spacing w:line="460" w:lineRule="exact"/>
        <w:ind w:firstLine="480" w:firstLineChars="200"/>
        <w:rPr>
          <w:rFonts w:ascii="宋体" w:hAnsi="宋体" w:cs="宋体"/>
          <w:kern w:val="0"/>
          <w:sz w:val="24"/>
        </w:rPr>
      </w:pPr>
      <w:r>
        <w:rPr>
          <w:rFonts w:hint="eastAsia" w:ascii="宋体" w:hAnsi="宋体" w:cs="宋体"/>
          <w:kern w:val="0"/>
          <w:sz w:val="24"/>
        </w:rPr>
        <w:t>3.3投标报价明细表(</w:t>
      </w:r>
      <w:r>
        <w:rPr>
          <w:rFonts w:hint="eastAsia" w:ascii="宋体" w:hAnsi="宋体" w:cs="宋体"/>
          <w:sz w:val="24"/>
        </w:rPr>
        <w:t>格式见第六章</w:t>
      </w:r>
      <w:r>
        <w:rPr>
          <w:rFonts w:hint="eastAsia" w:ascii="宋体" w:hAnsi="宋体" w:cs="宋体"/>
          <w:kern w:val="0"/>
          <w:sz w:val="24"/>
        </w:rPr>
        <w:t>)；</w:t>
      </w:r>
    </w:p>
    <w:p>
      <w:pPr>
        <w:spacing w:line="460" w:lineRule="exact"/>
        <w:ind w:firstLine="480" w:firstLineChars="200"/>
        <w:rPr>
          <w:rFonts w:ascii="宋体" w:hAnsi="宋体" w:cs="宋体"/>
          <w:kern w:val="0"/>
          <w:sz w:val="24"/>
        </w:rPr>
      </w:pPr>
      <w:r>
        <w:rPr>
          <w:rFonts w:hint="eastAsia" w:ascii="宋体" w:hAnsi="宋体" w:cs="宋体"/>
          <w:kern w:val="0"/>
          <w:sz w:val="24"/>
        </w:rPr>
        <w:t>3.4招标代理服务费承诺函</w:t>
      </w:r>
      <w:r>
        <w:rPr>
          <w:rFonts w:hint="eastAsia" w:ascii="宋体" w:hAnsi="宋体" w:cs="宋体"/>
          <w:sz w:val="24"/>
        </w:rPr>
        <w:t>（格式见第六章）；</w:t>
      </w:r>
    </w:p>
    <w:p>
      <w:pPr>
        <w:spacing w:line="460" w:lineRule="exact"/>
        <w:ind w:firstLine="480" w:firstLineChars="200"/>
        <w:rPr>
          <w:rFonts w:ascii="宋体" w:hAnsi="宋体" w:cs="宋体"/>
          <w:kern w:val="0"/>
          <w:sz w:val="24"/>
        </w:rPr>
      </w:pPr>
      <w:r>
        <w:rPr>
          <w:rFonts w:hint="eastAsia" w:ascii="宋体" w:hAnsi="宋体" w:cs="宋体"/>
          <w:kern w:val="0"/>
          <w:sz w:val="24"/>
        </w:rPr>
        <w:t>3.5供应商针对报价需要说明的其他文件和说明（格式自拟）。</w:t>
      </w:r>
    </w:p>
    <w:p>
      <w:pPr>
        <w:spacing w:line="460" w:lineRule="exact"/>
        <w:rPr>
          <w:rFonts w:ascii="宋体" w:hAnsi="宋体" w:cs="宋体"/>
          <w:b/>
          <w:sz w:val="24"/>
        </w:rPr>
      </w:pPr>
      <w:r>
        <w:rPr>
          <w:rFonts w:hint="eastAsia" w:ascii="宋体" w:hAnsi="宋体" w:cs="宋体"/>
          <w:sz w:val="24"/>
        </w:rPr>
        <w:t>▲注：（1）上述内容本采购文件中有提供格式的，供应商须参照格式进行编制（格式中要求提供相关证明材料的还需后附相关证明材料），并按格式要求在指定位置根据要求进行签名或盖章，否则视为未提供；（2）采购文件未提供格式的，请各供应商自行拟定格式，并加盖单位公章并由法定代表人或其授权代表签字或盖章，否则视为未提供；</w:t>
      </w:r>
    </w:p>
    <w:p>
      <w:pPr>
        <w:snapToGrid w:val="0"/>
        <w:spacing w:line="440" w:lineRule="exact"/>
        <w:ind w:firstLine="472" w:firstLineChars="196"/>
        <w:jc w:val="left"/>
        <w:outlineLvl w:val="0"/>
        <w:rPr>
          <w:rFonts w:ascii="宋体" w:hAnsi="宋体" w:cs="宋体"/>
          <w:b/>
          <w:sz w:val="24"/>
        </w:rPr>
      </w:pPr>
      <w:r>
        <w:rPr>
          <w:rFonts w:hint="eastAsia" w:ascii="宋体" w:hAnsi="宋体" w:cs="宋体"/>
          <w:b/>
          <w:sz w:val="24"/>
        </w:rPr>
        <w:t>（二）投标文件的语言及计量</w:t>
      </w:r>
    </w:p>
    <w:p>
      <w:pPr>
        <w:snapToGrid w:val="0"/>
        <w:spacing w:line="360" w:lineRule="auto"/>
        <w:ind w:firstLine="480" w:firstLineChars="200"/>
        <w:rPr>
          <w:rFonts w:ascii="宋体" w:hAnsi="宋体" w:cs="宋体"/>
          <w:sz w:val="24"/>
          <w:szCs w:val="20"/>
        </w:rPr>
      </w:pPr>
      <w:r>
        <w:rPr>
          <w:rFonts w:hint="eastAsia" w:ascii="宋体" w:hAnsi="宋体" w:cs="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rPr>
          <w:rFonts w:ascii="宋体" w:hAnsi="宋体" w:cs="宋体"/>
          <w:sz w:val="24"/>
          <w:szCs w:val="20"/>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82" w:firstLineChars="200"/>
        <w:outlineLvl w:val="2"/>
        <w:rPr>
          <w:rFonts w:ascii="宋体" w:hAnsi="宋体" w:cs="宋体"/>
          <w:b/>
          <w:sz w:val="24"/>
        </w:rPr>
      </w:pPr>
      <w:r>
        <w:rPr>
          <w:rFonts w:hint="eastAsia" w:ascii="宋体" w:hAnsi="宋体" w:cs="宋体"/>
          <w:b/>
          <w:sz w:val="24"/>
        </w:rPr>
        <w:t>（三）投标报价</w:t>
      </w:r>
    </w:p>
    <w:p>
      <w:pPr>
        <w:pStyle w:val="13"/>
        <w:widowControl w:val="0"/>
        <w:tabs>
          <w:tab w:val="clear" w:pos="454"/>
        </w:tabs>
        <w:snapToGrid w:val="0"/>
        <w:spacing w:afterLines="0" w:line="360" w:lineRule="auto"/>
        <w:ind w:left="0" w:firstLine="480" w:firstLineChars="200"/>
        <w:jc w:val="both"/>
        <w:rPr>
          <w:rFonts w:ascii="宋体" w:hAnsi="宋体" w:cs="宋体"/>
          <w:szCs w:val="24"/>
        </w:rPr>
      </w:pPr>
      <w:r>
        <w:rPr>
          <w:rFonts w:hint="eastAsia" w:ascii="宋体" w:hAnsi="宋体" w:cs="宋体"/>
          <w:szCs w:val="24"/>
        </w:rPr>
        <w:t>1、投标报价应按招标文件中规定的报价格式进行填写。</w:t>
      </w:r>
    </w:p>
    <w:p>
      <w:pPr>
        <w:pStyle w:val="13"/>
        <w:widowControl w:val="0"/>
        <w:tabs>
          <w:tab w:val="clear" w:pos="454"/>
        </w:tabs>
        <w:snapToGrid w:val="0"/>
        <w:spacing w:afterLines="0" w:line="360" w:lineRule="auto"/>
        <w:ind w:left="0" w:firstLine="480" w:firstLineChars="200"/>
        <w:jc w:val="both"/>
        <w:rPr>
          <w:rFonts w:ascii="宋体" w:hAnsi="宋体" w:cs="宋体"/>
          <w:szCs w:val="24"/>
        </w:rPr>
      </w:pPr>
      <w:r>
        <w:rPr>
          <w:rFonts w:hint="eastAsia" w:ascii="宋体" w:hAnsi="宋体" w:cs="宋体"/>
          <w:szCs w:val="24"/>
        </w:rPr>
        <w:t>▲2、投标报价是指为完成本项目项目实施所需的人工费、服务费、购买及制作标书费、招标代理服务费、企业管理费、税费、利润、项目验收专家评审费等的一切费用。</w:t>
      </w:r>
    </w:p>
    <w:p>
      <w:pPr>
        <w:pStyle w:val="13"/>
        <w:widowControl w:val="0"/>
        <w:tabs>
          <w:tab w:val="clear" w:pos="454"/>
        </w:tabs>
        <w:snapToGrid w:val="0"/>
        <w:spacing w:afterLines="0" w:line="360" w:lineRule="auto"/>
        <w:ind w:left="0" w:firstLine="480" w:firstLineChars="200"/>
        <w:jc w:val="both"/>
        <w:rPr>
          <w:rFonts w:ascii="宋体" w:hAnsi="宋体" w:cs="宋体"/>
          <w:szCs w:val="24"/>
        </w:rPr>
      </w:pPr>
      <w:r>
        <w:rPr>
          <w:rFonts w:hint="eastAsia" w:ascii="宋体" w:hAnsi="宋体" w:cs="宋体"/>
          <w:szCs w:val="24"/>
        </w:rPr>
        <w:t>▲3、投标报价明细表中的工程量是预计数量，仅作为投标的共同基础，不能作为最终结算与支付的依据。结算与支付应以招标人认可的实际数量为依据，按投标人投标报价中的单价和招标文件规定的计算方式进行结算与支付。</w:t>
      </w:r>
    </w:p>
    <w:p>
      <w:pPr>
        <w:pStyle w:val="13"/>
        <w:widowControl w:val="0"/>
        <w:tabs>
          <w:tab w:val="clear" w:pos="454"/>
        </w:tabs>
        <w:snapToGrid w:val="0"/>
        <w:spacing w:afterLines="0" w:line="360" w:lineRule="auto"/>
        <w:ind w:left="0" w:firstLine="480" w:firstLineChars="200"/>
        <w:jc w:val="both"/>
        <w:rPr>
          <w:rFonts w:ascii="宋体" w:hAnsi="宋体" w:cs="宋体"/>
          <w:szCs w:val="24"/>
        </w:rPr>
      </w:pPr>
      <w:r>
        <w:rPr>
          <w:rFonts w:hint="eastAsia" w:ascii="宋体" w:hAnsi="宋体" w:cs="宋体"/>
          <w:szCs w:val="24"/>
        </w:rPr>
        <w:t>▲4、投标报价明细表中的工程量作为投标人投标报价的共同基础，投标人在投标报价时对工程数量不能更改，否则视为不响应招标文件，作无效标处理。</w:t>
      </w:r>
    </w:p>
    <w:p>
      <w:pPr>
        <w:pStyle w:val="13"/>
        <w:widowControl w:val="0"/>
        <w:tabs>
          <w:tab w:val="clear" w:pos="454"/>
        </w:tabs>
        <w:snapToGrid w:val="0"/>
        <w:spacing w:afterLines="0" w:line="360" w:lineRule="auto"/>
        <w:ind w:left="0" w:firstLine="480" w:firstLineChars="200"/>
        <w:jc w:val="both"/>
        <w:rPr>
          <w:rFonts w:ascii="宋体" w:hAnsi="宋体" w:cs="宋体"/>
          <w:szCs w:val="24"/>
        </w:rPr>
      </w:pPr>
      <w:r>
        <w:rPr>
          <w:rFonts w:hint="eastAsia" w:ascii="宋体" w:hAnsi="宋体" w:cs="宋体"/>
          <w:szCs w:val="24"/>
        </w:rPr>
        <w:t>▲5.投标文件</w:t>
      </w:r>
      <w:bookmarkStart w:id="13" w:name="OLE_LINK5"/>
      <w:r>
        <w:rPr>
          <w:rFonts w:hint="eastAsia" w:ascii="宋体" w:hAnsi="宋体" w:cs="宋体"/>
          <w:szCs w:val="24"/>
        </w:rPr>
        <w:t>只</w:t>
      </w:r>
      <w:bookmarkEnd w:id="13"/>
      <w:r>
        <w:rPr>
          <w:rFonts w:hint="eastAsia" w:ascii="宋体" w:hAnsi="宋体" w:cs="宋体"/>
          <w:szCs w:val="24"/>
        </w:rPr>
        <w:t>允许有一个报价，有选择的或有条件的报价将不予接受。</w:t>
      </w:r>
    </w:p>
    <w:p>
      <w:pPr>
        <w:pStyle w:val="13"/>
        <w:widowControl w:val="0"/>
        <w:tabs>
          <w:tab w:val="clear" w:pos="454"/>
        </w:tabs>
        <w:snapToGrid w:val="0"/>
        <w:spacing w:afterLines="0" w:line="360" w:lineRule="auto"/>
        <w:ind w:left="0" w:firstLine="480" w:firstLineChars="200"/>
        <w:jc w:val="both"/>
        <w:rPr>
          <w:rFonts w:ascii="宋体" w:hAnsi="宋体" w:cs="宋体"/>
          <w:szCs w:val="24"/>
        </w:rPr>
      </w:pPr>
      <w:r>
        <w:rPr>
          <w:rFonts w:hint="eastAsia" w:ascii="宋体" w:hAnsi="宋体" w:cs="宋体"/>
          <w:szCs w:val="24"/>
        </w:rPr>
        <w:t>6、招标采购单位不接受备选方案。</w:t>
      </w:r>
    </w:p>
    <w:p>
      <w:pPr>
        <w:pStyle w:val="13"/>
        <w:widowControl w:val="0"/>
        <w:tabs>
          <w:tab w:val="clear" w:pos="454"/>
        </w:tabs>
        <w:snapToGrid w:val="0"/>
        <w:spacing w:afterLines="0" w:line="360" w:lineRule="auto"/>
        <w:ind w:left="0" w:firstLine="480" w:firstLineChars="200"/>
        <w:jc w:val="both"/>
        <w:rPr>
          <w:rFonts w:ascii="宋体" w:hAnsi="宋体" w:cs="宋体"/>
          <w:szCs w:val="24"/>
        </w:rPr>
      </w:pPr>
      <w:r>
        <w:rPr>
          <w:rFonts w:hint="eastAsia" w:ascii="宋体" w:hAnsi="宋体" w:cs="宋体"/>
          <w:szCs w:val="24"/>
        </w:rPr>
        <w:t>7、投标文件中的单价、合价、总价全部采用人民币表示。</w:t>
      </w:r>
    </w:p>
    <w:p>
      <w:pPr>
        <w:snapToGrid w:val="0"/>
        <w:spacing w:line="360" w:lineRule="auto"/>
        <w:ind w:firstLine="482" w:firstLineChars="200"/>
        <w:jc w:val="left"/>
        <w:outlineLvl w:val="2"/>
        <w:rPr>
          <w:rFonts w:ascii="宋体" w:hAnsi="宋体" w:cs="宋体"/>
          <w:b/>
          <w:sz w:val="24"/>
        </w:rPr>
      </w:pPr>
      <w:r>
        <w:rPr>
          <w:rFonts w:hint="eastAsia" w:ascii="宋体" w:hAnsi="宋体" w:cs="宋体"/>
          <w:b/>
          <w:sz w:val="24"/>
        </w:rPr>
        <w:t>（四）投标文件的有效期</w:t>
      </w:r>
    </w:p>
    <w:p>
      <w:pPr>
        <w:pStyle w:val="13"/>
        <w:widowControl w:val="0"/>
        <w:tabs>
          <w:tab w:val="clear" w:pos="454"/>
        </w:tabs>
        <w:snapToGrid w:val="0"/>
        <w:spacing w:afterLines="0" w:line="360" w:lineRule="auto"/>
        <w:ind w:left="0" w:firstLine="480" w:firstLineChars="200"/>
        <w:jc w:val="both"/>
        <w:rPr>
          <w:rFonts w:ascii="宋体" w:hAnsi="宋体" w:cs="宋体"/>
          <w:szCs w:val="24"/>
        </w:rPr>
      </w:pPr>
      <w:r>
        <w:rPr>
          <w:rFonts w:hint="eastAsia" w:ascii="宋体" w:hAnsi="宋体" w:cs="宋体"/>
          <w:szCs w:val="24"/>
        </w:rPr>
        <w:t>▲1.自投标截止日起</w:t>
      </w:r>
      <w:r>
        <w:rPr>
          <w:rFonts w:hint="eastAsia" w:ascii="宋体" w:hAnsi="宋体" w:cs="宋体"/>
          <w:szCs w:val="24"/>
          <w:u w:val="single"/>
        </w:rPr>
        <w:t>180</w:t>
      </w:r>
      <w:r>
        <w:rPr>
          <w:rFonts w:hint="eastAsia" w:ascii="宋体" w:hAnsi="宋体" w:cs="宋体"/>
          <w:szCs w:val="24"/>
        </w:rPr>
        <w:t>天投标文件应保持有效。有效期不足的投标文件将被拒绝。</w:t>
      </w:r>
    </w:p>
    <w:p>
      <w:pPr>
        <w:pStyle w:val="13"/>
        <w:widowControl w:val="0"/>
        <w:tabs>
          <w:tab w:val="clear" w:pos="454"/>
        </w:tabs>
        <w:snapToGrid w:val="0"/>
        <w:spacing w:afterLines="0" w:line="360" w:lineRule="auto"/>
        <w:ind w:left="0" w:firstLine="480" w:firstLineChars="200"/>
        <w:jc w:val="both"/>
        <w:rPr>
          <w:rFonts w:ascii="宋体" w:hAnsi="宋体" w:cs="宋体"/>
          <w:szCs w:val="24"/>
        </w:rPr>
      </w:pPr>
      <w:r>
        <w:rPr>
          <w:rFonts w:hint="eastAsia" w:ascii="宋体" w:hAnsi="宋体" w:cs="宋体"/>
          <w:szCs w:val="24"/>
        </w:rPr>
        <w:t>2.在特殊情况下，采购单位可与投标人协商延长投标书的有效期，这种要求和答复均以书面形式进行。</w:t>
      </w:r>
    </w:p>
    <w:p>
      <w:pPr>
        <w:snapToGrid w:val="0"/>
        <w:spacing w:line="360" w:lineRule="auto"/>
        <w:ind w:firstLine="480" w:firstLineChars="200"/>
        <w:rPr>
          <w:rFonts w:ascii="宋体" w:hAnsi="宋体" w:cs="宋体"/>
          <w:b/>
          <w:sz w:val="24"/>
        </w:rPr>
      </w:pPr>
      <w:r>
        <w:rPr>
          <w:rFonts w:hint="eastAsia" w:ascii="宋体" w:hAnsi="宋体" w:cs="宋体"/>
          <w:sz w:val="24"/>
        </w:rPr>
        <w:t>3.投标人可拒绝接受延期要求。同意延长有效期的投标人不能修改投标文件。</w:t>
      </w:r>
    </w:p>
    <w:p>
      <w:pPr>
        <w:snapToGrid w:val="0"/>
        <w:spacing w:line="360" w:lineRule="auto"/>
        <w:ind w:firstLine="480" w:firstLineChars="200"/>
        <w:rPr>
          <w:rFonts w:ascii="宋体" w:hAnsi="宋体" w:cs="宋体"/>
          <w:sz w:val="24"/>
        </w:rPr>
      </w:pPr>
      <w:r>
        <w:rPr>
          <w:rFonts w:hint="eastAsia" w:ascii="宋体" w:hAnsi="宋体" w:cs="宋体"/>
          <w:sz w:val="24"/>
        </w:rPr>
        <w:t>4.中标人的投标文件自开标之日起至合同履行完毕止均应保持有效。</w:t>
      </w:r>
      <w:bookmarkStart w:id="14" w:name="_Toc293916369"/>
      <w:bookmarkStart w:id="15" w:name="_Toc177824947"/>
      <w:bookmarkStart w:id="16" w:name="_Toc177825128"/>
      <w:bookmarkStart w:id="17" w:name="_Toc177870550"/>
      <w:bookmarkStart w:id="18" w:name="_Toc177824880"/>
      <w:bookmarkStart w:id="19" w:name="_Toc293916018"/>
    </w:p>
    <w:bookmarkEnd w:id="14"/>
    <w:bookmarkEnd w:id="15"/>
    <w:bookmarkEnd w:id="16"/>
    <w:bookmarkEnd w:id="17"/>
    <w:bookmarkEnd w:id="18"/>
    <w:bookmarkEnd w:id="19"/>
    <w:p>
      <w:pPr>
        <w:spacing w:line="460" w:lineRule="exact"/>
        <w:ind w:firstLine="482" w:firstLineChars="200"/>
        <w:rPr>
          <w:rFonts w:ascii="宋体" w:hAnsi="宋体" w:cs="宋体"/>
          <w:b/>
          <w:kern w:val="0"/>
          <w:sz w:val="24"/>
        </w:rPr>
      </w:pPr>
      <w:r>
        <w:rPr>
          <w:rFonts w:hint="eastAsia" w:ascii="宋体" w:hAnsi="宋体" w:cs="宋体"/>
          <w:b/>
          <w:kern w:val="0"/>
          <w:sz w:val="24"/>
        </w:rPr>
        <w:t>（五）投标文件的签署和份数</w:t>
      </w:r>
    </w:p>
    <w:p>
      <w:pPr>
        <w:spacing w:line="460" w:lineRule="exact"/>
        <w:ind w:firstLine="480" w:firstLineChars="200"/>
        <w:rPr>
          <w:rFonts w:ascii="宋体" w:hAnsi="宋体" w:cs="宋体"/>
          <w:kern w:val="0"/>
          <w:sz w:val="24"/>
        </w:rPr>
      </w:pPr>
      <w:r>
        <w:rPr>
          <w:rFonts w:hint="eastAsia" w:ascii="宋体" w:hAnsi="宋体" w:cs="宋体"/>
          <w:kern w:val="0"/>
          <w:sz w:val="24"/>
        </w:rPr>
        <w:t>1.供应商应按本招标文件规定的格式和顺序编制投标文件并标注页码，投标文件内容不完整、编排混乱导致投标文件被误读、漏读或者查找不到相关内容的，由供应商承担全部责任。</w:t>
      </w:r>
    </w:p>
    <w:p>
      <w:pPr>
        <w:spacing w:line="460" w:lineRule="exact"/>
        <w:ind w:firstLine="482" w:firstLineChars="200"/>
        <w:rPr>
          <w:rFonts w:ascii="宋体" w:hAnsi="宋体" w:cs="宋体"/>
          <w:b/>
          <w:kern w:val="0"/>
          <w:sz w:val="24"/>
        </w:rPr>
      </w:pPr>
      <w:r>
        <w:rPr>
          <w:rFonts w:hint="eastAsia" w:ascii="宋体" w:hAnsi="宋体" w:cs="宋体"/>
          <w:b/>
          <w:kern w:val="0"/>
          <w:sz w:val="24"/>
        </w:rPr>
        <w:t>2.投标文件的格式</w:t>
      </w:r>
    </w:p>
    <w:p>
      <w:pPr>
        <w:spacing w:line="520" w:lineRule="exact"/>
        <w:ind w:left="1" w:firstLine="540" w:firstLineChars="225"/>
        <w:rPr>
          <w:rFonts w:ascii="宋体" w:hAnsi="宋体"/>
          <w:sz w:val="24"/>
        </w:rPr>
      </w:pPr>
      <w:r>
        <w:rPr>
          <w:rFonts w:hint="eastAsia" w:ascii="宋体" w:hAnsi="宋体"/>
          <w:sz w:val="24"/>
        </w:rPr>
        <w:t>1、供应商应编制一式</w:t>
      </w:r>
      <w:r>
        <w:rPr>
          <w:rFonts w:hint="eastAsia" w:ascii="宋体" w:hAnsi="宋体"/>
          <w:sz w:val="24"/>
          <w:u w:val="single"/>
        </w:rPr>
        <w:t xml:space="preserve"> 3</w:t>
      </w:r>
      <w:r>
        <w:rPr>
          <w:rFonts w:hint="eastAsia" w:ascii="宋体" w:hAnsi="宋体"/>
          <w:sz w:val="24"/>
        </w:rPr>
        <w:t>份</w:t>
      </w:r>
      <w:r>
        <w:rPr>
          <w:rFonts w:hint="eastAsia" w:ascii="宋体" w:hAnsi="宋体"/>
          <w:b/>
          <w:bCs/>
          <w:sz w:val="24"/>
        </w:rPr>
        <w:t>“报价文件”必须单独装订成册</w:t>
      </w:r>
      <w:r>
        <w:rPr>
          <w:rFonts w:hint="eastAsia" w:ascii="宋体" w:hAnsi="宋体"/>
          <w:sz w:val="24"/>
        </w:rPr>
        <w:t>，其中正本</w:t>
      </w:r>
      <w:r>
        <w:rPr>
          <w:rFonts w:hint="eastAsia" w:ascii="宋体" w:hAnsi="宋体"/>
          <w:sz w:val="24"/>
          <w:u w:val="single"/>
        </w:rPr>
        <w:t xml:space="preserve"> 1 </w:t>
      </w:r>
      <w:r>
        <w:rPr>
          <w:rFonts w:hint="eastAsia" w:ascii="宋体" w:hAnsi="宋体"/>
          <w:sz w:val="24"/>
        </w:rPr>
        <w:t>份，副本</w:t>
      </w:r>
      <w:r>
        <w:rPr>
          <w:rFonts w:hint="eastAsia" w:ascii="宋体" w:hAnsi="宋体"/>
          <w:sz w:val="24"/>
          <w:u w:val="single"/>
        </w:rPr>
        <w:t xml:space="preserve"> 2 </w:t>
      </w:r>
      <w:r>
        <w:rPr>
          <w:rFonts w:hint="eastAsia" w:ascii="宋体" w:hAnsi="宋体"/>
          <w:sz w:val="24"/>
        </w:rPr>
        <w:t>份，每份报价文件应清楚地标明“正本”或“副本”；“</w:t>
      </w:r>
      <w:r>
        <w:rPr>
          <w:rFonts w:hint="eastAsia" w:ascii="宋体" w:hAnsi="宋体"/>
          <w:b/>
          <w:bCs/>
          <w:sz w:val="24"/>
        </w:rPr>
        <w:t>资格证明文件”必须单独装订成册正本1份，副本2份（并编写目录）</w:t>
      </w:r>
      <w:r>
        <w:rPr>
          <w:rFonts w:hint="eastAsia" w:ascii="宋体" w:hAnsi="宋体"/>
          <w:sz w:val="24"/>
        </w:rPr>
        <w:t xml:space="preserve"> ，一旦正本与副本不符，以正本为准。</w:t>
      </w:r>
    </w:p>
    <w:p>
      <w:pPr>
        <w:numPr>
          <w:ilvl w:val="0"/>
          <w:numId w:val="8"/>
        </w:numPr>
        <w:tabs>
          <w:tab w:val="left" w:pos="1080"/>
        </w:tabs>
        <w:spacing w:line="520" w:lineRule="exact"/>
        <w:rPr>
          <w:rFonts w:ascii="宋体" w:hAnsi="宋体"/>
          <w:sz w:val="24"/>
        </w:rPr>
      </w:pPr>
      <w:r>
        <w:rPr>
          <w:rFonts w:hint="eastAsia" w:ascii="宋体" w:hAnsi="宋体"/>
          <w:sz w:val="24"/>
        </w:rPr>
        <w:t>响应文件的正本与副本均应采用A4纸打印，字迹清晰，易于辨认，并装订成册。</w:t>
      </w:r>
    </w:p>
    <w:p>
      <w:pPr>
        <w:numPr>
          <w:ilvl w:val="0"/>
          <w:numId w:val="8"/>
        </w:numPr>
        <w:tabs>
          <w:tab w:val="left" w:pos="1080"/>
        </w:tabs>
        <w:spacing w:line="520" w:lineRule="exact"/>
        <w:rPr>
          <w:rFonts w:ascii="宋体" w:hAnsi="宋体"/>
          <w:sz w:val="24"/>
        </w:rPr>
      </w:pPr>
      <w:r>
        <w:rPr>
          <w:rFonts w:hint="eastAsia" w:ascii="宋体" w:hAnsi="宋体"/>
          <w:sz w:val="24"/>
        </w:rPr>
        <w:t>除供应商对错处作必要修改外，响应文件中不许加行涂抹或改写。任何行间插字、</w:t>
      </w:r>
    </w:p>
    <w:p>
      <w:pPr>
        <w:tabs>
          <w:tab w:val="left" w:pos="1080"/>
        </w:tabs>
        <w:spacing w:line="520" w:lineRule="exact"/>
        <w:rPr>
          <w:rFonts w:ascii="宋体" w:hAnsi="宋体"/>
          <w:sz w:val="24"/>
        </w:rPr>
      </w:pPr>
      <w:r>
        <w:rPr>
          <w:rFonts w:hint="eastAsia" w:ascii="宋体" w:hAnsi="宋体"/>
          <w:sz w:val="24"/>
        </w:rPr>
        <w:t>涂改和增删，必须由法定代表人或其授权代表人在旁边签字盖章才有效。否则，作无效标处理。</w:t>
      </w:r>
    </w:p>
    <w:p>
      <w:pPr>
        <w:numPr>
          <w:ilvl w:val="0"/>
          <w:numId w:val="8"/>
        </w:numPr>
        <w:tabs>
          <w:tab w:val="left" w:pos="1080"/>
        </w:tabs>
        <w:spacing w:line="520" w:lineRule="exact"/>
        <w:rPr>
          <w:rFonts w:ascii="宋体" w:hAnsi="宋体"/>
          <w:sz w:val="24"/>
        </w:rPr>
      </w:pPr>
      <w:r>
        <w:rPr>
          <w:rFonts w:hint="eastAsia" w:ascii="宋体" w:hAnsi="宋体"/>
          <w:sz w:val="24"/>
        </w:rPr>
        <w:t>电报、电话、传真形式的竞标概不接受。</w:t>
      </w:r>
    </w:p>
    <w:p>
      <w:pPr>
        <w:spacing w:line="460" w:lineRule="exact"/>
        <w:ind w:firstLine="482" w:firstLineChars="200"/>
        <w:rPr>
          <w:rFonts w:ascii="宋体" w:hAnsi="宋体" w:cs="宋体"/>
          <w:b/>
          <w:kern w:val="0"/>
          <w:sz w:val="24"/>
        </w:rPr>
      </w:pPr>
      <w:r>
        <w:rPr>
          <w:rFonts w:hint="eastAsia" w:ascii="宋体" w:hAnsi="宋体" w:cs="宋体"/>
          <w:b/>
          <w:kern w:val="0"/>
          <w:sz w:val="24"/>
        </w:rPr>
        <w:t>（六）投标文件的包装、递交、修改和撤回</w:t>
      </w:r>
    </w:p>
    <w:p>
      <w:pPr>
        <w:spacing w:line="360" w:lineRule="auto"/>
        <w:rPr>
          <w:rFonts w:ascii="宋体" w:hAnsi="宋体"/>
          <w:b/>
          <w:bCs/>
          <w:sz w:val="24"/>
        </w:rPr>
      </w:pPr>
      <w:r>
        <w:rPr>
          <w:rFonts w:hint="eastAsia" w:ascii="宋体" w:hAnsi="宋体"/>
          <w:b/>
          <w:bCs/>
          <w:sz w:val="24"/>
        </w:rPr>
        <w:t xml:space="preserve"> 一、投标文件的密封与标记</w:t>
      </w:r>
    </w:p>
    <w:p>
      <w:pPr>
        <w:numPr>
          <w:ilvl w:val="0"/>
          <w:numId w:val="9"/>
        </w:numPr>
        <w:tabs>
          <w:tab w:val="left" w:pos="840"/>
          <w:tab w:val="left" w:pos="900"/>
        </w:tabs>
        <w:spacing w:line="360" w:lineRule="auto"/>
        <w:ind w:left="-120" w:firstLine="540"/>
        <w:rPr>
          <w:rFonts w:ascii="宋体" w:hAnsi="宋体"/>
          <w:sz w:val="24"/>
        </w:rPr>
      </w:pPr>
      <w:r>
        <w:rPr>
          <w:rFonts w:hint="eastAsia" w:ascii="宋体" w:hAnsi="宋体"/>
          <w:b/>
          <w:bCs/>
          <w:sz w:val="24"/>
        </w:rPr>
        <w:t>报价文件必须单独装订成册</w:t>
      </w:r>
      <w:r>
        <w:rPr>
          <w:rFonts w:hint="eastAsia" w:ascii="宋体" w:hAnsi="宋体"/>
          <w:sz w:val="24"/>
        </w:rPr>
        <w:t>正本1份，副本2份；</w:t>
      </w:r>
    </w:p>
    <w:p>
      <w:pPr>
        <w:numPr>
          <w:ilvl w:val="0"/>
          <w:numId w:val="9"/>
        </w:numPr>
        <w:tabs>
          <w:tab w:val="left" w:pos="840"/>
          <w:tab w:val="left" w:pos="900"/>
        </w:tabs>
        <w:spacing w:line="360" w:lineRule="auto"/>
        <w:ind w:left="-120" w:firstLine="540"/>
        <w:rPr>
          <w:rFonts w:ascii="宋体" w:hAnsi="宋体"/>
          <w:sz w:val="24"/>
        </w:rPr>
      </w:pPr>
      <w:r>
        <w:rPr>
          <w:rFonts w:hint="eastAsia" w:ascii="宋体" w:hAnsi="宋体"/>
          <w:b/>
          <w:bCs/>
          <w:sz w:val="24"/>
        </w:rPr>
        <w:t>资格证明文件必须单独装订成册正本1份，副本2份（并编写目录）</w:t>
      </w:r>
      <w:r>
        <w:rPr>
          <w:rFonts w:hint="eastAsia" w:ascii="宋体" w:hAnsi="宋体"/>
          <w:sz w:val="24"/>
        </w:rPr>
        <w:t>，以便在评标时由谈判小组审核确认。否则，由此而造成的后果由供应商自行承担；</w:t>
      </w:r>
    </w:p>
    <w:p>
      <w:pPr>
        <w:numPr>
          <w:ilvl w:val="0"/>
          <w:numId w:val="9"/>
        </w:numPr>
        <w:tabs>
          <w:tab w:val="left" w:pos="840"/>
          <w:tab w:val="left" w:pos="900"/>
        </w:tabs>
        <w:spacing w:line="360" w:lineRule="auto"/>
        <w:ind w:left="-120" w:firstLine="540"/>
      </w:pPr>
      <w:r>
        <w:rPr>
          <w:rFonts w:hint="eastAsia" w:ascii="宋体" w:hAnsi="宋体"/>
          <w:b/>
          <w:bCs/>
          <w:sz w:val="24"/>
        </w:rPr>
        <w:t>商务技术资信文件必须单独装订成册正本1份，副本2份（并编写目录）</w:t>
      </w:r>
      <w:r>
        <w:rPr>
          <w:rFonts w:hint="eastAsia" w:ascii="宋体" w:hAnsi="宋体"/>
          <w:sz w:val="24"/>
        </w:rPr>
        <w:t>，以便在评标时由谈判小组审核确认。否则，由此而造成的后果由供应商自行承担；</w:t>
      </w:r>
    </w:p>
    <w:p>
      <w:pPr>
        <w:numPr>
          <w:ilvl w:val="0"/>
          <w:numId w:val="9"/>
        </w:numPr>
        <w:tabs>
          <w:tab w:val="left" w:pos="840"/>
          <w:tab w:val="left" w:pos="900"/>
        </w:tabs>
        <w:spacing w:line="360" w:lineRule="auto"/>
        <w:ind w:left="-120" w:firstLine="540"/>
        <w:rPr>
          <w:rFonts w:ascii="宋体" w:hAnsi="宋体"/>
          <w:sz w:val="24"/>
        </w:rPr>
      </w:pPr>
      <w:r>
        <w:rPr>
          <w:rFonts w:hint="eastAsia" w:ascii="宋体" w:hAnsi="宋体"/>
          <w:b/>
          <w:bCs/>
          <w:sz w:val="24"/>
        </w:rPr>
        <w:t>投标</w:t>
      </w:r>
      <w:r>
        <w:rPr>
          <w:rFonts w:hint="eastAsia" w:ascii="宋体" w:hAnsi="宋体"/>
          <w:sz w:val="24"/>
        </w:rPr>
        <w:t>文件应用A4书写纸打印，按顺序编号装订成册，并有目录和封面（自行设计）；</w:t>
      </w:r>
    </w:p>
    <w:p>
      <w:pPr>
        <w:numPr>
          <w:ilvl w:val="0"/>
          <w:numId w:val="9"/>
        </w:numPr>
        <w:tabs>
          <w:tab w:val="left" w:pos="840"/>
          <w:tab w:val="left" w:pos="900"/>
        </w:tabs>
        <w:spacing w:line="360" w:lineRule="auto"/>
        <w:ind w:left="-120" w:firstLine="540"/>
        <w:rPr>
          <w:rFonts w:ascii="宋体" w:hAnsi="宋体"/>
          <w:sz w:val="24"/>
        </w:rPr>
      </w:pPr>
      <w:r>
        <w:rPr>
          <w:rFonts w:hint="eastAsia" w:ascii="宋体" w:hAnsi="宋体"/>
          <w:sz w:val="24"/>
        </w:rPr>
        <w:t>供应商应将所有响应文件正本和所有副本用单独的信封密封，且在信封上标明“正本”、“副本”的字样；</w:t>
      </w:r>
    </w:p>
    <w:p>
      <w:pPr>
        <w:numPr>
          <w:ilvl w:val="0"/>
          <w:numId w:val="10"/>
        </w:numPr>
        <w:spacing w:line="360" w:lineRule="auto"/>
        <w:rPr>
          <w:rFonts w:ascii="宋体" w:hAnsi="宋体"/>
          <w:sz w:val="24"/>
        </w:rPr>
      </w:pPr>
      <w:r>
        <w:rPr>
          <w:rFonts w:hint="eastAsia" w:ascii="宋体" w:hAnsi="宋体"/>
          <w:sz w:val="24"/>
        </w:rPr>
        <w:t>信封上应注明：</w:t>
      </w:r>
    </w:p>
    <w:p>
      <w:pPr>
        <w:numPr>
          <w:ilvl w:val="1"/>
          <w:numId w:val="10"/>
        </w:numPr>
        <w:tabs>
          <w:tab w:val="left" w:pos="1260"/>
        </w:tabs>
        <w:spacing w:line="360" w:lineRule="auto"/>
        <w:ind w:left="720" w:firstLine="0"/>
        <w:rPr>
          <w:rFonts w:ascii="宋体" w:hAnsi="宋体"/>
          <w:sz w:val="24"/>
        </w:rPr>
      </w:pPr>
      <w:r>
        <w:rPr>
          <w:rFonts w:hint="eastAsia" w:ascii="宋体" w:hAnsi="宋体"/>
          <w:sz w:val="24"/>
        </w:rPr>
        <w:t>供应商名称，并在封袋骑缝处加盖公章。如因标注不清而产生的后果由供应商自</w:t>
      </w:r>
    </w:p>
    <w:p>
      <w:pPr>
        <w:tabs>
          <w:tab w:val="left" w:pos="1260"/>
        </w:tabs>
        <w:spacing w:line="360" w:lineRule="auto"/>
        <w:rPr>
          <w:rFonts w:ascii="宋体" w:hAnsi="宋体"/>
          <w:sz w:val="24"/>
        </w:rPr>
      </w:pPr>
      <w:r>
        <w:rPr>
          <w:rFonts w:hint="eastAsia" w:ascii="宋体" w:hAnsi="宋体"/>
          <w:sz w:val="24"/>
        </w:rPr>
        <w:t>行负责。</w:t>
      </w:r>
    </w:p>
    <w:p>
      <w:pPr>
        <w:numPr>
          <w:ilvl w:val="1"/>
          <w:numId w:val="10"/>
        </w:numPr>
        <w:tabs>
          <w:tab w:val="left" w:pos="1260"/>
        </w:tabs>
        <w:spacing w:line="360" w:lineRule="auto"/>
        <w:ind w:left="720" w:firstLine="0"/>
        <w:jc w:val="left"/>
        <w:rPr>
          <w:rFonts w:ascii="宋体" w:hAnsi="宋体"/>
          <w:sz w:val="24"/>
        </w:rPr>
      </w:pPr>
      <w:r>
        <w:rPr>
          <w:rFonts w:hint="eastAsia" w:ascii="宋体" w:hAnsi="宋体"/>
          <w:sz w:val="24"/>
        </w:rPr>
        <w:t>项目编号、项目名称、正本或副本及“</w:t>
      </w:r>
      <w:r>
        <w:rPr>
          <w:rFonts w:hint="eastAsia" w:ascii="宋体" w:hAnsi="宋体"/>
          <w:b/>
          <w:sz w:val="24"/>
        </w:rPr>
        <w:t>请勿在2021年  月  日下午14：00分之前启封</w:t>
      </w:r>
      <w:r>
        <w:rPr>
          <w:rFonts w:hint="eastAsia" w:ascii="宋体" w:hAnsi="宋体"/>
          <w:sz w:val="24"/>
        </w:rPr>
        <w:t>”的字样。</w:t>
      </w:r>
    </w:p>
    <w:p>
      <w:pPr>
        <w:numPr>
          <w:ilvl w:val="0"/>
          <w:numId w:val="10"/>
        </w:numPr>
        <w:spacing w:line="360" w:lineRule="auto"/>
        <w:rPr>
          <w:rFonts w:ascii="宋体" w:hAnsi="宋体"/>
          <w:sz w:val="24"/>
        </w:rPr>
      </w:pPr>
      <w:r>
        <w:rPr>
          <w:rFonts w:hint="eastAsia" w:ascii="宋体" w:hAnsi="宋体"/>
          <w:sz w:val="24"/>
        </w:rPr>
        <w:t>如果封袋未按上述要求密封或加写标记，招标代理机构对误投或过早启封概不</w:t>
      </w:r>
    </w:p>
    <w:p>
      <w:pPr>
        <w:spacing w:line="360" w:lineRule="auto"/>
        <w:rPr>
          <w:rFonts w:ascii="宋体" w:hAnsi="宋体"/>
          <w:sz w:val="24"/>
        </w:rPr>
      </w:pPr>
      <w:r>
        <w:rPr>
          <w:rFonts w:hint="eastAsia" w:ascii="宋体" w:hAnsi="宋体"/>
          <w:sz w:val="24"/>
        </w:rPr>
        <w:t>负责。</w:t>
      </w:r>
    </w:p>
    <w:p>
      <w:pPr>
        <w:numPr>
          <w:ilvl w:val="0"/>
          <w:numId w:val="11"/>
        </w:numPr>
        <w:tabs>
          <w:tab w:val="left" w:pos="900"/>
        </w:tabs>
        <w:spacing w:line="360" w:lineRule="auto"/>
        <w:ind w:left="720" w:leftChars="257"/>
        <w:rPr>
          <w:rFonts w:ascii="宋体" w:hAnsi="宋体"/>
          <w:b/>
          <w:bCs/>
          <w:sz w:val="24"/>
        </w:rPr>
      </w:pPr>
      <w:r>
        <w:rPr>
          <w:rFonts w:hint="eastAsia" w:ascii="宋体" w:hAnsi="宋体"/>
          <w:b/>
          <w:bCs/>
          <w:sz w:val="24"/>
        </w:rPr>
        <w:t>供应商</w:t>
      </w:r>
      <w:r>
        <w:rPr>
          <w:rFonts w:ascii="宋体" w:hAnsi="宋体"/>
          <w:b/>
          <w:bCs/>
          <w:sz w:val="24"/>
        </w:rPr>
        <w:t>的</w:t>
      </w:r>
      <w:r>
        <w:rPr>
          <w:rFonts w:hint="eastAsia" w:ascii="宋体" w:hAnsi="宋体"/>
          <w:b/>
          <w:bCs/>
          <w:sz w:val="24"/>
        </w:rPr>
        <w:t>法定代表人授权书及代理人身份证</w:t>
      </w:r>
      <w:r>
        <w:rPr>
          <w:rFonts w:ascii="宋体" w:hAnsi="宋体"/>
          <w:b/>
          <w:bCs/>
          <w:sz w:val="24"/>
        </w:rPr>
        <w:t>（原件），</w:t>
      </w:r>
      <w:r>
        <w:rPr>
          <w:rFonts w:hint="eastAsia" w:ascii="宋体" w:hAnsi="宋体"/>
          <w:b/>
          <w:bCs/>
          <w:sz w:val="24"/>
        </w:rPr>
        <w:t>在开标时需再</w:t>
      </w:r>
      <w:r>
        <w:rPr>
          <w:rFonts w:ascii="宋体" w:hAnsi="宋体"/>
          <w:b/>
          <w:bCs/>
          <w:sz w:val="24"/>
        </w:rPr>
        <w:t>单独提交</w:t>
      </w:r>
      <w:r>
        <w:rPr>
          <w:rFonts w:hint="eastAsia" w:ascii="宋体" w:hAnsi="宋体"/>
          <w:b/>
          <w:bCs/>
          <w:sz w:val="24"/>
        </w:rPr>
        <w:t>一份</w:t>
      </w:r>
    </w:p>
    <w:p>
      <w:pPr>
        <w:tabs>
          <w:tab w:val="left" w:pos="900"/>
        </w:tabs>
        <w:spacing w:line="360" w:lineRule="auto"/>
        <w:rPr>
          <w:rFonts w:ascii="宋体" w:hAnsi="宋体"/>
          <w:b/>
          <w:bCs/>
          <w:sz w:val="24"/>
        </w:rPr>
      </w:pPr>
      <w:r>
        <w:rPr>
          <w:rFonts w:ascii="宋体" w:hAnsi="宋体"/>
          <w:b/>
          <w:bCs/>
          <w:sz w:val="24"/>
        </w:rPr>
        <w:t>给</w:t>
      </w:r>
      <w:r>
        <w:rPr>
          <w:rFonts w:hint="eastAsia" w:ascii="宋体" w:hAnsi="宋体"/>
          <w:b/>
          <w:bCs/>
          <w:sz w:val="24"/>
        </w:rPr>
        <w:t>采购人，以便对供应商资格进行审核。</w:t>
      </w:r>
    </w:p>
    <w:p>
      <w:pPr>
        <w:tabs>
          <w:tab w:val="left" w:pos="900"/>
        </w:tabs>
        <w:spacing w:line="360" w:lineRule="auto"/>
        <w:rPr>
          <w:rFonts w:ascii="宋体" w:hAnsi="宋体"/>
          <w:sz w:val="24"/>
        </w:rPr>
      </w:pPr>
      <w:r>
        <w:rPr>
          <w:rFonts w:hint="eastAsia" w:ascii="宋体" w:hAnsi="宋体"/>
          <w:sz w:val="24"/>
        </w:rPr>
        <w:t xml:space="preserve">     6、未按上述规定提交的响应文件，一切后果由供应商负责。</w:t>
      </w:r>
    </w:p>
    <w:p>
      <w:pPr>
        <w:spacing w:line="360" w:lineRule="auto"/>
        <w:rPr>
          <w:rFonts w:ascii="宋体" w:hAnsi="宋体"/>
          <w:b/>
          <w:bCs/>
          <w:sz w:val="24"/>
        </w:rPr>
      </w:pPr>
      <w:r>
        <w:rPr>
          <w:rFonts w:hint="eastAsia" w:ascii="宋体" w:hAnsi="宋体"/>
          <w:b/>
          <w:bCs/>
          <w:sz w:val="24"/>
        </w:rPr>
        <w:t xml:space="preserve">  二、递交投标文件的地点与截止日期</w:t>
      </w:r>
    </w:p>
    <w:p>
      <w:pPr>
        <w:widowControl/>
        <w:spacing w:line="500" w:lineRule="exact"/>
        <w:ind w:right="60" w:firstLine="472" w:firstLineChars="196"/>
        <w:rPr>
          <w:rFonts w:ascii="宋体" w:hAnsi="宋体" w:cs="宋体"/>
          <w:b/>
          <w:color w:val="000000"/>
          <w:kern w:val="0"/>
          <w:sz w:val="24"/>
        </w:rPr>
      </w:pPr>
      <w:r>
        <w:rPr>
          <w:rFonts w:hint="eastAsia" w:ascii="宋体" w:hAnsi="宋体"/>
          <w:b/>
          <w:bCs/>
          <w:sz w:val="24"/>
        </w:rPr>
        <w:t>1、投标</w:t>
      </w:r>
      <w:r>
        <w:rPr>
          <w:rFonts w:hint="eastAsia" w:ascii="宋体" w:hAnsi="宋体"/>
          <w:sz w:val="24"/>
        </w:rPr>
        <w:t>文件递交的地点：</w:t>
      </w:r>
      <w:r>
        <w:rPr>
          <w:rFonts w:hint="eastAsia" w:ascii="宋体" w:hAnsi="宋体" w:cs="宋体"/>
          <w:b/>
          <w:color w:val="000000"/>
          <w:kern w:val="0"/>
          <w:sz w:val="24"/>
        </w:rPr>
        <w:t>湖州南浔城投城市建设集团有限公司会议室（浙江省南浔镇朝阳路88号）</w:t>
      </w:r>
    </w:p>
    <w:p>
      <w:pPr>
        <w:spacing w:line="360" w:lineRule="auto"/>
        <w:ind w:firstLine="481"/>
        <w:rPr>
          <w:rFonts w:ascii="宋体" w:hAnsi="宋体" w:cs="宋体"/>
          <w:kern w:val="0"/>
          <w:sz w:val="24"/>
        </w:rPr>
      </w:pPr>
    </w:p>
    <w:p>
      <w:pPr>
        <w:spacing w:line="360" w:lineRule="auto"/>
        <w:rPr>
          <w:rFonts w:ascii="宋体" w:hAnsi="宋体"/>
          <w:b/>
          <w:bCs/>
          <w:sz w:val="24"/>
        </w:rPr>
      </w:pPr>
      <w:r>
        <w:rPr>
          <w:rFonts w:hint="eastAsia" w:ascii="宋体" w:hAnsi="宋体"/>
          <w:sz w:val="24"/>
        </w:rPr>
        <w:t xml:space="preserve">    2、</w:t>
      </w:r>
      <w:r>
        <w:rPr>
          <w:rFonts w:hint="eastAsia" w:ascii="宋体" w:hAnsi="宋体"/>
          <w:b/>
          <w:bCs/>
          <w:sz w:val="24"/>
        </w:rPr>
        <w:t>投标</w:t>
      </w:r>
      <w:r>
        <w:rPr>
          <w:rFonts w:hint="eastAsia" w:ascii="宋体" w:hAnsi="宋体"/>
          <w:sz w:val="24"/>
        </w:rPr>
        <w:t>文件递交截止日期：</w:t>
      </w:r>
      <w:r>
        <w:rPr>
          <w:rFonts w:hint="eastAsia" w:ascii="宋体" w:hAnsi="宋体"/>
          <w:b/>
          <w:bCs/>
          <w:sz w:val="24"/>
        </w:rPr>
        <w:t>2021年  月  日下午14：00分前。</w:t>
      </w:r>
    </w:p>
    <w:p>
      <w:pPr>
        <w:numPr>
          <w:ilvl w:val="0"/>
          <w:numId w:val="12"/>
        </w:numPr>
        <w:spacing w:line="360" w:lineRule="auto"/>
        <w:ind w:left="480"/>
        <w:rPr>
          <w:rFonts w:ascii="宋体" w:hAnsi="宋体"/>
          <w:sz w:val="24"/>
        </w:rPr>
      </w:pPr>
      <w:r>
        <w:rPr>
          <w:rFonts w:hint="eastAsia" w:ascii="宋体" w:hAnsi="宋体"/>
          <w:sz w:val="24"/>
        </w:rPr>
        <w:t>因</w:t>
      </w:r>
      <w:r>
        <w:rPr>
          <w:rFonts w:hint="eastAsia" w:ascii="宋体" w:hAnsi="宋体"/>
          <w:b/>
          <w:bCs/>
          <w:sz w:val="24"/>
        </w:rPr>
        <w:t>投标</w:t>
      </w:r>
      <w:r>
        <w:rPr>
          <w:rFonts w:hint="eastAsia" w:ascii="宋体" w:hAnsi="宋体"/>
          <w:sz w:val="24"/>
        </w:rPr>
        <w:t>文件的修改推迟投标截止日期时，则按招标代理机构另行通知规定的时间</w:t>
      </w:r>
    </w:p>
    <w:p>
      <w:pPr>
        <w:spacing w:line="360" w:lineRule="auto"/>
        <w:rPr>
          <w:rFonts w:ascii="宋体" w:hAnsi="宋体"/>
          <w:sz w:val="24"/>
        </w:rPr>
      </w:pPr>
      <w:r>
        <w:rPr>
          <w:rFonts w:hint="eastAsia" w:ascii="宋体" w:hAnsi="宋体"/>
          <w:sz w:val="24"/>
        </w:rPr>
        <w:t>交。</w:t>
      </w:r>
    </w:p>
    <w:p>
      <w:pPr>
        <w:spacing w:line="360" w:lineRule="auto"/>
        <w:ind w:left="480"/>
        <w:rPr>
          <w:rFonts w:ascii="宋体" w:hAnsi="宋体"/>
          <w:sz w:val="24"/>
        </w:rPr>
      </w:pPr>
      <w:r>
        <w:rPr>
          <w:rFonts w:hint="eastAsia" w:ascii="宋体" w:hAnsi="宋体"/>
          <w:sz w:val="24"/>
        </w:rPr>
        <w:t>4、</w:t>
      </w:r>
      <w:r>
        <w:rPr>
          <w:rFonts w:hint="eastAsia" w:ascii="宋体" w:hAnsi="宋体"/>
          <w:b/>
          <w:bCs/>
          <w:sz w:val="24"/>
        </w:rPr>
        <w:t>投标</w:t>
      </w:r>
      <w:r>
        <w:rPr>
          <w:rFonts w:hint="eastAsia" w:ascii="宋体" w:hAnsi="宋体"/>
          <w:sz w:val="24"/>
        </w:rPr>
        <w:t>文件应在谈判截止时间前派人送达指定地点。</w:t>
      </w:r>
    </w:p>
    <w:p>
      <w:pPr>
        <w:spacing w:line="360" w:lineRule="auto"/>
        <w:ind w:left="480"/>
        <w:rPr>
          <w:rFonts w:ascii="宋体" w:hAnsi="宋体"/>
          <w:sz w:val="24"/>
        </w:rPr>
      </w:pPr>
      <w:r>
        <w:rPr>
          <w:rFonts w:hint="eastAsia" w:ascii="宋体" w:hAnsi="宋体"/>
          <w:sz w:val="24"/>
        </w:rPr>
        <w:t>5、电报、电话、传真形式的竞标概不接受。</w:t>
      </w:r>
    </w:p>
    <w:p>
      <w:pPr>
        <w:spacing w:line="360" w:lineRule="auto"/>
        <w:ind w:left="480"/>
        <w:rPr>
          <w:rFonts w:ascii="宋体" w:hAnsi="宋体"/>
          <w:sz w:val="24"/>
        </w:rPr>
      </w:pPr>
      <w:r>
        <w:rPr>
          <w:rFonts w:hint="eastAsia" w:ascii="宋体" w:hAnsi="宋体"/>
          <w:sz w:val="24"/>
        </w:rPr>
        <w:t>6、招标代理机构对</w:t>
      </w:r>
      <w:r>
        <w:rPr>
          <w:rFonts w:hint="eastAsia" w:ascii="宋体" w:hAnsi="宋体"/>
          <w:b/>
          <w:bCs/>
          <w:sz w:val="24"/>
        </w:rPr>
        <w:t>投标</w:t>
      </w:r>
      <w:r>
        <w:rPr>
          <w:rFonts w:hint="eastAsia" w:ascii="宋体" w:hAnsi="宋体"/>
          <w:sz w:val="24"/>
        </w:rPr>
        <w:t>文件送达过程中的遗失或损坏不负责任。</w:t>
      </w:r>
    </w:p>
    <w:p>
      <w:pPr>
        <w:pStyle w:val="35"/>
        <w:spacing w:line="360" w:lineRule="auto"/>
        <w:ind w:firstLine="388"/>
        <w:rPr>
          <w:b/>
          <w:bCs/>
          <w:sz w:val="24"/>
          <w:szCs w:val="24"/>
        </w:rPr>
      </w:pPr>
      <w:r>
        <w:rPr>
          <w:rFonts w:hint="eastAsia"/>
          <w:b/>
          <w:bCs/>
          <w:sz w:val="24"/>
          <w:szCs w:val="24"/>
        </w:rPr>
        <w:t>三、迟交的</w:t>
      </w:r>
      <w:r>
        <w:rPr>
          <w:rFonts w:hint="eastAsia"/>
          <w:b/>
          <w:bCs/>
          <w:sz w:val="24"/>
        </w:rPr>
        <w:t>投标</w:t>
      </w:r>
      <w:r>
        <w:rPr>
          <w:rFonts w:hint="eastAsia"/>
          <w:b/>
          <w:bCs/>
          <w:sz w:val="24"/>
          <w:szCs w:val="24"/>
        </w:rPr>
        <w:t>文件</w:t>
      </w:r>
    </w:p>
    <w:p>
      <w:pPr>
        <w:pStyle w:val="35"/>
        <w:spacing w:line="360" w:lineRule="auto"/>
        <w:ind w:firstLine="241" w:firstLineChars="100"/>
        <w:rPr>
          <w:sz w:val="24"/>
          <w:szCs w:val="24"/>
        </w:rPr>
      </w:pPr>
      <w:r>
        <w:rPr>
          <w:rFonts w:hint="eastAsia"/>
          <w:b/>
          <w:bCs/>
          <w:sz w:val="24"/>
          <w:szCs w:val="24"/>
        </w:rPr>
        <w:t xml:space="preserve">  招标代理机构将拒绝接收在</w:t>
      </w:r>
      <w:r>
        <w:rPr>
          <w:rFonts w:hint="eastAsia"/>
          <w:b/>
          <w:bCs/>
          <w:sz w:val="24"/>
        </w:rPr>
        <w:t>投标</w:t>
      </w:r>
      <w:r>
        <w:rPr>
          <w:rFonts w:hint="eastAsia"/>
          <w:b/>
          <w:bCs/>
          <w:sz w:val="24"/>
          <w:szCs w:val="24"/>
        </w:rPr>
        <w:t>截止日期和时间后送达的</w:t>
      </w:r>
      <w:r>
        <w:rPr>
          <w:rFonts w:hint="eastAsia"/>
          <w:b/>
          <w:bCs/>
          <w:sz w:val="24"/>
        </w:rPr>
        <w:t>投标</w:t>
      </w:r>
      <w:r>
        <w:rPr>
          <w:rFonts w:hint="eastAsia"/>
          <w:b/>
          <w:bCs/>
          <w:sz w:val="24"/>
          <w:szCs w:val="24"/>
        </w:rPr>
        <w:t>文件。</w:t>
      </w:r>
    </w:p>
    <w:p>
      <w:pPr>
        <w:pStyle w:val="35"/>
        <w:spacing w:line="360" w:lineRule="auto"/>
        <w:ind w:firstLine="388"/>
        <w:rPr>
          <w:b/>
          <w:bCs/>
          <w:sz w:val="24"/>
          <w:szCs w:val="24"/>
        </w:rPr>
      </w:pPr>
      <w:r>
        <w:rPr>
          <w:rFonts w:hint="eastAsia"/>
          <w:b/>
          <w:bCs/>
          <w:sz w:val="24"/>
          <w:szCs w:val="24"/>
        </w:rPr>
        <w:t>四、</w:t>
      </w:r>
      <w:r>
        <w:rPr>
          <w:rFonts w:hint="eastAsia"/>
          <w:b/>
          <w:bCs/>
          <w:sz w:val="24"/>
        </w:rPr>
        <w:t>投标</w:t>
      </w:r>
      <w:r>
        <w:rPr>
          <w:rFonts w:hint="eastAsia"/>
          <w:b/>
          <w:bCs/>
          <w:sz w:val="24"/>
          <w:szCs w:val="24"/>
        </w:rPr>
        <w:t>文件的补充与修改</w:t>
      </w:r>
    </w:p>
    <w:p>
      <w:pPr>
        <w:tabs>
          <w:tab w:val="left" w:pos="720"/>
        </w:tabs>
        <w:spacing w:line="360" w:lineRule="auto"/>
        <w:rPr>
          <w:rFonts w:ascii="宋体" w:hAnsi="宋体"/>
          <w:sz w:val="24"/>
        </w:rPr>
      </w:pPr>
      <w:r>
        <w:rPr>
          <w:rFonts w:hint="eastAsia" w:ascii="宋体" w:hAnsi="宋体"/>
          <w:sz w:val="30"/>
        </w:rPr>
        <w:t xml:space="preserve">    </w:t>
      </w:r>
      <w:r>
        <w:rPr>
          <w:rFonts w:hint="eastAsia" w:ascii="宋体" w:hAnsi="宋体"/>
          <w:sz w:val="24"/>
        </w:rPr>
        <w:t>1、供应商在谈判文件要求提交</w:t>
      </w:r>
      <w:r>
        <w:rPr>
          <w:rFonts w:hint="eastAsia" w:ascii="宋体" w:hAnsi="宋体"/>
          <w:b/>
          <w:bCs/>
          <w:sz w:val="24"/>
        </w:rPr>
        <w:t>投标</w:t>
      </w:r>
      <w:r>
        <w:rPr>
          <w:rFonts w:hint="eastAsia" w:ascii="宋体" w:hAnsi="宋体"/>
          <w:sz w:val="24"/>
        </w:rPr>
        <w:t>文件的截止时间前，可以补充、修改或撤回已提交的</w:t>
      </w:r>
      <w:r>
        <w:rPr>
          <w:rFonts w:hint="eastAsia" w:ascii="宋体" w:hAnsi="宋体"/>
          <w:b/>
          <w:bCs/>
          <w:sz w:val="24"/>
        </w:rPr>
        <w:t>投标</w:t>
      </w:r>
      <w:r>
        <w:rPr>
          <w:rFonts w:hint="eastAsia" w:ascii="宋体" w:hAnsi="宋体"/>
          <w:sz w:val="24"/>
        </w:rPr>
        <w:t>文件，并书面通知采购人。补充、修改的内容为</w:t>
      </w:r>
      <w:r>
        <w:rPr>
          <w:rFonts w:hint="eastAsia" w:ascii="宋体" w:hAnsi="宋体"/>
          <w:b/>
          <w:bCs/>
          <w:sz w:val="24"/>
        </w:rPr>
        <w:t>投标</w:t>
      </w:r>
      <w:r>
        <w:rPr>
          <w:rFonts w:hint="eastAsia" w:ascii="宋体" w:hAnsi="宋体"/>
          <w:sz w:val="24"/>
        </w:rPr>
        <w:t>文件的组成部分。</w:t>
      </w:r>
    </w:p>
    <w:p>
      <w:pPr>
        <w:tabs>
          <w:tab w:val="left" w:pos="720"/>
        </w:tabs>
        <w:spacing w:line="360" w:lineRule="auto"/>
        <w:rPr>
          <w:rFonts w:ascii="宋体" w:hAnsi="宋体"/>
          <w:sz w:val="24"/>
        </w:rPr>
      </w:pPr>
      <w:r>
        <w:rPr>
          <w:rFonts w:hint="eastAsia" w:ascii="宋体" w:hAnsi="宋体"/>
          <w:sz w:val="24"/>
        </w:rPr>
        <w:t xml:space="preserve">     2、供应商对</w:t>
      </w:r>
      <w:r>
        <w:rPr>
          <w:rFonts w:hint="eastAsia" w:ascii="宋体" w:hAnsi="宋体"/>
          <w:b/>
          <w:bCs/>
          <w:sz w:val="24"/>
        </w:rPr>
        <w:t>投标</w:t>
      </w:r>
      <w:r>
        <w:rPr>
          <w:rFonts w:hint="eastAsia" w:ascii="宋体" w:hAnsi="宋体"/>
          <w:sz w:val="24"/>
        </w:rPr>
        <w:t>文件的补充、修改的内容应按</w:t>
      </w:r>
      <w:r>
        <w:rPr>
          <w:rFonts w:hint="eastAsia" w:ascii="宋体" w:hAnsi="宋体"/>
          <w:b/>
          <w:bCs/>
          <w:sz w:val="24"/>
        </w:rPr>
        <w:t>投标</w:t>
      </w:r>
      <w:r>
        <w:rPr>
          <w:rFonts w:hint="eastAsia" w:ascii="宋体" w:hAnsi="宋体"/>
          <w:sz w:val="24"/>
        </w:rPr>
        <w:t>文件编制的规定和</w:t>
      </w:r>
      <w:r>
        <w:rPr>
          <w:rFonts w:hint="eastAsia" w:ascii="宋体" w:hAnsi="宋体"/>
          <w:b/>
          <w:bCs/>
          <w:sz w:val="24"/>
        </w:rPr>
        <w:t>投标</w:t>
      </w:r>
      <w:r>
        <w:rPr>
          <w:rFonts w:hint="eastAsia" w:ascii="宋体" w:hAnsi="宋体"/>
          <w:sz w:val="24"/>
        </w:rPr>
        <w:t>文件的密封和标记的规定进行准备、密封、标注和递送。</w:t>
      </w:r>
    </w:p>
    <w:p>
      <w:pPr>
        <w:tabs>
          <w:tab w:val="left" w:pos="720"/>
        </w:tabs>
        <w:spacing w:line="360" w:lineRule="auto"/>
        <w:rPr>
          <w:rFonts w:ascii="宋体" w:hAnsi="宋体"/>
          <w:sz w:val="24"/>
        </w:rPr>
      </w:pPr>
      <w:r>
        <w:rPr>
          <w:rFonts w:hint="eastAsia" w:ascii="宋体" w:hAnsi="宋体"/>
          <w:sz w:val="24"/>
        </w:rPr>
        <w:t xml:space="preserve">     3、谈判</w:t>
      </w:r>
      <w:r>
        <w:rPr>
          <w:rFonts w:hint="eastAsia" w:ascii="宋体" w:hAnsi="宋体"/>
          <w:b/>
          <w:bCs/>
          <w:sz w:val="24"/>
        </w:rPr>
        <w:t>投标</w:t>
      </w:r>
      <w:r>
        <w:rPr>
          <w:rFonts w:hint="eastAsia" w:ascii="宋体" w:hAnsi="宋体"/>
          <w:sz w:val="24"/>
        </w:rPr>
        <w:t>日期后不得修改</w:t>
      </w:r>
      <w:r>
        <w:rPr>
          <w:rFonts w:hint="eastAsia" w:ascii="宋体" w:hAnsi="宋体"/>
          <w:b/>
          <w:bCs/>
          <w:sz w:val="24"/>
        </w:rPr>
        <w:t>投标</w:t>
      </w:r>
      <w:r>
        <w:rPr>
          <w:rFonts w:hint="eastAsia" w:ascii="宋体" w:hAnsi="宋体"/>
          <w:sz w:val="24"/>
        </w:rPr>
        <w:t>文件。</w:t>
      </w:r>
    </w:p>
    <w:p>
      <w:pPr>
        <w:tabs>
          <w:tab w:val="left" w:pos="720"/>
        </w:tabs>
        <w:spacing w:line="360" w:lineRule="auto"/>
        <w:ind w:firstLine="616" w:firstLineChars="257"/>
        <w:rPr>
          <w:rFonts w:ascii="黑体" w:hAnsi="宋体" w:eastAsia="黑体"/>
          <w:b/>
          <w:sz w:val="30"/>
          <w:szCs w:val="30"/>
        </w:rPr>
      </w:pPr>
      <w:r>
        <w:rPr>
          <w:rFonts w:hint="eastAsia" w:ascii="宋体" w:hAnsi="宋体"/>
          <w:sz w:val="24"/>
        </w:rPr>
        <w:t>4、供应商不得在</w:t>
      </w:r>
      <w:r>
        <w:rPr>
          <w:rFonts w:hint="eastAsia" w:ascii="宋体" w:hAnsi="宋体"/>
          <w:b/>
          <w:bCs/>
          <w:sz w:val="24"/>
        </w:rPr>
        <w:t>投标</w:t>
      </w:r>
      <w:r>
        <w:rPr>
          <w:rFonts w:hint="eastAsia" w:ascii="宋体" w:hAnsi="宋体"/>
          <w:sz w:val="24"/>
        </w:rPr>
        <w:t>截止日起至谈判有效期规定的</w:t>
      </w:r>
      <w:r>
        <w:rPr>
          <w:rFonts w:hint="eastAsia" w:ascii="宋体" w:hAnsi="宋体"/>
          <w:b/>
          <w:bCs/>
          <w:sz w:val="24"/>
        </w:rPr>
        <w:t>投标</w:t>
      </w:r>
      <w:r>
        <w:rPr>
          <w:rFonts w:hint="eastAsia" w:ascii="宋体" w:hAnsi="宋体"/>
          <w:sz w:val="24"/>
        </w:rPr>
        <w:t>文件有效期满前撤回</w:t>
      </w:r>
      <w:r>
        <w:rPr>
          <w:rFonts w:hint="eastAsia" w:ascii="宋体" w:hAnsi="宋体"/>
          <w:b/>
          <w:bCs/>
          <w:sz w:val="24"/>
        </w:rPr>
        <w:t>投标</w:t>
      </w:r>
      <w:r>
        <w:rPr>
          <w:rFonts w:hint="eastAsia" w:ascii="宋体" w:hAnsi="宋体"/>
          <w:sz w:val="24"/>
        </w:rPr>
        <w:t>文件，否则没收其谈判保证金。</w:t>
      </w:r>
    </w:p>
    <w:p>
      <w:pPr>
        <w:spacing w:line="460" w:lineRule="exact"/>
        <w:ind w:firstLine="482" w:firstLineChars="200"/>
        <w:rPr>
          <w:rFonts w:ascii="宋体" w:hAnsi="宋体" w:cs="宋体"/>
          <w:b/>
          <w:kern w:val="0"/>
          <w:sz w:val="24"/>
        </w:rPr>
      </w:pPr>
      <w:r>
        <w:rPr>
          <w:rFonts w:hint="eastAsia" w:ascii="宋体" w:hAnsi="宋体" w:cs="宋体"/>
          <w:b/>
          <w:kern w:val="0"/>
          <w:sz w:val="24"/>
        </w:rPr>
        <w:t>（七）投标无效的情形</w:t>
      </w:r>
    </w:p>
    <w:p>
      <w:pPr>
        <w:spacing w:line="460" w:lineRule="exact"/>
        <w:ind w:firstLine="480" w:firstLineChars="200"/>
        <w:rPr>
          <w:rFonts w:ascii="宋体" w:hAnsi="宋体" w:cs="宋体"/>
          <w:kern w:val="0"/>
          <w:sz w:val="24"/>
        </w:rPr>
      </w:pPr>
      <w:r>
        <w:rPr>
          <w:rFonts w:hint="eastAsia" w:ascii="宋体" w:hAnsi="宋体" w:cs="宋体"/>
          <w:kern w:val="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供应商仅提交备份投标文件的，投标无效。</w:t>
      </w:r>
    </w:p>
    <w:p>
      <w:pPr>
        <w:spacing w:line="460" w:lineRule="exact"/>
        <w:ind w:firstLine="482" w:firstLineChars="200"/>
        <w:rPr>
          <w:rFonts w:ascii="宋体" w:hAnsi="宋体" w:cs="宋体"/>
          <w:b/>
          <w:kern w:val="0"/>
          <w:sz w:val="24"/>
        </w:rPr>
      </w:pPr>
      <w:r>
        <w:rPr>
          <w:rFonts w:hint="eastAsia" w:ascii="宋体" w:hAnsi="宋体" w:cs="宋体"/>
          <w:b/>
          <w:kern w:val="0"/>
          <w:sz w:val="24"/>
        </w:rPr>
        <w:t>1.在评标开始前，采购人或采购代理机构对供应商的资格进行审查，如发现下列情形之一的，投标文件将被视为无效，不再进行下一步评审：</w:t>
      </w:r>
    </w:p>
    <w:p>
      <w:pPr>
        <w:spacing w:line="460" w:lineRule="exact"/>
        <w:ind w:firstLine="480" w:firstLineChars="200"/>
        <w:rPr>
          <w:rFonts w:ascii="宋体" w:hAnsi="宋体" w:cs="宋体"/>
          <w:kern w:val="0"/>
          <w:sz w:val="24"/>
        </w:rPr>
      </w:pPr>
      <w:r>
        <w:rPr>
          <w:rFonts w:hint="eastAsia" w:ascii="宋体" w:hAnsi="宋体" w:cs="宋体"/>
          <w:kern w:val="0"/>
          <w:sz w:val="24"/>
        </w:rPr>
        <w:t>（1）未提供有效的营业执照、税务登记证、组织机构代码证或未提供“三证合一”的营业执照或未提供“五证合一”的营业执照；</w:t>
      </w:r>
    </w:p>
    <w:p>
      <w:pPr>
        <w:spacing w:line="460" w:lineRule="exact"/>
        <w:ind w:firstLine="480" w:firstLineChars="200"/>
        <w:rPr>
          <w:rFonts w:ascii="宋体" w:hAnsi="宋体" w:cs="宋体"/>
          <w:kern w:val="0"/>
          <w:sz w:val="24"/>
        </w:rPr>
      </w:pPr>
      <w:r>
        <w:rPr>
          <w:rFonts w:hint="eastAsia" w:ascii="宋体" w:hAnsi="宋体" w:cs="宋体"/>
          <w:kern w:val="0"/>
          <w:sz w:val="24"/>
        </w:rPr>
        <w:t>（2）未提供法定代表人有效身份证明书及身份证或未提供法定代表人授权书及授权人身份证（法定代表人投标及签字的无需提供授权书）或与法定代表人授权委托人身份不符的；</w:t>
      </w:r>
    </w:p>
    <w:p>
      <w:pPr>
        <w:spacing w:line="460" w:lineRule="exact"/>
        <w:ind w:firstLine="480" w:firstLineChars="200"/>
        <w:rPr>
          <w:rFonts w:ascii="宋体" w:hAnsi="宋体" w:cs="宋体"/>
          <w:sz w:val="24"/>
        </w:rPr>
      </w:pPr>
      <w:r>
        <w:rPr>
          <w:rFonts w:hint="eastAsia" w:ascii="宋体" w:hAnsi="宋体" w:cs="宋体"/>
          <w:kern w:val="0"/>
          <w:sz w:val="24"/>
        </w:rPr>
        <w:t>（3）未提供</w:t>
      </w:r>
      <w:r>
        <w:rPr>
          <w:rFonts w:hint="eastAsia" w:ascii="宋体" w:hAnsi="宋体" w:cs="宋体"/>
          <w:sz w:val="24"/>
        </w:rPr>
        <w:t>经当地税务、社保部门出具的投标单位最近三个月企业纳税情况和社保基金缴纳情况证明文书；</w:t>
      </w:r>
    </w:p>
    <w:p>
      <w:pPr>
        <w:spacing w:line="460" w:lineRule="exact"/>
        <w:ind w:firstLine="480" w:firstLineChars="200"/>
        <w:rPr>
          <w:rFonts w:ascii="宋体" w:hAnsi="宋体" w:cs="宋体"/>
          <w:kern w:val="0"/>
          <w:sz w:val="24"/>
        </w:rPr>
      </w:pPr>
      <w:r>
        <w:rPr>
          <w:rFonts w:hint="eastAsia" w:ascii="宋体" w:hAnsi="宋体" w:cs="宋体"/>
          <w:kern w:val="0"/>
          <w:sz w:val="24"/>
        </w:rPr>
        <w:t>（4）未提供上年度企业的财务报告；</w:t>
      </w:r>
    </w:p>
    <w:p>
      <w:pPr>
        <w:spacing w:line="460" w:lineRule="exact"/>
        <w:ind w:firstLine="480" w:firstLineChars="200"/>
        <w:rPr>
          <w:rFonts w:ascii="宋体" w:hAnsi="宋体" w:cs="宋体"/>
          <w:kern w:val="0"/>
          <w:sz w:val="24"/>
        </w:rPr>
      </w:pPr>
      <w:r>
        <w:rPr>
          <w:rFonts w:hint="eastAsia" w:ascii="宋体" w:hAnsi="宋体" w:cs="宋体"/>
          <w:kern w:val="0"/>
          <w:sz w:val="24"/>
        </w:rPr>
        <w:t>（5）未提供信用承诺书；</w:t>
      </w:r>
    </w:p>
    <w:p>
      <w:pPr>
        <w:spacing w:line="460" w:lineRule="exact"/>
        <w:ind w:firstLine="480" w:firstLineChars="200"/>
        <w:rPr>
          <w:rFonts w:ascii="宋体" w:hAnsi="宋体" w:cs="宋体"/>
          <w:kern w:val="0"/>
          <w:sz w:val="24"/>
        </w:rPr>
      </w:pPr>
      <w:r>
        <w:rPr>
          <w:rFonts w:hint="eastAsia" w:ascii="宋体" w:hAnsi="宋体" w:cs="宋体"/>
          <w:kern w:val="0"/>
          <w:sz w:val="24"/>
        </w:rPr>
        <w:t>（6）资格证明文件不全的，或者不符合招标文件标明的资格要求的。</w:t>
      </w:r>
    </w:p>
    <w:p>
      <w:pPr>
        <w:spacing w:line="460" w:lineRule="exact"/>
        <w:ind w:firstLine="482" w:firstLineChars="200"/>
        <w:rPr>
          <w:rFonts w:ascii="宋体" w:hAnsi="宋体" w:cs="宋体"/>
          <w:b/>
          <w:kern w:val="0"/>
          <w:sz w:val="24"/>
        </w:rPr>
      </w:pPr>
      <w:r>
        <w:rPr>
          <w:rFonts w:hint="eastAsia" w:ascii="宋体" w:hAnsi="宋体" w:cs="宋体"/>
          <w:b/>
          <w:kern w:val="0"/>
          <w:sz w:val="24"/>
        </w:rPr>
        <w:t>2.在符合性审查和商务评审时，如发现下列情形之一的，投标文件将被视为无效：</w:t>
      </w:r>
    </w:p>
    <w:p>
      <w:pPr>
        <w:spacing w:line="460" w:lineRule="exact"/>
        <w:ind w:firstLine="480" w:firstLineChars="200"/>
        <w:rPr>
          <w:rFonts w:ascii="宋体" w:hAnsi="宋体" w:cs="宋体"/>
          <w:kern w:val="0"/>
          <w:sz w:val="24"/>
        </w:rPr>
      </w:pPr>
      <w:r>
        <w:rPr>
          <w:rFonts w:hint="eastAsia" w:ascii="宋体" w:hAnsi="宋体" w:cs="宋体"/>
          <w:kern w:val="0"/>
          <w:sz w:val="24"/>
        </w:rPr>
        <w:t>（1）投标文件未按招标文件要求签字或盖章；</w:t>
      </w:r>
    </w:p>
    <w:p>
      <w:pPr>
        <w:spacing w:line="460" w:lineRule="exact"/>
        <w:ind w:firstLine="480" w:firstLineChars="200"/>
        <w:rPr>
          <w:rFonts w:ascii="宋体" w:hAnsi="宋体" w:cs="宋体"/>
          <w:kern w:val="0"/>
          <w:sz w:val="24"/>
        </w:rPr>
      </w:pPr>
      <w:r>
        <w:rPr>
          <w:rFonts w:hint="eastAsia" w:ascii="宋体" w:hAnsi="宋体" w:cs="宋体"/>
          <w:kern w:val="0"/>
          <w:sz w:val="24"/>
        </w:rPr>
        <w:t>（2）投标文件格式不规范、项目不齐全或者内容虚假的；</w:t>
      </w:r>
    </w:p>
    <w:p>
      <w:pPr>
        <w:spacing w:line="460" w:lineRule="exact"/>
        <w:ind w:firstLine="480" w:firstLineChars="200"/>
        <w:rPr>
          <w:rFonts w:ascii="宋体" w:hAnsi="宋体" w:cs="宋体"/>
          <w:kern w:val="0"/>
          <w:sz w:val="24"/>
        </w:rPr>
      </w:pPr>
      <w:r>
        <w:rPr>
          <w:rFonts w:hint="eastAsia" w:ascii="宋体" w:hAnsi="宋体" w:cs="宋体"/>
          <w:kern w:val="0"/>
          <w:sz w:val="24"/>
        </w:rPr>
        <w:t>（3）投标文件的实质性内容未使用中文表述、意思表述不明确、前后矛盾或者使用计量单位不符合招标文件要求的（经评标委员会认定并允许其当场更正的笔误除外）；</w:t>
      </w:r>
    </w:p>
    <w:p>
      <w:pPr>
        <w:spacing w:line="460" w:lineRule="exact"/>
        <w:ind w:firstLine="480" w:firstLineChars="200"/>
        <w:rPr>
          <w:rFonts w:ascii="宋体" w:hAnsi="宋体" w:cs="宋体"/>
          <w:kern w:val="0"/>
          <w:sz w:val="24"/>
        </w:rPr>
      </w:pPr>
      <w:r>
        <w:rPr>
          <w:rFonts w:hint="eastAsia" w:ascii="宋体" w:hAnsi="宋体" w:cs="宋体"/>
          <w:kern w:val="0"/>
          <w:sz w:val="24"/>
        </w:rPr>
        <w:t>（4）未实质性响应招标文件要求或者投标文件有采购人不能接受的附加条件的。</w:t>
      </w:r>
    </w:p>
    <w:p>
      <w:pPr>
        <w:spacing w:line="460" w:lineRule="exact"/>
        <w:ind w:firstLine="482" w:firstLineChars="200"/>
        <w:rPr>
          <w:rFonts w:ascii="宋体" w:hAnsi="宋体" w:cs="宋体"/>
          <w:b/>
          <w:kern w:val="0"/>
          <w:sz w:val="24"/>
        </w:rPr>
      </w:pPr>
      <w:r>
        <w:rPr>
          <w:rFonts w:hint="eastAsia" w:ascii="宋体" w:hAnsi="宋体" w:cs="宋体"/>
          <w:b/>
          <w:kern w:val="0"/>
          <w:sz w:val="24"/>
        </w:rPr>
        <w:t>3.在技术评审时，如发现下列情形之一的，投标文件将被视为无效：</w:t>
      </w:r>
    </w:p>
    <w:p>
      <w:pPr>
        <w:spacing w:line="460" w:lineRule="exact"/>
        <w:ind w:firstLine="480" w:firstLineChars="200"/>
        <w:rPr>
          <w:rFonts w:ascii="宋体" w:hAnsi="宋体" w:cs="宋体"/>
          <w:kern w:val="0"/>
          <w:sz w:val="24"/>
        </w:rPr>
      </w:pPr>
      <w:r>
        <w:rPr>
          <w:rFonts w:hint="eastAsia" w:ascii="宋体" w:hAnsi="宋体" w:cs="宋体"/>
          <w:kern w:val="0"/>
          <w:sz w:val="24"/>
        </w:rPr>
        <w:t>（1）未提供或未如实提供投标货物的技术参数，或者投标文件标明的响应或偏离与事实不符或虚假投标的；</w:t>
      </w:r>
    </w:p>
    <w:p>
      <w:pPr>
        <w:spacing w:line="460" w:lineRule="exact"/>
        <w:ind w:firstLine="480" w:firstLineChars="200"/>
        <w:rPr>
          <w:rFonts w:ascii="宋体" w:hAnsi="宋体" w:cs="宋体"/>
          <w:kern w:val="0"/>
          <w:sz w:val="24"/>
        </w:rPr>
      </w:pPr>
      <w:r>
        <w:rPr>
          <w:rFonts w:hint="eastAsia" w:ascii="宋体" w:hAnsi="宋体" w:cs="宋体"/>
          <w:kern w:val="0"/>
          <w:sz w:val="24"/>
        </w:rPr>
        <w:t>（2）明显不符合招标文件要求的规格型号、质量标准，或者与招标文件中标有“▲”的技术指标、主要功能项目发生实质性偏离的；</w:t>
      </w:r>
    </w:p>
    <w:p>
      <w:pPr>
        <w:spacing w:line="460" w:lineRule="exact"/>
        <w:ind w:firstLine="480" w:firstLineChars="200"/>
        <w:rPr>
          <w:rFonts w:ascii="宋体" w:hAnsi="宋体" w:cs="宋体"/>
          <w:kern w:val="0"/>
          <w:sz w:val="24"/>
        </w:rPr>
      </w:pPr>
      <w:r>
        <w:rPr>
          <w:rFonts w:hint="eastAsia" w:ascii="宋体" w:hAnsi="宋体" w:cs="宋体"/>
          <w:kern w:val="0"/>
          <w:sz w:val="24"/>
        </w:rPr>
        <w:t>（3）投标技术方案不明确，存在一个或一个以上备选（替代）投标方案的；</w:t>
      </w:r>
    </w:p>
    <w:p>
      <w:pPr>
        <w:spacing w:line="460" w:lineRule="exact"/>
        <w:ind w:firstLine="480" w:firstLineChars="200"/>
        <w:rPr>
          <w:rFonts w:ascii="宋体" w:hAnsi="宋体" w:cs="宋体"/>
          <w:kern w:val="0"/>
          <w:sz w:val="24"/>
        </w:rPr>
      </w:pPr>
      <w:r>
        <w:rPr>
          <w:rFonts w:hint="eastAsia" w:ascii="宋体" w:hAnsi="宋体" w:cs="宋体"/>
          <w:kern w:val="0"/>
          <w:sz w:val="24"/>
        </w:rPr>
        <w:t>（4）与其他参加本次投标供应商的投标文件（技术文件）的文字表述内容相同连续 20行以上或者差错相同2处以上的。</w:t>
      </w:r>
    </w:p>
    <w:p>
      <w:pPr>
        <w:spacing w:line="460" w:lineRule="exact"/>
        <w:ind w:firstLine="482" w:firstLineChars="200"/>
        <w:rPr>
          <w:rFonts w:ascii="宋体" w:hAnsi="宋体" w:cs="宋体"/>
          <w:b/>
          <w:bCs/>
          <w:kern w:val="0"/>
          <w:sz w:val="24"/>
        </w:rPr>
      </w:pPr>
      <w:r>
        <w:rPr>
          <w:rFonts w:hint="eastAsia" w:ascii="宋体" w:hAnsi="宋体" w:cs="宋体"/>
          <w:b/>
          <w:bCs/>
          <w:kern w:val="0"/>
          <w:sz w:val="24"/>
        </w:rPr>
        <w:t>4.在报价评审时，如发现下列情形之一的，投标文件将被视为无效：</w:t>
      </w:r>
    </w:p>
    <w:p>
      <w:pPr>
        <w:spacing w:line="460" w:lineRule="exact"/>
        <w:ind w:firstLine="480" w:firstLineChars="200"/>
        <w:rPr>
          <w:rFonts w:ascii="宋体" w:hAnsi="宋体" w:cs="宋体"/>
          <w:kern w:val="0"/>
          <w:sz w:val="24"/>
        </w:rPr>
      </w:pPr>
      <w:r>
        <w:rPr>
          <w:rFonts w:hint="eastAsia" w:ascii="宋体" w:hAnsi="宋体" w:cs="宋体"/>
          <w:kern w:val="0"/>
          <w:sz w:val="24"/>
        </w:rPr>
        <w:t>（1）未采用“人民币元”报价的；</w:t>
      </w:r>
    </w:p>
    <w:p>
      <w:pPr>
        <w:spacing w:line="460" w:lineRule="exact"/>
        <w:ind w:firstLine="480" w:firstLineChars="200"/>
        <w:rPr>
          <w:rFonts w:ascii="宋体" w:hAnsi="宋体" w:cs="宋体"/>
          <w:kern w:val="0"/>
          <w:sz w:val="24"/>
        </w:rPr>
      </w:pPr>
      <w:r>
        <w:rPr>
          <w:rFonts w:hint="eastAsia" w:ascii="宋体" w:hAnsi="宋体" w:cs="宋体"/>
          <w:kern w:val="0"/>
          <w:sz w:val="24"/>
        </w:rPr>
        <w:t>（2）报价超出最高限价，或者超出采购预算金额，采购人不能支付的；</w:t>
      </w:r>
    </w:p>
    <w:p>
      <w:pPr>
        <w:spacing w:line="460" w:lineRule="exact"/>
        <w:ind w:firstLine="480" w:firstLineChars="200"/>
        <w:rPr>
          <w:rFonts w:ascii="宋体" w:hAnsi="宋体" w:cs="宋体"/>
          <w:kern w:val="0"/>
          <w:sz w:val="24"/>
        </w:rPr>
      </w:pPr>
      <w:r>
        <w:rPr>
          <w:rFonts w:hint="eastAsia" w:ascii="宋体" w:hAnsi="宋体" w:cs="宋体"/>
          <w:kern w:val="0"/>
          <w:sz w:val="24"/>
        </w:rPr>
        <w:t>（3）投标报价具有选择性，或者开标价格与投标文件承诺的优惠（折扣）价格不一致的。</w:t>
      </w:r>
    </w:p>
    <w:p>
      <w:pPr>
        <w:spacing w:line="460" w:lineRule="exact"/>
        <w:ind w:firstLine="480" w:firstLineChars="200"/>
        <w:rPr>
          <w:rFonts w:ascii="宋体" w:hAnsi="宋体" w:cs="宋体"/>
          <w:kern w:val="0"/>
          <w:sz w:val="24"/>
        </w:rPr>
      </w:pPr>
      <w:r>
        <w:rPr>
          <w:rFonts w:hint="eastAsia" w:ascii="宋体" w:hAnsi="宋体" w:cs="宋体"/>
          <w:kern w:val="0"/>
          <w:sz w:val="24"/>
        </w:rPr>
        <w:t>5.被拒绝的投标文件为无效。</w:t>
      </w:r>
    </w:p>
    <w:p>
      <w:pPr>
        <w:spacing w:line="460" w:lineRule="exact"/>
        <w:ind w:firstLine="482" w:firstLineChars="200"/>
        <w:rPr>
          <w:rFonts w:ascii="宋体" w:hAnsi="宋体" w:cs="宋体"/>
          <w:bCs/>
          <w:kern w:val="0"/>
          <w:sz w:val="24"/>
        </w:rPr>
      </w:pPr>
      <w:r>
        <w:rPr>
          <w:rFonts w:hint="eastAsia" w:ascii="宋体" w:hAnsi="宋体" w:cs="宋体"/>
          <w:b/>
          <w:kern w:val="0"/>
          <w:sz w:val="24"/>
        </w:rPr>
        <w:t>(八）废标的情形</w:t>
      </w:r>
    </w:p>
    <w:p>
      <w:pPr>
        <w:spacing w:line="460" w:lineRule="exact"/>
        <w:ind w:firstLine="480" w:firstLineChars="200"/>
        <w:rPr>
          <w:rFonts w:ascii="宋体" w:hAnsi="宋体" w:cs="宋体"/>
          <w:kern w:val="0"/>
          <w:sz w:val="24"/>
        </w:rPr>
      </w:pPr>
      <w:r>
        <w:rPr>
          <w:rFonts w:hint="eastAsia" w:ascii="宋体" w:hAnsi="宋体" w:cs="宋体"/>
          <w:kern w:val="0"/>
          <w:sz w:val="24"/>
        </w:rPr>
        <w:t>在招标采购中，出现下列情形之一的，应予废标：</w:t>
      </w:r>
    </w:p>
    <w:p>
      <w:pPr>
        <w:spacing w:line="460" w:lineRule="exact"/>
        <w:ind w:firstLine="480" w:firstLineChars="200"/>
        <w:rPr>
          <w:rFonts w:ascii="宋体" w:hAnsi="宋体" w:cs="宋体"/>
          <w:kern w:val="0"/>
          <w:sz w:val="24"/>
        </w:rPr>
      </w:pPr>
      <w:r>
        <w:rPr>
          <w:rFonts w:hint="eastAsia" w:ascii="宋体" w:hAnsi="宋体" w:cs="宋体"/>
          <w:kern w:val="0"/>
          <w:sz w:val="24"/>
        </w:rPr>
        <w:t>(1)符合专业条件的供应商或者对招标文件</w:t>
      </w:r>
      <w:r>
        <w:rPr>
          <w:rFonts w:hint="eastAsia" w:ascii="宋体" w:hAnsi="宋体" w:cs="宋体"/>
          <w:color w:val="FF0000"/>
          <w:kern w:val="0"/>
          <w:sz w:val="24"/>
        </w:rPr>
        <w:t>各个标段</w:t>
      </w:r>
      <w:r>
        <w:rPr>
          <w:rFonts w:hint="eastAsia" w:ascii="宋体" w:hAnsi="宋体" w:cs="宋体"/>
          <w:kern w:val="0"/>
          <w:sz w:val="24"/>
        </w:rPr>
        <w:t>作实质性响应的供应商</w:t>
      </w:r>
      <w:r>
        <w:rPr>
          <w:rFonts w:hint="eastAsia" w:ascii="宋体" w:hAnsi="宋体" w:cs="宋体"/>
          <w:b/>
          <w:bCs/>
          <w:color w:val="0000FF"/>
          <w:kern w:val="0"/>
          <w:sz w:val="24"/>
        </w:rPr>
        <w:t>不足三家</w:t>
      </w:r>
      <w:r>
        <w:rPr>
          <w:rFonts w:hint="eastAsia" w:ascii="宋体" w:hAnsi="宋体" w:cs="宋体"/>
          <w:kern w:val="0"/>
          <w:sz w:val="24"/>
        </w:rPr>
        <w:t>的；</w:t>
      </w:r>
    </w:p>
    <w:p>
      <w:pPr>
        <w:spacing w:line="460" w:lineRule="exact"/>
        <w:ind w:firstLine="480" w:firstLineChars="200"/>
        <w:rPr>
          <w:rFonts w:ascii="宋体" w:hAnsi="宋体" w:cs="宋体"/>
          <w:kern w:val="0"/>
          <w:sz w:val="24"/>
        </w:rPr>
      </w:pPr>
      <w:r>
        <w:rPr>
          <w:rFonts w:hint="eastAsia" w:ascii="宋体" w:hAnsi="宋体" w:cs="宋体"/>
          <w:kern w:val="0"/>
          <w:sz w:val="24"/>
        </w:rPr>
        <w:t>(2)出现影响采购公正的违法、违规行为的；</w:t>
      </w:r>
    </w:p>
    <w:p>
      <w:pPr>
        <w:spacing w:line="460" w:lineRule="exact"/>
        <w:ind w:firstLine="480" w:firstLineChars="200"/>
        <w:rPr>
          <w:rFonts w:ascii="宋体" w:hAnsi="宋体" w:cs="宋体"/>
          <w:kern w:val="0"/>
          <w:sz w:val="24"/>
        </w:rPr>
      </w:pPr>
      <w:r>
        <w:rPr>
          <w:rFonts w:hint="eastAsia" w:ascii="宋体" w:hAnsi="宋体" w:cs="宋体"/>
          <w:kern w:val="0"/>
          <w:sz w:val="24"/>
        </w:rPr>
        <w:t>(3)投标人的报价均超过了采购预算及单价限价，采购人不能支付的；</w:t>
      </w:r>
    </w:p>
    <w:p>
      <w:pPr>
        <w:spacing w:line="460" w:lineRule="exact"/>
        <w:ind w:firstLine="480" w:firstLineChars="200"/>
        <w:rPr>
          <w:rFonts w:ascii="宋体" w:hAnsi="宋体" w:cs="宋体"/>
          <w:kern w:val="0"/>
          <w:sz w:val="24"/>
        </w:rPr>
      </w:pPr>
      <w:r>
        <w:rPr>
          <w:rFonts w:hint="eastAsia" w:ascii="宋体" w:hAnsi="宋体" w:cs="宋体"/>
          <w:kern w:val="0"/>
          <w:sz w:val="24"/>
        </w:rPr>
        <w:t>(4)因重大变故，采购任务取消的。</w:t>
      </w:r>
    </w:p>
    <w:p>
      <w:pPr>
        <w:spacing w:line="460" w:lineRule="exact"/>
        <w:ind w:firstLine="643" w:firstLineChars="200"/>
        <w:rPr>
          <w:rFonts w:ascii="宋体" w:hAnsi="宋体" w:cs="宋体"/>
          <w:b/>
          <w:kern w:val="0"/>
          <w:sz w:val="32"/>
          <w:szCs w:val="32"/>
        </w:rPr>
      </w:pPr>
      <w:r>
        <w:rPr>
          <w:rFonts w:hint="eastAsia" w:ascii="宋体" w:hAnsi="宋体" w:cs="宋体"/>
          <w:b/>
          <w:kern w:val="0"/>
          <w:sz w:val="32"/>
          <w:szCs w:val="32"/>
        </w:rPr>
        <w:t>四、开标</w:t>
      </w:r>
    </w:p>
    <w:p>
      <w:pPr>
        <w:pStyle w:val="27"/>
        <w:spacing w:line="360" w:lineRule="auto"/>
        <w:ind w:firstLine="482" w:firstLineChars="200"/>
        <w:rPr>
          <w:rFonts w:hAnsi="宋体"/>
          <w:b/>
          <w:color w:val="000000"/>
          <w:sz w:val="24"/>
          <w:szCs w:val="24"/>
        </w:rPr>
      </w:pPr>
      <w:r>
        <w:rPr>
          <w:rFonts w:hint="eastAsia" w:hAnsi="宋体"/>
          <w:b/>
          <w:color w:val="000000"/>
          <w:sz w:val="24"/>
          <w:szCs w:val="24"/>
        </w:rPr>
        <w:t>（一）开标准备</w:t>
      </w:r>
    </w:p>
    <w:p>
      <w:pPr>
        <w:pStyle w:val="27"/>
        <w:spacing w:line="360" w:lineRule="auto"/>
        <w:ind w:firstLine="480" w:firstLineChars="200"/>
        <w:rPr>
          <w:rFonts w:hAnsi="宋体"/>
          <w:bCs/>
          <w:color w:val="000000"/>
          <w:sz w:val="24"/>
          <w:szCs w:val="24"/>
        </w:rPr>
      </w:pPr>
      <w:r>
        <w:rPr>
          <w:rFonts w:hint="eastAsia" w:hAnsi="宋体"/>
          <w:bCs/>
          <w:color w:val="000000"/>
          <w:sz w:val="24"/>
          <w:szCs w:val="24"/>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27"/>
        <w:spacing w:line="360" w:lineRule="auto"/>
        <w:ind w:firstLine="480" w:firstLineChars="200"/>
        <w:rPr>
          <w:rFonts w:hAnsi="宋体"/>
          <w:color w:val="000000"/>
          <w:sz w:val="24"/>
          <w:szCs w:val="24"/>
          <w:highlight w:val="yellow"/>
        </w:rPr>
      </w:pPr>
      <w:r>
        <w:rPr>
          <w:rFonts w:hint="eastAsia" w:hAnsi="宋体"/>
          <w:color w:val="000000"/>
          <w:sz w:val="24"/>
          <w:szCs w:val="24"/>
        </w:rPr>
        <w:t>如投标截止时间后参加投标的单位不足三家的，评标委员认为投标具备充分竞争的，可继续招标会议。</w:t>
      </w:r>
    </w:p>
    <w:p>
      <w:pPr>
        <w:pStyle w:val="27"/>
        <w:spacing w:beforeLines="50" w:line="360" w:lineRule="auto"/>
        <w:ind w:firstLine="482" w:firstLineChars="200"/>
        <w:rPr>
          <w:rFonts w:hAnsi="宋体"/>
          <w:b/>
          <w:color w:val="000000"/>
          <w:sz w:val="24"/>
          <w:szCs w:val="24"/>
        </w:rPr>
      </w:pPr>
      <w:r>
        <w:rPr>
          <w:rFonts w:hint="eastAsia" w:hAnsi="宋体"/>
          <w:b/>
          <w:color w:val="000000"/>
          <w:sz w:val="24"/>
          <w:szCs w:val="24"/>
        </w:rPr>
        <w:t>（二） 开标程序：</w:t>
      </w:r>
    </w:p>
    <w:p>
      <w:pPr>
        <w:pStyle w:val="27"/>
        <w:spacing w:line="360" w:lineRule="auto"/>
        <w:ind w:firstLine="480" w:firstLineChars="200"/>
        <w:rPr>
          <w:rFonts w:hAnsi="宋体"/>
          <w:color w:val="000000"/>
          <w:sz w:val="24"/>
          <w:szCs w:val="24"/>
        </w:rPr>
      </w:pPr>
      <w:r>
        <w:rPr>
          <w:rFonts w:hint="eastAsia" w:hAnsi="宋体"/>
          <w:color w:val="000000"/>
          <w:sz w:val="24"/>
          <w:szCs w:val="24"/>
        </w:rPr>
        <w:t>1、开标会由代理机构主持，主持人宣布开标会议开始；</w:t>
      </w:r>
    </w:p>
    <w:p>
      <w:pPr>
        <w:pStyle w:val="27"/>
        <w:spacing w:line="360" w:lineRule="auto"/>
        <w:ind w:firstLine="480" w:firstLineChars="200"/>
        <w:rPr>
          <w:rFonts w:hAnsi="宋体"/>
          <w:color w:val="000000"/>
          <w:sz w:val="24"/>
          <w:szCs w:val="24"/>
        </w:rPr>
      </w:pPr>
      <w:r>
        <w:rPr>
          <w:rFonts w:hint="eastAsia" w:hAnsi="宋体"/>
          <w:color w:val="000000"/>
          <w:sz w:val="24"/>
          <w:szCs w:val="24"/>
        </w:rPr>
        <w:t>2、主持人介绍参加开标会的人员名单；</w:t>
      </w:r>
    </w:p>
    <w:p>
      <w:pPr>
        <w:pStyle w:val="27"/>
        <w:spacing w:line="360" w:lineRule="auto"/>
        <w:ind w:firstLine="480" w:firstLineChars="200"/>
        <w:rPr>
          <w:rFonts w:hAnsi="宋体"/>
          <w:color w:val="000000"/>
          <w:sz w:val="24"/>
          <w:szCs w:val="24"/>
        </w:rPr>
      </w:pPr>
      <w:r>
        <w:rPr>
          <w:rFonts w:hint="eastAsia" w:hAnsi="宋体"/>
          <w:color w:val="000000"/>
          <w:sz w:val="24"/>
          <w:szCs w:val="24"/>
        </w:rPr>
        <w:t>3、主持人宣布评标期间的有关事项；告知应当回避的情形,请有关人员回避；</w:t>
      </w:r>
    </w:p>
    <w:p>
      <w:pPr>
        <w:pStyle w:val="27"/>
        <w:spacing w:line="360" w:lineRule="auto"/>
        <w:ind w:firstLine="480" w:firstLineChars="200"/>
        <w:rPr>
          <w:rFonts w:hAnsi="宋体"/>
          <w:color w:val="000000"/>
          <w:sz w:val="24"/>
          <w:szCs w:val="24"/>
        </w:rPr>
      </w:pPr>
      <w:r>
        <w:rPr>
          <w:rFonts w:hint="eastAsia" w:hAnsi="宋体"/>
          <w:color w:val="000000"/>
          <w:sz w:val="24"/>
          <w:szCs w:val="24"/>
        </w:rPr>
        <w:t>4、投标人或其当场推荐的代表，或者招标单位委托的监督人员检查投标文件密封的完整性；</w:t>
      </w:r>
    </w:p>
    <w:p>
      <w:pPr>
        <w:pStyle w:val="27"/>
        <w:spacing w:line="360" w:lineRule="auto"/>
        <w:ind w:firstLine="480" w:firstLineChars="200"/>
        <w:rPr>
          <w:rFonts w:hAnsi="宋体"/>
          <w:color w:val="000000"/>
          <w:sz w:val="24"/>
          <w:szCs w:val="24"/>
        </w:rPr>
      </w:pPr>
      <w:r>
        <w:rPr>
          <w:rFonts w:hint="eastAsia" w:hAnsi="宋体"/>
          <w:color w:val="000000"/>
          <w:sz w:val="24"/>
          <w:szCs w:val="24"/>
        </w:rPr>
        <w:t>6、由主持人宣读《投标报价一览表》中的投标人名称及在其投标文件中承诺的投标报价、投标内容（投标设备名称、规格型号或者服务项目名称），以及代理机构认为有必要宣读的其他内容。</w:t>
      </w:r>
    </w:p>
    <w:p>
      <w:pPr>
        <w:pStyle w:val="27"/>
        <w:spacing w:line="360" w:lineRule="auto"/>
        <w:ind w:firstLine="480" w:firstLineChars="200"/>
        <w:rPr>
          <w:rFonts w:hAnsi="宋体"/>
          <w:color w:val="000000"/>
          <w:sz w:val="24"/>
          <w:szCs w:val="24"/>
        </w:rPr>
      </w:pPr>
      <w:r>
        <w:rPr>
          <w:rFonts w:hint="eastAsia" w:hAnsi="宋体"/>
          <w:color w:val="000000"/>
          <w:sz w:val="24"/>
          <w:szCs w:val="24"/>
        </w:rPr>
        <w:t>7、代理机构做开标记录, 投标人代表对开标记录进行当场校核及勘误，并签字确认；同时由记录人、监督人当场签字确认。投标人代表未到场签字确认或者拒绝签字确认的，不影响评标过程及结果。</w:t>
      </w:r>
    </w:p>
    <w:p>
      <w:pPr>
        <w:pStyle w:val="27"/>
        <w:spacing w:line="360" w:lineRule="auto"/>
        <w:ind w:firstLine="480" w:firstLineChars="200"/>
        <w:rPr>
          <w:rFonts w:hAnsi="宋体"/>
          <w:color w:val="000000"/>
          <w:sz w:val="24"/>
          <w:szCs w:val="24"/>
        </w:rPr>
      </w:pPr>
      <w:r>
        <w:rPr>
          <w:rFonts w:hint="eastAsia" w:hAnsi="宋体"/>
          <w:color w:val="000000"/>
          <w:sz w:val="24"/>
          <w:szCs w:val="24"/>
        </w:rPr>
        <w:t>8、开标会议结束。</w:t>
      </w:r>
    </w:p>
    <w:p>
      <w:pPr>
        <w:spacing w:line="460" w:lineRule="exact"/>
        <w:ind w:firstLine="562" w:firstLineChars="200"/>
        <w:rPr>
          <w:rFonts w:ascii="宋体" w:hAnsi="宋体" w:cs="宋体"/>
          <w:b/>
          <w:kern w:val="0"/>
          <w:szCs w:val="28"/>
        </w:rPr>
      </w:pPr>
      <w:r>
        <w:rPr>
          <w:rFonts w:hint="eastAsia" w:ascii="宋体" w:hAnsi="宋体" w:cs="宋体"/>
          <w:b/>
          <w:kern w:val="0"/>
          <w:szCs w:val="28"/>
        </w:rPr>
        <w:t>五、评标</w:t>
      </w:r>
    </w:p>
    <w:p>
      <w:pPr>
        <w:spacing w:line="460" w:lineRule="exact"/>
        <w:ind w:firstLine="482" w:firstLineChars="200"/>
        <w:rPr>
          <w:rFonts w:ascii="宋体" w:hAnsi="宋体" w:cs="宋体"/>
          <w:b/>
          <w:kern w:val="0"/>
          <w:sz w:val="24"/>
        </w:rPr>
      </w:pPr>
      <w:r>
        <w:rPr>
          <w:rFonts w:hint="eastAsia" w:ascii="宋体" w:hAnsi="宋体" w:cs="宋体"/>
          <w:b/>
          <w:kern w:val="0"/>
          <w:sz w:val="24"/>
        </w:rPr>
        <w:t>（一）组建评标委员会</w:t>
      </w:r>
    </w:p>
    <w:p>
      <w:pPr>
        <w:spacing w:line="460" w:lineRule="exact"/>
        <w:ind w:firstLine="480" w:firstLineChars="200"/>
        <w:rPr>
          <w:rFonts w:ascii="宋体" w:hAnsi="宋体" w:cs="宋体"/>
          <w:kern w:val="0"/>
          <w:sz w:val="24"/>
        </w:rPr>
      </w:pPr>
      <w:r>
        <w:rPr>
          <w:rFonts w:hint="eastAsia" w:ascii="宋体" w:hAnsi="宋体" w:cs="宋体"/>
          <w:kern w:val="0"/>
          <w:sz w:val="24"/>
        </w:rPr>
        <w:t>本项目评标委员会依法组建，政府采购评审专家成员人数为5人及以上单数。</w:t>
      </w:r>
    </w:p>
    <w:p>
      <w:pPr>
        <w:spacing w:line="460" w:lineRule="exact"/>
        <w:ind w:firstLine="482" w:firstLineChars="200"/>
        <w:rPr>
          <w:rFonts w:ascii="宋体" w:hAnsi="宋体" w:cs="宋体"/>
          <w:b/>
          <w:kern w:val="0"/>
          <w:sz w:val="24"/>
        </w:rPr>
      </w:pPr>
      <w:r>
        <w:rPr>
          <w:rFonts w:hint="eastAsia" w:ascii="宋体" w:hAnsi="宋体" w:cs="宋体"/>
          <w:b/>
          <w:kern w:val="0"/>
          <w:sz w:val="24"/>
        </w:rPr>
        <w:t>（二）评标的方式</w:t>
      </w:r>
    </w:p>
    <w:p>
      <w:pPr>
        <w:spacing w:line="460" w:lineRule="exact"/>
        <w:ind w:firstLine="480" w:firstLineChars="200"/>
        <w:rPr>
          <w:rFonts w:ascii="宋体" w:hAnsi="宋体" w:cs="宋体"/>
          <w:kern w:val="0"/>
          <w:sz w:val="24"/>
        </w:rPr>
      </w:pPr>
      <w:r>
        <w:rPr>
          <w:rFonts w:hint="eastAsia" w:ascii="宋体" w:hAnsi="宋体" w:cs="宋体"/>
          <w:kern w:val="0"/>
          <w:sz w:val="24"/>
        </w:rPr>
        <w:t>本项目采用公开方式评标，评标的依据为招标文件和投标文件。</w:t>
      </w:r>
    </w:p>
    <w:p>
      <w:pPr>
        <w:spacing w:line="460" w:lineRule="exact"/>
        <w:ind w:firstLine="482" w:firstLineChars="200"/>
        <w:rPr>
          <w:rFonts w:ascii="宋体" w:hAnsi="宋体" w:cs="宋体"/>
          <w:b/>
          <w:kern w:val="0"/>
          <w:sz w:val="24"/>
        </w:rPr>
      </w:pPr>
      <w:r>
        <w:rPr>
          <w:rFonts w:hint="eastAsia" w:ascii="宋体" w:hAnsi="宋体" w:cs="宋体"/>
          <w:b/>
          <w:kern w:val="0"/>
          <w:sz w:val="24"/>
        </w:rPr>
        <w:t>（三）评标程序</w:t>
      </w:r>
    </w:p>
    <w:p>
      <w:pPr>
        <w:spacing w:line="460" w:lineRule="exact"/>
        <w:ind w:firstLine="482" w:firstLineChars="200"/>
        <w:rPr>
          <w:rFonts w:ascii="宋体" w:hAnsi="宋体" w:cs="宋体"/>
          <w:b/>
          <w:kern w:val="0"/>
          <w:sz w:val="24"/>
        </w:rPr>
      </w:pPr>
      <w:r>
        <w:rPr>
          <w:rFonts w:hint="eastAsia" w:ascii="宋体" w:hAnsi="宋体" w:cs="宋体"/>
          <w:b/>
          <w:kern w:val="0"/>
          <w:sz w:val="24"/>
        </w:rPr>
        <w:t>1.形式审查</w:t>
      </w:r>
    </w:p>
    <w:p>
      <w:pPr>
        <w:spacing w:line="460" w:lineRule="exact"/>
        <w:ind w:firstLine="480" w:firstLineChars="200"/>
        <w:rPr>
          <w:rFonts w:ascii="宋体" w:hAnsi="宋体" w:cs="宋体"/>
          <w:kern w:val="0"/>
          <w:sz w:val="24"/>
        </w:rPr>
      </w:pPr>
      <w:r>
        <w:rPr>
          <w:rFonts w:hint="eastAsia" w:ascii="宋体" w:hAnsi="宋体" w:cs="宋体"/>
          <w:kern w:val="0"/>
          <w:sz w:val="24"/>
        </w:rPr>
        <w:t>在开标结束后（评标开始前），采购人或采购代理机构对供应商的资格和投标文件的完整性、合法性等进行审查。</w:t>
      </w:r>
    </w:p>
    <w:p>
      <w:pPr>
        <w:spacing w:line="460" w:lineRule="exact"/>
        <w:ind w:firstLine="482" w:firstLineChars="200"/>
        <w:rPr>
          <w:rFonts w:ascii="宋体" w:hAnsi="宋体" w:cs="宋体"/>
          <w:b/>
          <w:kern w:val="0"/>
          <w:sz w:val="24"/>
        </w:rPr>
      </w:pPr>
      <w:r>
        <w:rPr>
          <w:rFonts w:hint="eastAsia" w:ascii="宋体" w:hAnsi="宋体" w:cs="宋体"/>
          <w:b/>
          <w:kern w:val="0"/>
          <w:sz w:val="24"/>
        </w:rPr>
        <w:t>2.实质审查与比较</w:t>
      </w:r>
    </w:p>
    <w:p>
      <w:pPr>
        <w:spacing w:line="460" w:lineRule="exact"/>
        <w:ind w:firstLine="480" w:firstLineChars="200"/>
        <w:rPr>
          <w:rFonts w:ascii="宋体" w:hAnsi="宋体" w:cs="宋体"/>
          <w:kern w:val="0"/>
          <w:sz w:val="24"/>
        </w:rPr>
      </w:pPr>
      <w:r>
        <w:rPr>
          <w:rFonts w:hint="eastAsia" w:ascii="宋体" w:hAnsi="宋体" w:cs="宋体"/>
          <w:kern w:val="0"/>
          <w:sz w:val="24"/>
        </w:rPr>
        <w:t>（1）评标委员会审查投标文件的实质性内容是否符合招标文件的实质性要求。</w:t>
      </w:r>
    </w:p>
    <w:p>
      <w:pPr>
        <w:spacing w:line="460" w:lineRule="exact"/>
        <w:ind w:firstLine="480" w:firstLineChars="200"/>
        <w:rPr>
          <w:rFonts w:ascii="宋体" w:hAnsi="宋体" w:cs="宋体"/>
          <w:kern w:val="0"/>
          <w:sz w:val="24"/>
        </w:rPr>
      </w:pPr>
      <w:r>
        <w:rPr>
          <w:rFonts w:hint="eastAsia" w:ascii="宋体" w:hAnsi="宋体" w:cs="宋体"/>
          <w:kern w:val="0"/>
          <w:sz w:val="24"/>
        </w:rPr>
        <w:t>（2）评标委员会将根据供应商的投标文件进行审查、核对,如有疑问,将对供应商进行询标,供应商要向评标委员会澄清有关问题,并最终以书面形式进行答复。供应商未的规定时间内澄清或者拒绝澄清或者澄清的内容改变了投标文件的实质性内容的，评标委员会有权对该投标文件作出不利于供应商的评判。</w:t>
      </w:r>
    </w:p>
    <w:p>
      <w:pPr>
        <w:spacing w:line="460" w:lineRule="exact"/>
        <w:ind w:firstLine="480" w:firstLineChars="200"/>
        <w:rPr>
          <w:rFonts w:ascii="宋体" w:hAnsi="宋体" w:cs="宋体"/>
          <w:kern w:val="0"/>
          <w:sz w:val="24"/>
        </w:rPr>
      </w:pPr>
      <w:r>
        <w:rPr>
          <w:rFonts w:hint="eastAsia" w:ascii="宋体" w:hAnsi="宋体" w:cs="宋体"/>
          <w:kern w:val="0"/>
          <w:sz w:val="24"/>
        </w:rPr>
        <w:t>（3）评标委员会完成评标后,按评标原则推荐中标候选人同时起草评标报告。</w:t>
      </w:r>
    </w:p>
    <w:p>
      <w:pPr>
        <w:spacing w:line="460" w:lineRule="exact"/>
        <w:ind w:firstLine="480" w:firstLineChars="200"/>
        <w:rPr>
          <w:rFonts w:ascii="宋体" w:hAnsi="宋体" w:cs="宋体"/>
          <w:kern w:val="0"/>
          <w:sz w:val="24"/>
        </w:rPr>
      </w:pPr>
      <w:r>
        <w:rPr>
          <w:rFonts w:hint="eastAsia" w:ascii="宋体" w:hAnsi="宋体" w:cs="宋体"/>
          <w:kern w:val="0"/>
          <w:sz w:val="24"/>
        </w:rPr>
        <w:t>（4）评标委员会按评标原则向采购人及采购代理机构提交评审报告。</w:t>
      </w:r>
    </w:p>
    <w:p>
      <w:pPr>
        <w:spacing w:line="460" w:lineRule="exact"/>
        <w:ind w:firstLine="482" w:firstLineChars="200"/>
        <w:rPr>
          <w:rFonts w:ascii="宋体" w:hAnsi="宋体" w:cs="宋体"/>
          <w:b/>
          <w:kern w:val="0"/>
          <w:sz w:val="24"/>
        </w:rPr>
      </w:pPr>
      <w:r>
        <w:rPr>
          <w:rFonts w:hint="eastAsia" w:ascii="宋体" w:hAnsi="宋体" w:cs="宋体"/>
          <w:b/>
          <w:kern w:val="0"/>
          <w:sz w:val="24"/>
        </w:rPr>
        <w:t>（四）澄清问题的形式</w:t>
      </w:r>
    </w:p>
    <w:p>
      <w:pPr>
        <w:spacing w:line="460" w:lineRule="exact"/>
        <w:ind w:firstLine="480" w:firstLineChars="200"/>
        <w:rPr>
          <w:rFonts w:ascii="宋体" w:hAnsi="宋体" w:cs="宋体"/>
          <w:kern w:val="0"/>
          <w:sz w:val="24"/>
        </w:rPr>
      </w:pPr>
      <w:r>
        <w:rPr>
          <w:rFonts w:hint="eastAsia" w:ascii="宋体" w:hAnsi="宋体" w:cs="宋体"/>
          <w:kern w:val="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460" w:lineRule="exact"/>
        <w:ind w:firstLine="482" w:firstLineChars="200"/>
        <w:rPr>
          <w:rFonts w:ascii="宋体" w:hAnsi="宋体" w:cs="宋体"/>
          <w:b/>
          <w:kern w:val="0"/>
          <w:sz w:val="24"/>
        </w:rPr>
      </w:pPr>
      <w:r>
        <w:rPr>
          <w:rFonts w:hint="eastAsia" w:ascii="宋体" w:hAnsi="宋体" w:cs="宋体"/>
          <w:b/>
          <w:kern w:val="0"/>
          <w:sz w:val="24"/>
        </w:rPr>
        <w:t>（五）错误修正</w:t>
      </w:r>
    </w:p>
    <w:p>
      <w:pPr>
        <w:spacing w:line="460" w:lineRule="exact"/>
        <w:ind w:firstLine="480" w:firstLineChars="200"/>
        <w:rPr>
          <w:rFonts w:ascii="宋体" w:hAnsi="宋体" w:cs="宋体"/>
          <w:kern w:val="0"/>
          <w:sz w:val="24"/>
        </w:rPr>
      </w:pPr>
      <w:r>
        <w:rPr>
          <w:rFonts w:hint="eastAsia" w:ascii="宋体" w:hAnsi="宋体" w:cs="宋体"/>
          <w:kern w:val="0"/>
          <w:sz w:val="24"/>
        </w:rPr>
        <w:t>投标文件如果出现计算或表达上的错误，修正错误的原则如下：</w:t>
      </w:r>
    </w:p>
    <w:p>
      <w:pPr>
        <w:spacing w:line="460" w:lineRule="exact"/>
        <w:ind w:firstLine="480" w:firstLineChars="200"/>
        <w:rPr>
          <w:rFonts w:ascii="宋体" w:hAnsi="宋体" w:cs="宋体"/>
          <w:kern w:val="0"/>
          <w:sz w:val="24"/>
        </w:rPr>
      </w:pPr>
      <w:r>
        <w:rPr>
          <w:rFonts w:hint="eastAsia" w:ascii="宋体" w:hAnsi="宋体" w:cs="宋体"/>
          <w:kern w:val="0"/>
          <w:sz w:val="24"/>
        </w:rPr>
        <w:t>1.投标文件的大写和小写不一致的，以大写为准；</w:t>
      </w:r>
    </w:p>
    <w:p>
      <w:pPr>
        <w:spacing w:line="460" w:lineRule="exact"/>
        <w:ind w:firstLine="480" w:firstLineChars="200"/>
        <w:rPr>
          <w:rFonts w:ascii="宋体" w:hAnsi="宋体" w:cs="宋体"/>
          <w:kern w:val="0"/>
          <w:sz w:val="24"/>
        </w:rPr>
      </w:pPr>
      <w:r>
        <w:rPr>
          <w:rFonts w:hint="eastAsia" w:ascii="宋体" w:hAnsi="宋体" w:cs="宋体"/>
          <w:kern w:val="0"/>
          <w:sz w:val="24"/>
        </w:rPr>
        <w:t>2.对不同文字文本投标文件的解释发生异议的，以中文文本为准。</w:t>
      </w:r>
    </w:p>
    <w:p>
      <w:pPr>
        <w:spacing w:line="460" w:lineRule="exact"/>
        <w:ind w:firstLine="482" w:firstLineChars="200"/>
        <w:rPr>
          <w:rFonts w:ascii="宋体" w:hAnsi="宋体" w:cs="宋体"/>
          <w:b/>
          <w:kern w:val="0"/>
          <w:sz w:val="24"/>
        </w:rPr>
      </w:pPr>
      <w:r>
        <w:rPr>
          <w:rFonts w:hint="eastAsia" w:ascii="宋体" w:hAnsi="宋体" w:cs="宋体"/>
          <w:b/>
          <w:kern w:val="0"/>
          <w:sz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spacing w:line="460" w:lineRule="exact"/>
        <w:ind w:firstLine="482" w:firstLineChars="200"/>
        <w:rPr>
          <w:rFonts w:ascii="宋体" w:hAnsi="宋体" w:cs="宋体"/>
          <w:b/>
          <w:kern w:val="0"/>
          <w:sz w:val="24"/>
        </w:rPr>
      </w:pPr>
      <w:r>
        <w:rPr>
          <w:rFonts w:hint="eastAsia" w:ascii="宋体" w:hAnsi="宋体" w:cs="宋体"/>
          <w:b/>
          <w:kern w:val="0"/>
          <w:sz w:val="24"/>
        </w:rPr>
        <w:t>（六）评标原则和评标办法</w:t>
      </w:r>
    </w:p>
    <w:p>
      <w:pPr>
        <w:spacing w:line="460" w:lineRule="exact"/>
        <w:ind w:firstLine="480" w:firstLineChars="200"/>
        <w:rPr>
          <w:rFonts w:ascii="宋体" w:hAnsi="宋体" w:cs="宋体"/>
          <w:kern w:val="0"/>
          <w:sz w:val="24"/>
        </w:rPr>
      </w:pPr>
      <w:r>
        <w:rPr>
          <w:rFonts w:hint="eastAsia" w:ascii="宋体" w:hAnsi="宋体"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spacing w:line="460" w:lineRule="exact"/>
        <w:ind w:firstLine="480" w:firstLineChars="200"/>
        <w:rPr>
          <w:rFonts w:ascii="宋体" w:hAnsi="宋体" w:cs="宋体"/>
          <w:kern w:val="0"/>
          <w:sz w:val="24"/>
        </w:rPr>
      </w:pPr>
      <w:r>
        <w:rPr>
          <w:rFonts w:hint="eastAsia" w:ascii="宋体" w:hAnsi="宋体" w:cs="宋体"/>
          <w:kern w:val="0"/>
          <w:sz w:val="24"/>
        </w:rPr>
        <w:t>2.评标办法。本项目评标办法是</w:t>
      </w:r>
      <w:r>
        <w:rPr>
          <w:rFonts w:hint="eastAsia" w:ascii="宋体" w:hAnsi="宋体" w:cs="宋体"/>
          <w:b/>
          <w:kern w:val="0"/>
          <w:sz w:val="24"/>
          <w:u w:val="single"/>
        </w:rPr>
        <w:t>综合评分法</w:t>
      </w:r>
      <w:r>
        <w:rPr>
          <w:rFonts w:hint="eastAsia" w:ascii="宋体" w:hAnsi="宋体" w:cs="宋体"/>
          <w:kern w:val="0"/>
          <w:sz w:val="24"/>
        </w:rPr>
        <w:t>，具体评标内容及评分标准等详见《第四章：评标办法及评分标准》。</w:t>
      </w:r>
    </w:p>
    <w:p>
      <w:pPr>
        <w:spacing w:line="460" w:lineRule="exact"/>
        <w:ind w:firstLine="480" w:firstLineChars="200"/>
        <w:rPr>
          <w:rFonts w:ascii="宋体" w:hAnsi="宋体" w:cs="宋体"/>
          <w:kern w:val="0"/>
          <w:sz w:val="24"/>
        </w:rPr>
      </w:pPr>
      <w:r>
        <w:rPr>
          <w:rFonts w:hint="eastAsia" w:ascii="宋体" w:hAnsi="宋体" w:cs="宋体"/>
          <w:kern w:val="0"/>
          <w:sz w:val="24"/>
        </w:rPr>
        <w:t>3.评标过程中凡是属于审查、澄清、评审和比较的有关资料以及授标建议，任何人均不得向供应商或其他无关人员透露。</w:t>
      </w:r>
    </w:p>
    <w:p>
      <w:pPr>
        <w:spacing w:line="460" w:lineRule="exact"/>
        <w:ind w:firstLine="562" w:firstLineChars="200"/>
        <w:rPr>
          <w:rFonts w:ascii="宋体" w:hAnsi="宋体" w:cs="宋体"/>
          <w:b/>
          <w:kern w:val="0"/>
          <w:szCs w:val="28"/>
        </w:rPr>
      </w:pPr>
      <w:r>
        <w:rPr>
          <w:rFonts w:hint="eastAsia" w:ascii="宋体" w:hAnsi="宋体" w:cs="宋体"/>
          <w:b/>
          <w:kern w:val="0"/>
          <w:szCs w:val="28"/>
        </w:rPr>
        <w:t>六、定标</w:t>
      </w:r>
    </w:p>
    <w:p>
      <w:pPr>
        <w:spacing w:line="460" w:lineRule="exact"/>
        <w:ind w:firstLine="482" w:firstLineChars="200"/>
        <w:rPr>
          <w:rFonts w:ascii="宋体" w:hAnsi="宋体" w:cs="宋体"/>
          <w:b/>
          <w:kern w:val="0"/>
          <w:sz w:val="24"/>
        </w:rPr>
      </w:pPr>
      <w:r>
        <w:rPr>
          <w:rFonts w:hint="eastAsia" w:ascii="宋体" w:hAnsi="宋体" w:cs="宋体"/>
          <w:b/>
          <w:kern w:val="0"/>
          <w:sz w:val="24"/>
        </w:rPr>
        <w:t>（一）确定中标供应商。本项目由采购人确定中标供应商。</w:t>
      </w:r>
    </w:p>
    <w:p>
      <w:pPr>
        <w:spacing w:line="460" w:lineRule="exact"/>
        <w:ind w:firstLine="480" w:firstLineChars="200"/>
        <w:rPr>
          <w:rFonts w:ascii="宋体" w:hAnsi="宋体" w:cs="宋体"/>
          <w:sz w:val="24"/>
        </w:rPr>
      </w:pPr>
      <w:r>
        <w:rPr>
          <w:rFonts w:hint="eastAsia" w:ascii="宋体" w:hAnsi="宋体" w:cs="宋体"/>
          <w:kern w:val="0"/>
          <w:sz w:val="24"/>
        </w:rPr>
        <w:t>1.</w:t>
      </w:r>
      <w:r>
        <w:rPr>
          <w:rFonts w:hint="eastAsia" w:ascii="宋体" w:hAnsi="宋体" w:cs="宋体"/>
          <w:sz w:val="24"/>
        </w:rPr>
        <w:t>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pPr>
        <w:spacing w:line="460" w:lineRule="exact"/>
        <w:ind w:firstLine="480" w:firstLineChars="200"/>
        <w:rPr>
          <w:rFonts w:ascii="宋体" w:hAnsi="宋体" w:cs="宋体"/>
          <w:sz w:val="24"/>
        </w:rPr>
      </w:pPr>
      <w:r>
        <w:rPr>
          <w:rFonts w:hint="eastAsia" w:ascii="宋体" w:hAnsi="宋体" w:cs="宋体"/>
          <w:kern w:val="0"/>
          <w:sz w:val="24"/>
        </w:rPr>
        <w:t>2.采购人依法确定中标供应商后2个工作日内，</w:t>
      </w:r>
      <w:r>
        <w:rPr>
          <w:rFonts w:hint="eastAsia" w:ascii="宋体" w:hAnsi="宋体" w:cs="宋体"/>
          <w:sz w:val="24"/>
        </w:rPr>
        <w:t>采购代理机构以书面形式发出《中标通知书》，并同时在相关网站上发布中标结果公告。</w:t>
      </w:r>
    </w:p>
    <w:p>
      <w:pPr>
        <w:spacing w:line="460" w:lineRule="exact"/>
        <w:ind w:firstLine="482" w:firstLineChars="200"/>
        <w:rPr>
          <w:rFonts w:ascii="宋体" w:hAnsi="宋体" w:cs="宋体"/>
          <w:b/>
          <w:kern w:val="0"/>
          <w:sz w:val="24"/>
        </w:rPr>
      </w:pPr>
      <w:r>
        <w:rPr>
          <w:rFonts w:hint="eastAsia" w:ascii="宋体" w:hAnsi="宋体" w:cs="宋体"/>
          <w:b/>
          <w:kern w:val="0"/>
          <w:sz w:val="24"/>
        </w:rPr>
        <w:t>七、合同授予</w:t>
      </w:r>
    </w:p>
    <w:p>
      <w:pPr>
        <w:spacing w:line="460" w:lineRule="exact"/>
        <w:ind w:firstLine="482" w:firstLineChars="200"/>
        <w:rPr>
          <w:rFonts w:ascii="宋体" w:hAnsi="宋体" w:cs="宋体"/>
          <w:b/>
          <w:kern w:val="0"/>
          <w:sz w:val="24"/>
        </w:rPr>
      </w:pPr>
      <w:r>
        <w:rPr>
          <w:rFonts w:hint="eastAsia" w:ascii="宋体" w:hAnsi="宋体" w:cs="宋体"/>
          <w:b/>
          <w:kern w:val="0"/>
          <w:sz w:val="24"/>
        </w:rPr>
        <w:t>（一）签订合同</w:t>
      </w:r>
    </w:p>
    <w:p>
      <w:pPr>
        <w:spacing w:line="460" w:lineRule="exact"/>
        <w:ind w:firstLine="480" w:firstLineChars="200"/>
        <w:rPr>
          <w:rFonts w:ascii="宋体" w:hAnsi="宋体" w:cs="宋体"/>
          <w:kern w:val="0"/>
          <w:sz w:val="24"/>
        </w:rPr>
      </w:pPr>
      <w:r>
        <w:rPr>
          <w:rFonts w:hint="eastAsia" w:ascii="宋体" w:hAnsi="宋体" w:cs="宋体"/>
          <w:kern w:val="0"/>
          <w:sz w:val="24"/>
        </w:rPr>
        <w:t>1.采购人与中标供应商应当在《中标通知书》发出之日起30日内签订政府采购合同。采购人与中标供应商签订合同，并在规定时间内依法发布合同公告。同时，采购代理机构对合同内容进行审查，如发现与采购结果和投标承诺内容不一致的，应予以纠正。</w:t>
      </w:r>
    </w:p>
    <w:p>
      <w:pPr>
        <w:spacing w:line="460" w:lineRule="exact"/>
        <w:ind w:firstLine="480" w:firstLineChars="200"/>
        <w:rPr>
          <w:rFonts w:ascii="宋体" w:hAnsi="宋体" w:cs="宋体"/>
          <w:kern w:val="0"/>
          <w:sz w:val="24"/>
        </w:rPr>
      </w:pPr>
      <w:r>
        <w:rPr>
          <w:rFonts w:hint="eastAsia" w:ascii="宋体" w:hAnsi="宋体" w:cs="宋体"/>
          <w:kern w:val="0"/>
          <w:sz w:val="24"/>
        </w:rPr>
        <w:t>2.中标供应商拖延、拒签合同的,将被取消中标资格。</w:t>
      </w:r>
    </w:p>
    <w:p>
      <w:pPr>
        <w:spacing w:line="460" w:lineRule="exact"/>
        <w:ind w:firstLine="482" w:firstLineChars="200"/>
        <w:rPr>
          <w:rFonts w:ascii="宋体" w:hAnsi="宋体" w:cs="宋体"/>
          <w:b/>
          <w:kern w:val="0"/>
          <w:sz w:val="24"/>
        </w:rPr>
      </w:pPr>
      <w:r>
        <w:rPr>
          <w:rFonts w:hint="eastAsia" w:ascii="宋体" w:hAnsi="宋体" w:cs="宋体"/>
          <w:b/>
          <w:kern w:val="0"/>
          <w:sz w:val="24"/>
        </w:rPr>
        <w:t>（二）中标通知书</w:t>
      </w:r>
    </w:p>
    <w:p>
      <w:pPr>
        <w:spacing w:line="460" w:lineRule="exact"/>
        <w:ind w:firstLine="480" w:firstLineChars="200"/>
        <w:rPr>
          <w:rFonts w:ascii="宋体" w:hAnsi="宋体" w:cs="宋体"/>
          <w:snapToGrid w:val="0"/>
          <w:sz w:val="24"/>
        </w:rPr>
      </w:pPr>
      <w:r>
        <w:rPr>
          <w:rFonts w:hint="eastAsia" w:ascii="宋体" w:hAnsi="宋体" w:cs="宋体"/>
          <w:sz w:val="24"/>
        </w:rPr>
        <w:t>1.确定中标供应商后，采购单位将以书面形式发出中标通知书，通知中标的投标供应商其投标被接受；</w:t>
      </w:r>
      <w:r>
        <w:rPr>
          <w:rFonts w:hint="eastAsia" w:ascii="宋体" w:hAnsi="宋体" w:cs="宋体"/>
          <w:snapToGrid w:val="0"/>
          <w:sz w:val="24"/>
        </w:rPr>
        <w:t>并同时将中标结果通知所有未中标的投标供应商。</w:t>
      </w:r>
    </w:p>
    <w:p>
      <w:pPr>
        <w:spacing w:line="460" w:lineRule="exact"/>
        <w:ind w:firstLine="480" w:firstLineChars="200"/>
        <w:rPr>
          <w:rFonts w:ascii="宋体" w:hAnsi="宋体" w:cs="宋体"/>
          <w:kern w:val="0"/>
          <w:sz w:val="24"/>
        </w:rPr>
      </w:pPr>
      <w:r>
        <w:rPr>
          <w:rFonts w:hint="eastAsia" w:ascii="宋体" w:hAnsi="宋体" w:cs="宋体"/>
          <w:kern w:val="0"/>
          <w:sz w:val="24"/>
        </w:rPr>
        <w:t>2.中标通知书为双方签订合同的依据。</w:t>
      </w:r>
    </w:p>
    <w:p>
      <w:pPr>
        <w:spacing w:line="460" w:lineRule="exact"/>
        <w:ind w:firstLine="482" w:firstLineChars="200"/>
        <w:rPr>
          <w:rFonts w:ascii="宋体" w:hAnsi="宋体" w:cs="宋体"/>
          <w:b/>
          <w:kern w:val="0"/>
          <w:sz w:val="24"/>
        </w:rPr>
      </w:pPr>
      <w:r>
        <w:rPr>
          <w:rFonts w:hint="eastAsia" w:ascii="宋体" w:hAnsi="宋体" w:cs="宋体"/>
          <w:b/>
          <w:kern w:val="0"/>
          <w:sz w:val="24"/>
        </w:rPr>
        <w:t>（三）出现下述情况之一的，采购人将重新组织招标。</w:t>
      </w:r>
    </w:p>
    <w:p>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1.在采购中，出现下列情形之一的，将重新采购：</w:t>
      </w:r>
    </w:p>
    <w:p>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（1）投标截止时，</w:t>
      </w:r>
      <w:r>
        <w:rPr>
          <w:rFonts w:hint="eastAsia" w:ascii="宋体" w:hAnsi="宋体" w:cs="宋体"/>
          <w:color w:val="FF0000"/>
          <w:kern w:val="0"/>
          <w:sz w:val="24"/>
        </w:rPr>
        <w:t>每个标段</w:t>
      </w:r>
      <w:r>
        <w:rPr>
          <w:rFonts w:hint="eastAsia" w:ascii="宋体" w:hAnsi="宋体" w:cs="宋体"/>
          <w:kern w:val="0"/>
          <w:sz w:val="24"/>
        </w:rPr>
        <w:t>投标供应商少于3家或经评审认为所有投标供应商的投标文件存在报价明显不合理或均不满足符合性要求时；经评审，当</w:t>
      </w:r>
      <w:r>
        <w:rPr>
          <w:rFonts w:hint="eastAsia" w:ascii="宋体" w:hAnsi="宋体" w:cs="宋体"/>
          <w:color w:val="FF0000"/>
          <w:kern w:val="0"/>
          <w:sz w:val="24"/>
        </w:rPr>
        <w:t>每个标段</w:t>
      </w:r>
      <w:r>
        <w:rPr>
          <w:rFonts w:hint="eastAsia" w:ascii="宋体" w:hAnsi="宋体" w:cs="宋体"/>
          <w:kern w:val="0"/>
          <w:sz w:val="24"/>
        </w:rPr>
        <w:t>有效标不足3家，缺乏竞争时；</w:t>
      </w:r>
    </w:p>
    <w:p>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（2）出现影响采购公正的违法、违规行为的；</w:t>
      </w:r>
    </w:p>
    <w:p>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（3）投标供应商的报价均超过了采购预算控制价，采购人不能支付的；</w:t>
      </w:r>
    </w:p>
    <w:p>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（4）因重大变故，采购任务取消的。</w:t>
      </w:r>
    </w:p>
    <w:p>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 xml:space="preserve">2.由于采购人原因中止采购或未能在规定延长后的投标文件有效期内确定中标供应商和发出中标通知书。 </w:t>
      </w:r>
    </w:p>
    <w:p/>
    <w:p>
      <w:pPr>
        <w:pageBreakBefore/>
        <w:spacing w:line="360" w:lineRule="auto"/>
        <w:jc w:val="center"/>
        <w:outlineLvl w:val="0"/>
        <w:rPr>
          <w:rFonts w:ascii="宋体" w:hAnsi="宋体" w:cs="宋体"/>
          <w:b/>
          <w:sz w:val="44"/>
          <w:szCs w:val="44"/>
        </w:rPr>
      </w:pPr>
      <w:bookmarkStart w:id="20" w:name="_Toc31705"/>
      <w:r>
        <w:rPr>
          <w:rFonts w:hint="eastAsia" w:ascii="宋体" w:hAnsi="宋体" w:cs="宋体"/>
          <w:b/>
          <w:sz w:val="44"/>
          <w:szCs w:val="44"/>
        </w:rPr>
        <w:t>第四章  评标办法及评分标准</w:t>
      </w:r>
      <w:bookmarkEnd w:id="20"/>
    </w:p>
    <w:p>
      <w:pPr>
        <w:tabs>
          <w:tab w:val="left" w:pos="5040"/>
        </w:tabs>
        <w:spacing w:line="360" w:lineRule="auto"/>
        <w:ind w:firstLine="480" w:firstLineChars="200"/>
        <w:rPr>
          <w:rFonts w:ascii="宋体" w:hAnsi="宋体" w:cs="宋体"/>
          <w:sz w:val="24"/>
        </w:rPr>
      </w:pPr>
      <w:r>
        <w:rPr>
          <w:rFonts w:hint="eastAsia" w:ascii="宋体" w:hAnsi="宋体" w:cs="宋体"/>
          <w:sz w:val="24"/>
        </w:rPr>
        <w:t>为公正、公平、科学地选择中标人，并结合本项目的实际，制定本办法。</w:t>
      </w:r>
    </w:p>
    <w:p>
      <w:pPr>
        <w:spacing w:line="360" w:lineRule="auto"/>
        <w:ind w:firstLine="480" w:firstLineChars="200"/>
        <w:rPr>
          <w:rFonts w:ascii="宋体" w:hAnsi="宋体" w:cs="宋体"/>
          <w:bCs/>
          <w:sz w:val="24"/>
          <w:szCs w:val="48"/>
        </w:rPr>
      </w:pPr>
      <w:r>
        <w:rPr>
          <w:rFonts w:hint="eastAsia" w:ascii="宋体" w:hAnsi="宋体" w:cs="宋体"/>
          <w:sz w:val="24"/>
        </w:rPr>
        <w:t>本办法适用于湖州南浔城投城市建设集团有限公司的</w:t>
      </w:r>
      <w:r>
        <w:rPr>
          <w:rFonts w:hint="eastAsia" w:ascii="宋体" w:hAnsi="宋体" w:cs="宋体"/>
          <w:sz w:val="24"/>
          <w:u w:val="single"/>
        </w:rPr>
        <w:t>湖州南浔城投城市建设集团有限公司年度（2021-2022）乡镇道路绿化养护工程</w:t>
      </w:r>
      <w:r>
        <w:rPr>
          <w:rFonts w:hint="eastAsia" w:ascii="宋体" w:hAnsi="宋体" w:cs="宋体"/>
          <w:bCs/>
          <w:sz w:val="24"/>
          <w:szCs w:val="48"/>
        </w:rPr>
        <w:t>的评标。</w:t>
      </w:r>
    </w:p>
    <w:p>
      <w:pPr>
        <w:spacing w:line="360" w:lineRule="auto"/>
        <w:ind w:firstLine="562" w:firstLineChars="200"/>
        <w:outlineLvl w:val="1"/>
        <w:rPr>
          <w:rFonts w:ascii="宋体" w:hAnsi="宋体" w:cs="宋体"/>
          <w:b/>
          <w:szCs w:val="28"/>
        </w:rPr>
      </w:pPr>
      <w:bookmarkStart w:id="21" w:name="_Toc23132"/>
      <w:r>
        <w:rPr>
          <w:rFonts w:hint="eastAsia" w:ascii="宋体" w:hAnsi="宋体" w:cs="宋体"/>
          <w:b/>
          <w:szCs w:val="28"/>
        </w:rPr>
        <w:t>一、总则</w:t>
      </w:r>
      <w:bookmarkEnd w:id="21"/>
    </w:p>
    <w:p>
      <w:pPr>
        <w:spacing w:line="360" w:lineRule="auto"/>
        <w:ind w:firstLine="480" w:firstLineChars="200"/>
        <w:rPr>
          <w:rFonts w:ascii="宋体" w:hAnsi="宋体" w:cs="宋体"/>
          <w:kern w:val="0"/>
          <w:sz w:val="24"/>
        </w:rPr>
      </w:pPr>
      <w:r>
        <w:rPr>
          <w:rFonts w:hint="eastAsia" w:ascii="宋体" w:hAnsi="宋体" w:cs="宋体"/>
          <w:sz w:val="24"/>
        </w:rPr>
        <w:t>本次评标采用综合评分法，总分为100分，其中价格分20分；技术、商务、资信及其他80分。合格投标人的评标得分为各项目汇总得分。</w:t>
      </w:r>
      <w:r>
        <w:rPr>
          <w:rFonts w:hint="eastAsia" w:ascii="宋体" w:hAnsi="宋体" w:cs="宋体"/>
          <w:kern w:val="0"/>
          <w:sz w:val="24"/>
        </w:rPr>
        <w:t>合格供应商的评标得分为各项目汇总得分。本项目由采购人确定中标供应商, 中标候选资格按评标得分由高到低顺序排列，得分相同的，按投标报价由低到高顺序排列；得分且投标报价相同的，按技术得分由高到低顺序排列。排名第一的供应商为第一中标候选供应商,其他供应商中标候选资格依此类推。中标供应商放弃中标或者拒绝与采购人签订合同的，采购人可以按照评审报告推荐的中标候选人名单排序，确定下一候选人为中标供应商，也可以重新开展政府采购活动。评分过程中采用四舍五入法，并保留小数2位。</w:t>
      </w:r>
    </w:p>
    <w:p>
      <w:pPr>
        <w:spacing w:line="360" w:lineRule="auto"/>
        <w:ind w:firstLine="480" w:firstLineChars="200"/>
        <w:rPr>
          <w:rFonts w:ascii="宋体" w:hAnsi="宋体" w:cs="宋体"/>
          <w:sz w:val="24"/>
        </w:rPr>
      </w:pPr>
      <w:r>
        <w:rPr>
          <w:rFonts w:hint="eastAsia" w:ascii="宋体" w:hAnsi="宋体" w:cs="宋体"/>
          <w:kern w:val="0"/>
          <w:sz w:val="24"/>
        </w:rPr>
        <w:t>各供应商最终得分=技术分、商务分和资信及其他分得分+价格分得分</w:t>
      </w:r>
    </w:p>
    <w:p>
      <w:pPr>
        <w:spacing w:line="360" w:lineRule="auto"/>
        <w:ind w:firstLine="562" w:firstLineChars="200"/>
        <w:outlineLvl w:val="1"/>
        <w:rPr>
          <w:rFonts w:ascii="宋体" w:hAnsi="宋体" w:cs="宋体"/>
          <w:b/>
          <w:szCs w:val="28"/>
        </w:rPr>
      </w:pPr>
      <w:bookmarkStart w:id="22" w:name="_Toc25886"/>
      <w:r>
        <w:rPr>
          <w:rFonts w:hint="eastAsia" w:ascii="宋体" w:hAnsi="宋体" w:cs="宋体"/>
          <w:b/>
          <w:szCs w:val="28"/>
        </w:rPr>
        <w:t>二、评标内容及标准</w:t>
      </w:r>
      <w:bookmarkEnd w:id="22"/>
    </w:p>
    <w:p>
      <w:pPr>
        <w:pStyle w:val="3"/>
        <w:spacing w:line="360" w:lineRule="auto"/>
        <w:ind w:firstLine="482" w:firstLineChars="200"/>
        <w:outlineLvl w:val="2"/>
        <w:rPr>
          <w:rFonts w:hAnsi="宋体" w:cs="宋体"/>
          <w:b/>
          <w:bCs/>
          <w:sz w:val="24"/>
          <w:szCs w:val="24"/>
        </w:rPr>
      </w:pPr>
      <w:r>
        <w:rPr>
          <w:rFonts w:hint="eastAsia" w:hAnsi="宋体" w:cs="宋体"/>
          <w:b/>
          <w:sz w:val="24"/>
          <w:szCs w:val="24"/>
        </w:rPr>
        <w:t>（一）</w:t>
      </w:r>
      <w:r>
        <w:rPr>
          <w:rFonts w:hint="eastAsia" w:hAnsi="宋体" w:cs="宋体"/>
          <w:b/>
          <w:bCs/>
          <w:sz w:val="24"/>
          <w:szCs w:val="24"/>
        </w:rPr>
        <w:t>价格分：20分</w:t>
      </w:r>
    </w:p>
    <w:p>
      <w:pPr>
        <w:spacing w:line="400" w:lineRule="exact"/>
        <w:ind w:firstLine="538" w:firstLineChars="200"/>
        <w:jc w:val="left"/>
        <w:rPr>
          <w:rFonts w:ascii="宋体" w:hAnsi="宋体" w:cs="宋体"/>
          <w:spacing w:val="14"/>
          <w:sz w:val="24"/>
        </w:rPr>
      </w:pPr>
      <w:r>
        <w:rPr>
          <w:rFonts w:hint="eastAsia" w:ascii="宋体" w:hAnsi="宋体" w:cs="宋体"/>
          <w:b/>
          <w:spacing w:val="14"/>
          <w:sz w:val="24"/>
        </w:rPr>
        <w:t>1.1</w:t>
      </w:r>
      <w:r>
        <w:rPr>
          <w:rFonts w:hint="eastAsia" w:ascii="宋体" w:hAnsi="宋体" w:cs="宋体"/>
          <w:spacing w:val="14"/>
          <w:sz w:val="24"/>
        </w:rPr>
        <w:t xml:space="preserve"> 以有效投标价格最低的投标报价为评标基准价，其价格分为20分。其他投标人的报价分按照下列公式计算：</w:t>
      </w:r>
    </w:p>
    <w:p>
      <w:pPr>
        <w:spacing w:line="400" w:lineRule="exact"/>
        <w:ind w:firstLine="538" w:firstLineChars="200"/>
        <w:jc w:val="left"/>
        <w:rPr>
          <w:rFonts w:ascii="宋体" w:hAnsi="宋体" w:cs="宋体"/>
          <w:b/>
          <w:bCs/>
          <w:spacing w:val="14"/>
          <w:sz w:val="24"/>
        </w:rPr>
      </w:pPr>
      <w:r>
        <w:rPr>
          <w:rFonts w:hint="eastAsia" w:ascii="宋体" w:hAnsi="宋体" w:cs="宋体"/>
          <w:b/>
          <w:bCs/>
          <w:spacing w:val="14"/>
          <w:sz w:val="24"/>
        </w:rPr>
        <w:t>投标报价得分=（评标基准价/投标报价）×20</w:t>
      </w:r>
    </w:p>
    <w:p>
      <w:pPr>
        <w:spacing w:line="400" w:lineRule="exact"/>
        <w:ind w:firstLine="480" w:firstLineChars="200"/>
        <w:rPr>
          <w:rFonts w:ascii="宋体" w:hAnsi="宋体" w:cs="宋体"/>
          <w:sz w:val="24"/>
        </w:rPr>
      </w:pPr>
      <w:r>
        <w:rPr>
          <w:rFonts w:hint="eastAsia" w:ascii="宋体" w:hAnsi="宋体" w:cs="宋体"/>
          <w:sz w:val="24"/>
        </w:rPr>
        <w:t>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00" w:lineRule="exact"/>
        <w:ind w:firstLine="480" w:firstLineChars="200"/>
        <w:rPr>
          <w:rFonts w:ascii="宋体" w:hAnsi="宋体" w:cs="宋体"/>
          <w:snapToGrid w:val="0"/>
          <w:sz w:val="24"/>
        </w:rPr>
      </w:pPr>
      <w:r>
        <w:rPr>
          <w:rFonts w:hint="eastAsia" w:ascii="宋体" w:hAnsi="宋体" w:cs="宋体"/>
          <w:snapToGrid w:val="0"/>
          <w:sz w:val="24"/>
        </w:rPr>
        <w:t>二分之一以上的评委认为供应商报价明显高于市场平均价的将作为无效投标处理；</w:t>
      </w:r>
    </w:p>
    <w:p>
      <w:pPr>
        <w:spacing w:line="400" w:lineRule="exact"/>
        <w:ind w:firstLine="480" w:firstLineChars="200"/>
        <w:rPr>
          <w:rFonts w:ascii="宋体" w:hAnsi="宋体" w:cs="宋体"/>
          <w:b/>
          <w:bCs/>
          <w:sz w:val="24"/>
        </w:rPr>
      </w:pPr>
      <w:r>
        <w:rPr>
          <w:rFonts w:hint="eastAsia" w:ascii="宋体" w:hAnsi="宋体" w:cs="宋体"/>
          <w:sz w:val="24"/>
        </w:rPr>
        <w:t>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numPr>
          <w:ilvl w:val="0"/>
          <w:numId w:val="13"/>
        </w:numPr>
        <w:spacing w:line="360" w:lineRule="auto"/>
        <w:ind w:firstLine="482" w:firstLineChars="200"/>
        <w:outlineLvl w:val="2"/>
        <w:rPr>
          <w:rFonts w:hAnsi="宋体" w:cs="宋体"/>
          <w:b/>
          <w:bCs/>
          <w:sz w:val="24"/>
        </w:rPr>
      </w:pPr>
      <w:r>
        <w:rPr>
          <w:rFonts w:hint="eastAsia" w:hAnsi="宋体" w:cs="宋体"/>
          <w:b/>
          <w:bCs/>
          <w:sz w:val="24"/>
        </w:rPr>
        <w:t>技术、商务、资信及其</w:t>
      </w:r>
      <w:r>
        <w:rPr>
          <w:rFonts w:hint="eastAsia" w:hAnsi="宋体" w:cs="宋体"/>
          <w:b/>
          <w:bCs/>
          <w:color w:val="000000" w:themeColor="text1"/>
          <w:sz w:val="24"/>
        </w:rPr>
        <w:t>他分（80分）</w:t>
      </w:r>
    </w:p>
    <w:p>
      <w:pPr>
        <w:spacing w:line="460" w:lineRule="exact"/>
        <w:ind w:firstLine="480" w:firstLineChars="200"/>
        <w:rPr>
          <w:rFonts w:ascii="宋体" w:hAnsi="宋体" w:cs="宋体"/>
          <w:kern w:val="0"/>
          <w:sz w:val="24"/>
        </w:rPr>
      </w:pPr>
      <w:r>
        <w:rPr>
          <w:rFonts w:hint="eastAsia" w:ascii="宋体" w:hAnsi="宋体" w:cs="宋体"/>
          <w:kern w:val="0"/>
          <w:sz w:val="24"/>
        </w:rPr>
        <w:t>技术、商务、资信及其他分按照评标委员会成员的独立评分结果汇总数的算术平均分计算，计算公式为：</w:t>
      </w:r>
    </w:p>
    <w:p>
      <w:pPr>
        <w:spacing w:line="460" w:lineRule="exact"/>
        <w:ind w:firstLine="480" w:firstLineChars="200"/>
        <w:rPr>
          <w:rFonts w:ascii="宋体" w:hAnsi="宋体" w:cs="宋体"/>
          <w:kern w:val="0"/>
          <w:sz w:val="24"/>
        </w:rPr>
      </w:pPr>
      <w:r>
        <w:rPr>
          <w:rFonts w:hint="eastAsia" w:ascii="宋体" w:hAnsi="宋体" w:cs="宋体"/>
          <w:kern w:val="0"/>
          <w:sz w:val="24"/>
        </w:rPr>
        <w:t>技术分、商务分、资信及其他分=（评标委员会所有成员评分合计数）/（评标委员会组成人员数）（得分保留小数点后两位）</w:t>
      </w:r>
    </w:p>
    <w:p>
      <w:pPr>
        <w:ind w:firstLine="482" w:firstLineChars="200"/>
        <w:rPr>
          <w:rFonts w:ascii="仿宋" w:hAnsi="仿宋" w:eastAsia="仿宋"/>
          <w:b/>
          <w:kern w:val="0"/>
          <w:sz w:val="24"/>
        </w:rPr>
      </w:pPr>
    </w:p>
    <w:tbl>
      <w:tblPr>
        <w:tblStyle w:val="41"/>
        <w:tblW w:w="97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
        <w:gridCol w:w="1200"/>
        <w:gridCol w:w="7068"/>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bCs/>
                <w:sz w:val="24"/>
              </w:rPr>
            </w:pPr>
            <w:r>
              <w:rPr>
                <w:rFonts w:hint="eastAsia" w:ascii="宋体" w:hAnsi="宋体"/>
                <w:b/>
                <w:bCs/>
                <w:sz w:val="24"/>
              </w:rPr>
              <w:t>序号</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bCs/>
                <w:sz w:val="24"/>
              </w:rPr>
            </w:pPr>
            <w:r>
              <w:rPr>
                <w:rFonts w:hint="eastAsia" w:ascii="宋体" w:hAnsi="宋体"/>
                <w:b/>
                <w:bCs/>
                <w:sz w:val="24"/>
              </w:rPr>
              <w:t>评审内容</w:t>
            </w:r>
          </w:p>
        </w:tc>
        <w:tc>
          <w:tcPr>
            <w:tcW w:w="7068"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jc w:val="center"/>
              <w:rPr>
                <w:rFonts w:ascii="宋体" w:hAnsi="宋体"/>
                <w:b/>
                <w:bCs/>
                <w:sz w:val="24"/>
              </w:rPr>
            </w:pPr>
            <w:r>
              <w:rPr>
                <w:rFonts w:hint="eastAsia" w:ascii="宋体" w:hAnsi="宋体"/>
                <w:b/>
                <w:bCs/>
                <w:sz w:val="24"/>
              </w:rPr>
              <w:t>评分标准</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bCs/>
                <w:sz w:val="24"/>
              </w:rPr>
            </w:pPr>
            <w:r>
              <w:rPr>
                <w:rFonts w:hint="eastAsia" w:ascii="宋体" w:hAnsi="宋体"/>
                <w:b/>
                <w:bCs/>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jc w:val="center"/>
              <w:outlineLvl w:val="2"/>
              <w:rPr>
                <w:rFonts w:hAnsi="宋体"/>
                <w:kern w:val="2"/>
                <w:sz w:val="24"/>
                <w:szCs w:val="24"/>
              </w:rPr>
            </w:pPr>
            <w:r>
              <w:rPr>
                <w:rFonts w:hint="eastAsia" w:hAnsi="宋体"/>
                <w:kern w:val="2"/>
                <w:sz w:val="24"/>
                <w:szCs w:val="24"/>
              </w:rPr>
              <w:t>一</w:t>
            </w:r>
          </w:p>
        </w:tc>
        <w:tc>
          <w:tcPr>
            <w:tcW w:w="8268" w:type="dxa"/>
            <w:gridSpan w:val="2"/>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480" w:firstLineChars="200"/>
              <w:jc w:val="center"/>
              <w:outlineLvl w:val="2"/>
              <w:rPr>
                <w:rFonts w:hAnsi="宋体"/>
                <w:kern w:val="2"/>
                <w:sz w:val="24"/>
                <w:szCs w:val="24"/>
              </w:rPr>
            </w:pPr>
            <w:r>
              <w:rPr>
                <w:rFonts w:hint="eastAsia" w:hAnsi="宋体"/>
                <w:kern w:val="2"/>
                <w:sz w:val="24"/>
                <w:szCs w:val="24"/>
              </w:rPr>
              <w:t>技术分</w:t>
            </w:r>
          </w:p>
        </w:tc>
        <w:tc>
          <w:tcPr>
            <w:tcW w:w="906"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jc w:val="center"/>
              <w:outlineLvl w:val="2"/>
              <w:rPr>
                <w:rFonts w:hAnsi="宋体"/>
                <w:kern w:val="2"/>
                <w:sz w:val="24"/>
                <w:szCs w:val="24"/>
              </w:rPr>
            </w:pPr>
            <w:r>
              <w:rPr>
                <w:rFonts w:hint="eastAsia" w:hAnsi="宋体"/>
                <w:kern w:val="2"/>
                <w:sz w:val="24"/>
                <w:szCs w:val="24"/>
              </w:rPr>
              <w:t>58分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b/>
                <w:bCs/>
                <w:sz w:val="24"/>
              </w:rPr>
              <w:t>管理作业方案</w:t>
            </w:r>
          </w:p>
        </w:tc>
        <w:tc>
          <w:tcPr>
            <w:tcW w:w="70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①绿化养护技术方案（共</w:t>
            </w:r>
            <w:r>
              <w:rPr>
                <w:rFonts w:hint="eastAsia" w:ascii="宋体" w:hAnsi="宋体"/>
                <w:sz w:val="24"/>
                <w:lang w:val="en-US" w:eastAsia="zh-CN"/>
              </w:rPr>
              <w:t>6</w:t>
            </w:r>
            <w:r>
              <w:rPr>
                <w:rFonts w:hint="eastAsia" w:ascii="宋体" w:hAnsi="宋体"/>
                <w:sz w:val="24"/>
              </w:rPr>
              <w:t xml:space="preserve">分）：充分结合本项目长效养护绿地特性，市政设施特点，因地制宜，提出针对性、合理性的绿化及市政养护技术方案； </w:t>
            </w:r>
          </w:p>
          <w:p>
            <w:pPr>
              <w:spacing w:line="360" w:lineRule="auto"/>
              <w:ind w:firstLine="480" w:firstLineChars="200"/>
              <w:rPr>
                <w:rFonts w:ascii="宋体" w:hAnsi="宋体"/>
                <w:sz w:val="24"/>
              </w:rPr>
            </w:pPr>
            <w:r>
              <w:rPr>
                <w:rFonts w:hint="eastAsia" w:ascii="宋体" w:hAnsi="宋体"/>
                <w:sz w:val="24"/>
              </w:rPr>
              <w:t>②绿化养护计划安排（共</w:t>
            </w:r>
            <w:r>
              <w:rPr>
                <w:rFonts w:hint="eastAsia" w:ascii="宋体" w:hAnsi="宋体"/>
                <w:sz w:val="24"/>
                <w:lang w:val="en-US" w:eastAsia="zh-CN"/>
              </w:rPr>
              <w:t>5</w:t>
            </w:r>
            <w:r>
              <w:rPr>
                <w:rFonts w:hint="eastAsia" w:ascii="宋体" w:hAnsi="宋体"/>
                <w:sz w:val="24"/>
              </w:rPr>
              <w:t xml:space="preserve">分）：充分研究各标段绿地植物品种及群落形式养护需要，制定全年合理的养护计划安排，包括合理详细的病虫害防治、施肥、修剪、除草、设施维护等工作安排及时间节点控制，并结合各标段特点突出重点养护工作； </w:t>
            </w:r>
          </w:p>
          <w:p>
            <w:pPr>
              <w:spacing w:line="360" w:lineRule="auto"/>
              <w:ind w:firstLine="480" w:firstLineChars="200"/>
              <w:rPr>
                <w:rFonts w:ascii="宋体" w:hAnsi="宋体"/>
                <w:sz w:val="24"/>
              </w:rPr>
            </w:pPr>
            <w:r>
              <w:rPr>
                <w:rFonts w:hint="eastAsia" w:ascii="宋体" w:hAnsi="宋体"/>
                <w:sz w:val="24"/>
              </w:rPr>
              <w:t>③绿化养护质量保证措施及体系（共</w:t>
            </w:r>
            <w:r>
              <w:rPr>
                <w:rFonts w:hint="eastAsia" w:ascii="宋体" w:hAnsi="宋体"/>
                <w:sz w:val="24"/>
                <w:lang w:val="en-US" w:eastAsia="zh-CN"/>
              </w:rPr>
              <w:t>5</w:t>
            </w:r>
            <w:r>
              <w:rPr>
                <w:rFonts w:hint="eastAsia" w:ascii="宋体" w:hAnsi="宋体"/>
                <w:sz w:val="24"/>
              </w:rPr>
              <w:t>分）：制定合理完善、切实有效的质量保证措施及体系，切实保证本项目养护质量）。</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0-1</w:t>
            </w:r>
            <w:r>
              <w:rPr>
                <w:rFonts w:hint="eastAsia" w:ascii="宋体" w:hAnsi="宋体"/>
                <w:sz w:val="24"/>
                <w:lang w:val="en-US" w:eastAsia="zh-CN"/>
              </w:rPr>
              <w:t>6</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40" w:leftChars="50"/>
              <w:rPr>
                <w:rFonts w:ascii="宋体" w:hAnsi="宋体"/>
                <w:sz w:val="24"/>
              </w:rPr>
            </w:pPr>
            <w:r>
              <w:rPr>
                <w:rFonts w:hint="eastAsia" w:ascii="宋体" w:hAnsi="宋体"/>
                <w:b/>
                <w:sz w:val="24"/>
              </w:rPr>
              <w:t>施工部署及养护管理机构设置</w:t>
            </w:r>
            <w:r>
              <w:rPr>
                <w:rFonts w:hint="eastAsia" w:ascii="宋体" w:hAnsi="宋体"/>
                <w:sz w:val="24"/>
              </w:rPr>
              <w:t>：</w:t>
            </w:r>
          </w:p>
          <w:p>
            <w:pPr>
              <w:widowControl/>
              <w:jc w:val="center"/>
              <w:rPr>
                <w:rFonts w:ascii="宋体" w:hAnsi="宋体"/>
                <w:sz w:val="24"/>
              </w:rPr>
            </w:pPr>
          </w:p>
        </w:tc>
        <w:tc>
          <w:tcPr>
            <w:tcW w:w="706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b/>
                <w:sz w:val="24"/>
                <w:szCs w:val="21"/>
                <w:lang w:val="zh-CN" w:bidi="zh-CN"/>
              </w:rPr>
            </w:pPr>
            <w:r>
              <w:rPr>
                <w:rFonts w:hint="eastAsia" w:ascii="宋体" w:hAnsi="宋体"/>
                <w:sz w:val="24"/>
              </w:rPr>
              <w:t>有阶段性详细齐全的施工开展程序、施工方案、施工任务划分与组织安排，施工准备工作计划、养护管理机构设置等得8-11分；有施工开展程序、施工方案、施工任务划分与组织安排，施工准备工作计划、养护管理机构设置等得4-7分；有简要的施工部署及养护管理机构设置计划得1-3分；无计划或与本项目无关的计划不得分。</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0-11分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3</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b/>
                <w:bCs/>
                <w:sz w:val="24"/>
              </w:rPr>
            </w:pPr>
            <w:r>
              <w:rPr>
                <w:rFonts w:hint="eastAsia" w:ascii="宋体" w:hAnsi="宋体"/>
                <w:b/>
                <w:bCs/>
                <w:sz w:val="24"/>
              </w:rPr>
              <w:t>安全生产措施方案</w:t>
            </w:r>
          </w:p>
          <w:p>
            <w:pPr>
              <w:widowControl/>
              <w:jc w:val="center"/>
              <w:rPr>
                <w:rFonts w:ascii="宋体" w:hAnsi="宋体"/>
                <w:sz w:val="24"/>
              </w:rPr>
            </w:pPr>
          </w:p>
        </w:tc>
        <w:tc>
          <w:tcPr>
            <w:tcW w:w="7068" w:type="dxa"/>
            <w:tcBorders>
              <w:top w:val="single" w:color="auto" w:sz="4" w:space="0"/>
              <w:left w:val="single" w:color="auto" w:sz="4" w:space="0"/>
              <w:bottom w:val="single" w:color="auto" w:sz="4" w:space="0"/>
              <w:right w:val="single" w:color="auto" w:sz="4" w:space="0"/>
            </w:tcBorders>
            <w:vAlign w:val="center"/>
          </w:tcPr>
          <w:p>
            <w:pPr>
              <w:pStyle w:val="2"/>
              <w:numPr>
                <w:ilvl w:val="0"/>
                <w:numId w:val="14"/>
              </w:numPr>
              <w:ind w:firstLineChars="0"/>
              <w:rPr>
                <w:rFonts w:hAnsi="宋体"/>
                <w:sz w:val="24"/>
                <w:szCs w:val="24"/>
              </w:rPr>
            </w:pPr>
            <w:r>
              <w:rPr>
                <w:rFonts w:hint="eastAsia" w:hAnsi="宋体" w:cs="宋体"/>
                <w:color w:val="000000"/>
                <w:sz w:val="24"/>
                <w:szCs w:val="24"/>
              </w:rPr>
              <w:t>对养护作业人员进行安全教育培训，使其熟知并严格遵守各项安全技术操作规程并执证上岗作业</w:t>
            </w:r>
            <w:r>
              <w:rPr>
                <w:rFonts w:hint="eastAsia" w:hAnsi="宋体"/>
                <w:sz w:val="24"/>
                <w:szCs w:val="24"/>
              </w:rPr>
              <w:t xml:space="preserve"> （0-2分）；</w:t>
            </w:r>
          </w:p>
          <w:p>
            <w:pPr>
              <w:pStyle w:val="2"/>
              <w:numPr>
                <w:ilvl w:val="0"/>
                <w:numId w:val="14"/>
              </w:numPr>
              <w:ind w:firstLineChars="0"/>
              <w:rPr>
                <w:rFonts w:hAnsi="宋体" w:cs="宋体"/>
                <w:color w:val="000000"/>
                <w:sz w:val="24"/>
                <w:szCs w:val="24"/>
              </w:rPr>
            </w:pPr>
            <w:r>
              <w:rPr>
                <w:rFonts w:hint="eastAsia" w:hAnsi="宋体" w:cs="宋体"/>
                <w:color w:val="000000"/>
                <w:sz w:val="24"/>
                <w:szCs w:val="24"/>
              </w:rPr>
              <w:t>养护作业现场作业按照公路养护安全作业规范，养护作业标志齐全</w:t>
            </w:r>
            <w:r>
              <w:rPr>
                <w:rFonts w:hint="eastAsia" w:hAnsi="宋体"/>
                <w:sz w:val="24"/>
                <w:szCs w:val="24"/>
              </w:rPr>
              <w:t>（0-2分）；</w:t>
            </w:r>
          </w:p>
          <w:p>
            <w:pPr>
              <w:pStyle w:val="2"/>
              <w:numPr>
                <w:ilvl w:val="0"/>
                <w:numId w:val="14"/>
              </w:numPr>
              <w:ind w:firstLineChars="0"/>
              <w:rPr>
                <w:rFonts w:hAnsi="宋体" w:cs="宋体"/>
                <w:color w:val="000000"/>
                <w:sz w:val="24"/>
                <w:szCs w:val="24"/>
              </w:rPr>
            </w:pPr>
            <w:r>
              <w:rPr>
                <w:rFonts w:hint="eastAsia" w:hAnsi="宋体" w:cs="宋体"/>
                <w:color w:val="000000"/>
                <w:sz w:val="24"/>
                <w:szCs w:val="24"/>
              </w:rPr>
              <w:t>大面积作业计划作业现场按规定设置安全设施，并向路政报备。（0-2分）</w:t>
            </w:r>
          </w:p>
          <w:p>
            <w:pPr>
              <w:rPr>
                <w:rFonts w:ascii="宋体" w:hAnsi="宋体"/>
                <w:color w:val="333333"/>
                <w:sz w:val="24"/>
              </w:rPr>
            </w:pPr>
            <w:r>
              <w:rPr>
                <w:rFonts w:hint="eastAsia" w:ascii="宋体" w:hAnsi="宋体"/>
                <w:color w:val="333333"/>
                <w:sz w:val="24"/>
              </w:rPr>
              <w:t>以上体现在相关的措施方案中，不体现不得分。</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4</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b/>
                <w:bCs/>
                <w:sz w:val="24"/>
              </w:rPr>
            </w:pPr>
            <w:r>
              <w:rPr>
                <w:rFonts w:hint="eastAsia" w:ascii="宋体" w:hAnsi="宋体"/>
                <w:b/>
                <w:bCs/>
                <w:sz w:val="24"/>
                <w:lang w:val="zh-CN"/>
              </w:rPr>
              <w:t>养护移交平稳过渡计划实施方案</w:t>
            </w:r>
          </w:p>
        </w:tc>
        <w:tc>
          <w:tcPr>
            <w:tcW w:w="706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b/>
                <w:sz w:val="24"/>
                <w:lang w:val="zh-CN" w:bidi="zh-CN"/>
              </w:rPr>
            </w:pPr>
            <w:r>
              <w:rPr>
                <w:rFonts w:hint="eastAsia" w:ascii="宋体" w:hAnsi="宋体" w:cs="宋体"/>
                <w:color w:val="000000"/>
                <w:kern w:val="0"/>
                <w:sz w:val="24"/>
              </w:rPr>
              <w:t>有详细的企业进出场交接计划措施、企业平稳过渡实施方案等相关措施且可行的，得3分；有简要的</w:t>
            </w:r>
            <w:r>
              <w:rPr>
                <w:rFonts w:hint="eastAsia" w:hAnsi="宋体" w:cs="宋体"/>
                <w:sz w:val="24"/>
                <w:lang w:val="zh-CN"/>
              </w:rPr>
              <w:t>养护移交平稳过渡计划</w:t>
            </w:r>
            <w:r>
              <w:rPr>
                <w:rFonts w:hint="eastAsia" w:ascii="宋体" w:hAnsi="宋体" w:cs="宋体"/>
                <w:color w:val="000000"/>
                <w:kern w:val="0"/>
                <w:sz w:val="24"/>
              </w:rPr>
              <w:t>且可行的，得1-2分；无计划或计划不可行的不得分。</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5</w:t>
            </w:r>
          </w:p>
        </w:tc>
        <w:tc>
          <w:tcPr>
            <w:tcW w:w="1200" w:type="dxa"/>
            <w:tcBorders>
              <w:top w:val="single" w:color="auto" w:sz="4" w:space="0"/>
              <w:left w:val="single" w:color="auto" w:sz="4" w:space="0"/>
              <w:bottom w:val="single" w:color="auto" w:sz="4" w:space="0"/>
              <w:right w:val="single" w:color="auto" w:sz="4" w:space="0"/>
            </w:tcBorders>
            <w:vAlign w:val="center"/>
          </w:tcPr>
          <w:p>
            <w:pPr>
              <w:pStyle w:val="27"/>
              <w:ind w:left="140" w:leftChars="50"/>
              <w:jc w:val="center"/>
              <w:rPr>
                <w:rFonts w:hAnsi="宋体" w:cs="Times New Roman"/>
                <w:b/>
                <w:bCs/>
                <w:sz w:val="24"/>
                <w:szCs w:val="24"/>
                <w:lang w:val="zh-CN"/>
              </w:rPr>
            </w:pPr>
            <w:r>
              <w:rPr>
                <w:rFonts w:hint="eastAsia" w:hAnsi="宋体" w:cs="Times New Roman"/>
                <w:b/>
                <w:bCs/>
                <w:sz w:val="24"/>
                <w:szCs w:val="24"/>
                <w:lang w:val="zh-CN"/>
              </w:rPr>
              <w:t>应急响</w:t>
            </w:r>
          </w:p>
          <w:p>
            <w:pPr>
              <w:pStyle w:val="27"/>
              <w:ind w:left="140" w:leftChars="50"/>
              <w:jc w:val="center"/>
              <w:rPr>
                <w:rFonts w:hAnsi="宋体" w:cs="Times New Roman"/>
                <w:b/>
                <w:bCs/>
                <w:sz w:val="24"/>
                <w:szCs w:val="24"/>
                <w:lang w:val="zh-CN"/>
              </w:rPr>
            </w:pPr>
            <w:r>
              <w:rPr>
                <w:rFonts w:hint="eastAsia" w:hAnsi="宋体" w:cs="Times New Roman"/>
                <w:b/>
                <w:bCs/>
                <w:sz w:val="24"/>
                <w:szCs w:val="24"/>
                <w:lang w:val="zh-CN"/>
              </w:rPr>
              <w:t>应方案</w:t>
            </w:r>
          </w:p>
          <w:p>
            <w:pPr>
              <w:widowControl/>
              <w:jc w:val="center"/>
              <w:rPr>
                <w:rFonts w:ascii="宋体" w:hAnsi="宋体"/>
                <w:b/>
                <w:bCs/>
                <w:sz w:val="24"/>
                <w:lang w:val="zh-CN"/>
              </w:rPr>
            </w:pPr>
          </w:p>
        </w:tc>
        <w:tc>
          <w:tcPr>
            <w:tcW w:w="706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color w:val="000000"/>
                <w:kern w:val="0"/>
                <w:sz w:val="24"/>
              </w:rPr>
            </w:pPr>
            <w:r>
              <w:rPr>
                <w:rFonts w:hint="eastAsia" w:ascii="宋体" w:hAnsi="宋体" w:cs="宋体"/>
                <w:kern w:val="0"/>
                <w:sz w:val="24"/>
              </w:rPr>
              <w:t>根据投标区块设立应急保障措施（防汛防台、突发事件应急处理及重大活动保障的人员配置、机械配置、应急处置方案，落实专职人员等内容），根据方案是否覆盖全面、是否科学合理、具有针对性和可操作性酌情打分（0-4分），本项最多得4分。</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6</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sz w:val="24"/>
              </w:rPr>
            </w:pPr>
            <w:r>
              <w:rPr>
                <w:rFonts w:hint="eastAsia" w:ascii="宋体" w:hAnsi="宋体"/>
                <w:b/>
                <w:bCs/>
                <w:sz w:val="24"/>
              </w:rPr>
              <w:t>项目成员配备</w:t>
            </w:r>
          </w:p>
        </w:tc>
        <w:tc>
          <w:tcPr>
            <w:tcW w:w="70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rPr>
            </w:pPr>
            <w:r>
              <w:rPr>
                <w:rFonts w:hint="eastAsia" w:ascii="宋体" w:hAnsi="宋体" w:cs="宋体"/>
                <w:sz w:val="24"/>
              </w:rPr>
              <w:t>A、</w:t>
            </w:r>
            <w:r>
              <w:rPr>
                <w:rFonts w:hint="eastAsia" w:ascii="宋体" w:hAnsi="宋体" w:cs="宋体"/>
                <w:b/>
                <w:bCs/>
                <w:sz w:val="24"/>
              </w:rPr>
              <w:t>技术管理力量配置（0-6分）：</w:t>
            </w:r>
            <w:r>
              <w:rPr>
                <w:rFonts w:hint="eastAsia" w:ascii="宋体" w:hAnsi="宋体" w:cs="宋体"/>
                <w:sz w:val="24"/>
              </w:rPr>
              <w:t>①项目负责人具有园林绿化类高级工程师职称得2分，具有中级工程师的得1.5分（取最高分）；</w:t>
            </w:r>
          </w:p>
          <w:p>
            <w:pPr>
              <w:spacing w:line="360" w:lineRule="auto"/>
              <w:ind w:firstLine="480" w:firstLineChars="200"/>
              <w:rPr>
                <w:rFonts w:ascii="宋体" w:hAnsi="宋体" w:cs="宋体"/>
                <w:sz w:val="24"/>
              </w:rPr>
            </w:pPr>
            <w:r>
              <w:rPr>
                <w:rFonts w:hint="eastAsia" w:ascii="宋体" w:hAnsi="宋体" w:cs="宋体"/>
                <w:sz w:val="24"/>
              </w:rPr>
              <w:t>②项目负责人承接过类似业绩（绿化养护面积20万㎡以上园林绿化养护业绩）的每个得2分，满分4分。</w:t>
            </w:r>
          </w:p>
          <w:p>
            <w:pPr>
              <w:spacing w:line="360" w:lineRule="auto"/>
              <w:ind w:firstLine="482" w:firstLineChars="200"/>
              <w:rPr>
                <w:rFonts w:ascii="宋体" w:hAnsi="宋体" w:cs="宋体"/>
                <w:b/>
                <w:bCs/>
                <w:sz w:val="24"/>
              </w:rPr>
            </w:pPr>
            <w:r>
              <w:rPr>
                <w:rFonts w:hint="eastAsia" w:ascii="宋体" w:hAnsi="宋体" w:cs="宋体"/>
                <w:b/>
                <w:bCs/>
                <w:sz w:val="24"/>
              </w:rPr>
              <w:t>注：须提供职称证书复印件、类似业绩合同复印件加盖公章为准，并提供项目负责人最近一个季度的社保证明材料。</w:t>
            </w:r>
          </w:p>
          <w:p>
            <w:pPr>
              <w:numPr>
                <w:ilvl w:val="0"/>
                <w:numId w:val="15"/>
              </w:numPr>
              <w:spacing w:line="360" w:lineRule="auto"/>
              <w:ind w:firstLine="480" w:firstLineChars="200"/>
              <w:rPr>
                <w:rFonts w:ascii="宋体" w:hAnsi="宋体" w:cs="宋体"/>
                <w:sz w:val="24"/>
              </w:rPr>
            </w:pPr>
            <w:r>
              <w:rPr>
                <w:rFonts w:hint="eastAsia" w:ascii="宋体" w:hAnsi="宋体" w:cs="宋体"/>
                <w:sz w:val="24"/>
              </w:rPr>
              <w:t>班组人员中至少配备具有绿化工证、电工证、公共区域保洁员证的人员各一名，得3分，</w:t>
            </w:r>
            <w:r>
              <w:rPr>
                <w:rFonts w:hint="eastAsia" w:ascii="宋体" w:hAnsi="宋体" w:cs="宋体"/>
                <w:b/>
                <w:bCs/>
                <w:sz w:val="24"/>
              </w:rPr>
              <w:t>不足或欠缺的不得分</w:t>
            </w:r>
            <w:r>
              <w:rPr>
                <w:rFonts w:hint="eastAsia" w:ascii="宋体" w:hAnsi="宋体" w:cs="宋体"/>
                <w:sz w:val="24"/>
              </w:rPr>
              <w:t>；在满足上述条件后每增加一名相关持证人员多得0.5分，</w:t>
            </w:r>
            <w:r>
              <w:rPr>
                <w:rFonts w:hint="eastAsia" w:ascii="宋体" w:hAnsi="宋体" w:cs="宋体"/>
                <w:b/>
                <w:bCs/>
                <w:sz w:val="24"/>
              </w:rPr>
              <w:t>该项最多得6分</w:t>
            </w:r>
            <w:r>
              <w:rPr>
                <w:rFonts w:hint="eastAsia" w:ascii="宋体" w:hAnsi="宋体" w:cs="宋体"/>
                <w:sz w:val="24"/>
              </w:rPr>
              <w:t>，与本要求无关工种不计分。（同一人员只计取一个专业）</w:t>
            </w:r>
          </w:p>
          <w:p>
            <w:pPr>
              <w:spacing w:line="360" w:lineRule="auto"/>
              <w:rPr>
                <w:rFonts w:ascii="宋体" w:hAnsi="宋体" w:cs="宋体"/>
                <w:sz w:val="24"/>
              </w:rPr>
            </w:pPr>
            <w:r>
              <w:rPr>
                <w:rFonts w:hint="eastAsia" w:ascii="宋体" w:hAnsi="宋体" w:cs="宋体"/>
                <w:b/>
                <w:sz w:val="24"/>
              </w:rPr>
              <w:t>注：</w:t>
            </w:r>
            <w:r>
              <w:rPr>
                <w:rFonts w:hint="eastAsia" w:ascii="宋体" w:hAnsi="宋体" w:cs="宋体"/>
                <w:b/>
                <w:bCs/>
                <w:sz w:val="24"/>
              </w:rPr>
              <w:t>主要工种的人员一人一岗，不得兼任，须提供相关</w:t>
            </w:r>
            <w:r>
              <w:rPr>
                <w:rFonts w:hint="eastAsia" w:ascii="宋体" w:hAnsi="宋体" w:cs="宋体"/>
                <w:b/>
                <w:sz w:val="24"/>
              </w:rPr>
              <w:t>人员</w:t>
            </w:r>
            <w:r>
              <w:rPr>
                <w:rFonts w:hint="eastAsia" w:ascii="宋体" w:hAnsi="宋体" w:cs="宋体"/>
                <w:b/>
                <w:bCs/>
                <w:sz w:val="24"/>
              </w:rPr>
              <w:t>证书及最近一个季度的社保证明材料。</w:t>
            </w:r>
          </w:p>
          <w:p>
            <w:pPr>
              <w:spacing w:line="360" w:lineRule="auto"/>
              <w:ind w:firstLine="468" w:firstLineChars="200"/>
              <w:rPr>
                <w:rFonts w:ascii="宋体" w:hAnsi="宋体"/>
                <w:sz w:val="24"/>
              </w:rPr>
            </w:pPr>
            <w:r>
              <w:rPr>
                <w:rFonts w:hint="eastAsia" w:ascii="宋体" w:hAnsi="宋体" w:cs="宋体"/>
                <w:spacing w:val="-3"/>
                <w:sz w:val="24"/>
                <w:lang w:bidi="zh-CN"/>
              </w:rPr>
              <w:t>C、</w:t>
            </w:r>
            <w:r>
              <w:rPr>
                <w:rFonts w:hint="eastAsia" w:ascii="宋体" w:hAnsi="宋体" w:cs="宋体"/>
                <w:spacing w:val="-3"/>
                <w:sz w:val="24"/>
                <w:lang w:val="zh-CN" w:bidi="zh-CN"/>
              </w:rPr>
              <w:t>养护作业人员安排是否达到采购人要求、是否合理</w:t>
            </w:r>
            <w:r>
              <w:rPr>
                <w:rFonts w:hint="eastAsia" w:ascii="宋体" w:hAnsi="宋体" w:cs="宋体"/>
                <w:sz w:val="24"/>
              </w:rPr>
              <w:t>（0-2分）</w:t>
            </w:r>
            <w:r>
              <w:rPr>
                <w:rFonts w:hint="eastAsia" w:ascii="宋体" w:hAnsi="宋体" w:cs="宋体"/>
                <w:b/>
                <w:bCs/>
                <w:spacing w:val="-3"/>
                <w:sz w:val="24"/>
                <w:lang w:val="zh-CN" w:bidi="zh-CN"/>
              </w:rPr>
              <w:t>：</w:t>
            </w:r>
            <w:r>
              <w:rPr>
                <w:rFonts w:hint="eastAsia" w:ascii="宋体" w:hAnsi="宋体" w:cs="宋体"/>
                <w:spacing w:val="-3"/>
                <w:sz w:val="24"/>
                <w:lang w:val="zh-CN" w:bidi="zh-CN"/>
              </w:rPr>
              <w:t>需提供具体作业人员安排表或承诺函（承诺中标后按招标文件要求配备作业人员）</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0-14分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7</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sz w:val="24"/>
              </w:rPr>
            </w:pPr>
            <w:r>
              <w:rPr>
                <w:rFonts w:hint="eastAsia" w:ascii="宋体" w:hAnsi="宋体"/>
                <w:b/>
                <w:bCs/>
                <w:sz w:val="24"/>
              </w:rPr>
              <w:t>投标人拟投入</w:t>
            </w:r>
            <w:r>
              <w:rPr>
                <w:rFonts w:hint="eastAsia" w:ascii="宋体" w:hAnsi="宋体" w:cs="宋体"/>
                <w:b/>
                <w:bCs/>
                <w:color w:val="000000"/>
                <w:sz w:val="21"/>
                <w:szCs w:val="21"/>
              </w:rPr>
              <w:t>机械设备情况</w:t>
            </w:r>
          </w:p>
          <w:p>
            <w:pPr>
              <w:widowControl/>
              <w:jc w:val="center"/>
              <w:rPr>
                <w:rFonts w:ascii="宋体" w:hAnsi="宋体"/>
                <w:b/>
                <w:bCs/>
                <w:sz w:val="24"/>
              </w:rPr>
            </w:pPr>
          </w:p>
        </w:tc>
        <w:tc>
          <w:tcPr>
            <w:tcW w:w="7068" w:type="dxa"/>
            <w:tcBorders>
              <w:top w:val="single" w:color="auto" w:sz="4" w:space="0"/>
              <w:left w:val="single" w:color="auto" w:sz="4" w:space="0"/>
              <w:bottom w:val="single" w:color="auto" w:sz="4" w:space="0"/>
              <w:right w:val="single" w:color="auto" w:sz="4" w:space="0"/>
            </w:tcBorders>
            <w:vAlign w:val="center"/>
          </w:tcPr>
          <w:p>
            <w:pPr>
              <w:pStyle w:val="138"/>
              <w:spacing w:line="337" w:lineRule="exact"/>
              <w:jc w:val="both"/>
              <w:rPr>
                <w:rFonts w:ascii="宋体" w:hAnsi="宋体" w:eastAsia="宋体" w:cs="宋体"/>
                <w:b/>
                <w:bCs/>
                <w:color w:val="000000"/>
                <w:sz w:val="24"/>
                <w:szCs w:val="24"/>
                <w:lang w:eastAsia="zh-CN"/>
              </w:rPr>
            </w:pPr>
            <w:r>
              <w:rPr>
                <w:rFonts w:hint="eastAsia" w:ascii="宋体" w:hAnsi="宋体" w:eastAsia="宋体" w:cs="宋体"/>
                <w:b/>
                <w:bCs/>
                <w:sz w:val="24"/>
                <w:szCs w:val="24"/>
              </w:rPr>
              <w:t>投标人</w:t>
            </w:r>
            <w:r>
              <w:rPr>
                <w:rFonts w:hint="eastAsia" w:ascii="宋体" w:hAnsi="宋体" w:eastAsia="宋体" w:cs="宋体"/>
                <w:b/>
                <w:bCs/>
                <w:color w:val="000000"/>
                <w:sz w:val="24"/>
                <w:szCs w:val="24"/>
                <w:lang w:eastAsia="zh-CN"/>
              </w:rPr>
              <w:t>拟投入</w:t>
            </w:r>
            <w:r>
              <w:rPr>
                <w:rFonts w:hint="eastAsia" w:ascii="宋体" w:hAnsi="宋体" w:eastAsia="宋体" w:cs="宋体"/>
                <w:b/>
                <w:bCs/>
                <w:color w:val="000000"/>
                <w:sz w:val="24"/>
                <w:szCs w:val="24"/>
              </w:rPr>
              <w:t>本项目</w:t>
            </w:r>
            <w:r>
              <w:rPr>
                <w:rFonts w:hint="eastAsia" w:ascii="宋体" w:hAnsi="宋体" w:eastAsia="宋体" w:cs="宋体"/>
                <w:b/>
                <w:bCs/>
                <w:color w:val="000000"/>
                <w:sz w:val="24"/>
                <w:szCs w:val="24"/>
                <w:lang w:eastAsia="zh-CN"/>
              </w:rPr>
              <w:t>的机械设备配备、</w:t>
            </w:r>
            <w:r>
              <w:rPr>
                <w:rFonts w:hint="eastAsia" w:ascii="宋体" w:hAnsi="宋体" w:eastAsia="宋体" w:cs="宋体"/>
                <w:b/>
                <w:bCs/>
                <w:color w:val="000000"/>
                <w:sz w:val="24"/>
                <w:szCs w:val="24"/>
              </w:rPr>
              <w:t>人工及工具材料</w:t>
            </w:r>
            <w:r>
              <w:rPr>
                <w:rFonts w:hint="eastAsia" w:ascii="宋体" w:hAnsi="宋体" w:eastAsia="宋体" w:cs="宋体"/>
                <w:b/>
                <w:bCs/>
                <w:color w:val="000000"/>
                <w:sz w:val="24"/>
                <w:szCs w:val="24"/>
                <w:lang w:eastAsia="zh-CN"/>
              </w:rPr>
              <w:t>满足本次招标</w:t>
            </w:r>
            <w:r>
              <w:rPr>
                <w:rFonts w:hint="eastAsia" w:ascii="宋体" w:hAnsi="宋体" w:eastAsia="宋体" w:cs="宋体"/>
                <w:b/>
                <w:bCs/>
                <w:color w:val="000000"/>
                <w:sz w:val="24"/>
                <w:szCs w:val="24"/>
              </w:rPr>
              <w:t>的</w:t>
            </w:r>
            <w:r>
              <w:rPr>
                <w:rFonts w:hint="eastAsia" w:ascii="宋体" w:hAnsi="宋体" w:eastAsia="宋体" w:cs="宋体"/>
                <w:b/>
                <w:bCs/>
                <w:color w:val="000000"/>
                <w:sz w:val="24"/>
                <w:szCs w:val="24"/>
                <w:lang w:eastAsia="zh-CN"/>
              </w:rPr>
              <w:t>基本</w:t>
            </w:r>
            <w:r>
              <w:rPr>
                <w:rFonts w:hint="eastAsia" w:ascii="宋体" w:hAnsi="宋体" w:eastAsia="宋体" w:cs="宋体"/>
                <w:b/>
                <w:bCs/>
                <w:color w:val="000000"/>
                <w:sz w:val="24"/>
                <w:szCs w:val="24"/>
              </w:rPr>
              <w:t>要求，得</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分。</w:t>
            </w:r>
          </w:p>
          <w:p>
            <w:pPr>
              <w:widowControl/>
              <w:jc w:val="left"/>
              <w:rPr>
                <w:rFonts w:ascii="宋体" w:hAnsi="宋体" w:cs="宋体"/>
                <w:sz w:val="24"/>
              </w:rPr>
            </w:pPr>
            <w:r>
              <w:rPr>
                <w:rFonts w:hint="eastAsia" w:ascii="宋体" w:hAnsi="宋体" w:cs="宋体"/>
                <w:sz w:val="24"/>
              </w:rPr>
              <w:t>1.1 拟投入使用的主要机械设备</w:t>
            </w:r>
            <w:r>
              <w:rPr>
                <w:rFonts w:hint="eastAsia" w:ascii="宋体" w:hAnsi="宋体" w:cs="宋体"/>
                <w:color w:val="000000"/>
                <w:sz w:val="24"/>
              </w:rPr>
              <w:t>基本要求</w:t>
            </w:r>
            <w:r>
              <w:rPr>
                <w:rFonts w:hint="eastAsia" w:ascii="宋体" w:hAnsi="宋体" w:cs="宋体"/>
                <w:sz w:val="24"/>
              </w:rPr>
              <w:t>：（详见招标需求）</w:t>
            </w:r>
          </w:p>
          <w:p>
            <w:pPr>
              <w:widowControl/>
              <w:jc w:val="left"/>
              <w:rPr>
                <w:rFonts w:ascii="宋体" w:hAnsi="宋体" w:cs="宋体"/>
                <w:b/>
                <w:bCs/>
                <w:sz w:val="24"/>
              </w:rPr>
            </w:pPr>
            <w:r>
              <w:rPr>
                <w:rFonts w:hint="eastAsia" w:ascii="宋体" w:hAnsi="宋体" w:cs="宋体"/>
                <w:b/>
                <w:bCs/>
                <w:sz w:val="24"/>
              </w:rPr>
              <w:t xml:space="preserve">1.2 </w:t>
            </w:r>
            <w:r>
              <w:rPr>
                <w:rFonts w:hint="eastAsia" w:ascii="宋体" w:hAnsi="宋体" w:cs="宋体"/>
                <w:sz w:val="24"/>
              </w:rPr>
              <w:t>人工及工具材料（锄头、铁耙、修枝剪、手锯、支撑桩、遮荫网、铅丝、皮管、警示桩等）必须满足日常需要。</w:t>
            </w:r>
          </w:p>
          <w:p>
            <w:pPr>
              <w:pStyle w:val="21"/>
              <w:ind w:firstLine="0" w:firstLineChars="0"/>
              <w:rPr>
                <w:rFonts w:ascii="宋体" w:hAnsi="宋体" w:cs="宋体"/>
                <w:sz w:val="24"/>
                <w:szCs w:val="24"/>
              </w:rPr>
            </w:pPr>
            <w:r>
              <w:rPr>
                <w:rFonts w:hint="eastAsia" w:ascii="宋体" w:hAnsi="宋体" w:cs="宋体"/>
                <w:b/>
                <w:bCs/>
                <w:sz w:val="24"/>
                <w:szCs w:val="24"/>
              </w:rPr>
              <w:t>以上配备有不足或欠缺的每项扣1分，扣完为止</w:t>
            </w:r>
            <w:r>
              <w:rPr>
                <w:rFonts w:hint="eastAsia" w:ascii="宋体" w:hAnsi="宋体" w:cs="宋体"/>
                <w:sz w:val="24"/>
                <w:szCs w:val="24"/>
              </w:rPr>
              <w:t>。</w:t>
            </w:r>
            <w:r>
              <w:rPr>
                <w:rFonts w:hint="eastAsia" w:ascii="宋体" w:hAnsi="宋体" w:cs="宋体"/>
                <w:b/>
                <w:bCs/>
                <w:sz w:val="24"/>
                <w:szCs w:val="24"/>
              </w:rPr>
              <w:t>未提供不得分。</w:t>
            </w:r>
          </w:p>
          <w:p>
            <w:pPr>
              <w:kinsoku w:val="0"/>
              <w:overflowPunct w:val="0"/>
              <w:spacing w:before="84" w:line="307" w:lineRule="auto"/>
              <w:ind w:right="146"/>
              <w:rPr>
                <w:rFonts w:ascii="宋体" w:hAnsi="宋体"/>
                <w:color w:val="000000" w:themeColor="text1"/>
                <w:sz w:val="24"/>
              </w:rPr>
            </w:pPr>
            <w:r>
              <w:rPr>
                <w:rFonts w:hint="eastAsia" w:ascii="宋体" w:hAnsi="宋体" w:cs="宋体"/>
                <w:b/>
                <w:bCs/>
                <w:spacing w:val="-3"/>
                <w:sz w:val="24"/>
                <w:lang w:val="zh-CN" w:bidi="zh-CN"/>
              </w:rPr>
              <w:t>注：自有车辆设备须提供设备照片、购车发票、车辆行驶证及机动车登记证书清晰扫描件或复印件；</w:t>
            </w:r>
            <w:r>
              <w:rPr>
                <w:rFonts w:hint="eastAsia" w:ascii="宋体" w:hAnsi="宋体" w:cs="宋体"/>
                <w:b/>
                <w:bCs/>
                <w:spacing w:val="-3"/>
                <w:sz w:val="24"/>
                <w:lang w:bidi="zh-CN"/>
              </w:rPr>
              <w:t>2.</w:t>
            </w:r>
            <w:r>
              <w:rPr>
                <w:rFonts w:hint="eastAsia" w:ascii="宋体" w:hAnsi="宋体" w:cs="宋体"/>
                <w:b/>
                <w:bCs/>
                <w:spacing w:val="-3"/>
                <w:sz w:val="24"/>
                <w:lang w:val="zh-CN" w:bidi="zh-CN"/>
              </w:rPr>
              <w:t>企业租赁车辆的须提供设备照片、租赁协议及车辆行驶证清晰扫描件或复印件；</w:t>
            </w:r>
            <w:r>
              <w:rPr>
                <w:rFonts w:hint="eastAsia" w:ascii="宋体" w:hAnsi="宋体" w:cs="宋体"/>
                <w:b/>
                <w:bCs/>
                <w:spacing w:val="-3"/>
                <w:sz w:val="24"/>
                <w:lang w:bidi="zh-CN"/>
              </w:rPr>
              <w:t>3.</w:t>
            </w:r>
            <w:r>
              <w:rPr>
                <w:rFonts w:hint="eastAsia" w:ascii="宋体" w:hAnsi="宋体" w:cs="宋体"/>
                <w:b/>
                <w:bCs/>
                <w:color w:val="000000"/>
                <w:sz w:val="24"/>
              </w:rPr>
              <w:t>人工及工具材料提供入库证明等相关证明材料。</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highlight w:val="yellow"/>
              </w:rPr>
            </w:pPr>
            <w:r>
              <w:rPr>
                <w:rFonts w:hint="eastAsia" w:ascii="宋体" w:hAnsi="宋体"/>
                <w:sz w:val="24"/>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jc w:val="center"/>
              <w:outlineLvl w:val="2"/>
              <w:rPr>
                <w:rFonts w:ascii="仿宋_GB2312" w:eastAsia="仿宋_GB2312"/>
                <w:b/>
                <w:bCs/>
                <w:sz w:val="24"/>
                <w:szCs w:val="24"/>
              </w:rPr>
            </w:pPr>
            <w:r>
              <w:rPr>
                <w:rFonts w:hint="eastAsia" w:ascii="仿宋_GB2312" w:eastAsia="仿宋_GB2312"/>
                <w:b/>
                <w:bCs/>
                <w:sz w:val="24"/>
                <w:szCs w:val="24"/>
              </w:rPr>
              <w:t>二</w:t>
            </w:r>
          </w:p>
        </w:tc>
        <w:tc>
          <w:tcPr>
            <w:tcW w:w="8268" w:type="dxa"/>
            <w:gridSpan w:val="2"/>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482" w:firstLineChars="200"/>
              <w:jc w:val="center"/>
              <w:outlineLvl w:val="2"/>
              <w:rPr>
                <w:rFonts w:ascii="仿宋_GB2312" w:eastAsia="仿宋_GB2312"/>
                <w:b/>
                <w:bCs/>
                <w:color w:val="000000" w:themeColor="text1"/>
                <w:sz w:val="24"/>
                <w:szCs w:val="24"/>
              </w:rPr>
            </w:pPr>
            <w:r>
              <w:rPr>
                <w:rFonts w:hint="eastAsia" w:hAnsi="宋体" w:cs="宋体"/>
                <w:b/>
                <w:bCs/>
                <w:sz w:val="24"/>
                <w:szCs w:val="24"/>
              </w:rPr>
              <w:t>商务资信及其他分</w:t>
            </w:r>
          </w:p>
        </w:tc>
        <w:tc>
          <w:tcPr>
            <w:tcW w:w="906"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jc w:val="center"/>
              <w:outlineLvl w:val="2"/>
              <w:rPr>
                <w:rFonts w:hAnsi="宋体"/>
                <w:b/>
                <w:bCs/>
                <w:kern w:val="2"/>
                <w:sz w:val="24"/>
                <w:szCs w:val="24"/>
              </w:rPr>
            </w:pPr>
            <w:r>
              <w:rPr>
                <w:rFonts w:hint="eastAsia" w:hAnsi="宋体"/>
                <w:b/>
                <w:bCs/>
                <w:kern w:val="2"/>
                <w:sz w:val="24"/>
                <w:szCs w:val="24"/>
              </w:rPr>
              <w:t>22分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ind w:firstLine="235" w:firstLineChars="98"/>
              <w:rPr>
                <w:rFonts w:ascii="宋体" w:hAnsi="宋体"/>
                <w:bCs/>
                <w:sz w:val="24"/>
              </w:rPr>
            </w:pPr>
            <w:r>
              <w:rPr>
                <w:rFonts w:hint="eastAsia" w:ascii="宋体" w:hAnsi="宋体"/>
                <w:bCs/>
                <w:sz w:val="24"/>
              </w:rPr>
              <w:t>8</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 w:val="24"/>
              </w:rPr>
            </w:pPr>
            <w:r>
              <w:rPr>
                <w:rFonts w:hint="eastAsia" w:ascii="宋体" w:hAnsi="宋体"/>
                <w:b/>
                <w:sz w:val="24"/>
              </w:rPr>
              <w:t>服务承诺</w:t>
            </w:r>
          </w:p>
        </w:tc>
        <w:tc>
          <w:tcPr>
            <w:tcW w:w="7068" w:type="dxa"/>
            <w:tcBorders>
              <w:top w:val="single" w:color="auto" w:sz="4" w:space="0"/>
              <w:left w:val="single" w:color="auto" w:sz="4" w:space="0"/>
              <w:bottom w:val="single" w:color="auto" w:sz="4" w:space="0"/>
              <w:right w:val="single" w:color="auto" w:sz="4" w:space="0"/>
            </w:tcBorders>
            <w:vAlign w:val="center"/>
          </w:tcPr>
          <w:p>
            <w:pPr>
              <w:kinsoku w:val="0"/>
              <w:overflowPunct w:val="0"/>
              <w:spacing w:before="39" w:line="307" w:lineRule="auto"/>
              <w:ind w:right="28"/>
              <w:rPr>
                <w:rFonts w:ascii="宋体" w:hAnsi="宋体" w:cs="宋体"/>
                <w:sz w:val="24"/>
                <w:szCs w:val="21"/>
                <w:lang w:val="zh-CN" w:bidi="zh-CN"/>
              </w:rPr>
            </w:pPr>
            <w:r>
              <w:rPr>
                <w:rFonts w:hint="eastAsia" w:ascii="宋体" w:hAnsi="宋体" w:cs="宋体"/>
                <w:sz w:val="24"/>
                <w:szCs w:val="21"/>
                <w:lang w:val="zh-CN" w:bidi="zh-CN"/>
              </w:rPr>
              <w:t>1、本地化服务能力情况（0-</w:t>
            </w:r>
            <w:r>
              <w:rPr>
                <w:rFonts w:ascii="宋体" w:hAnsi="宋体" w:cs="宋体"/>
                <w:sz w:val="24"/>
                <w:szCs w:val="21"/>
                <w:lang w:bidi="zh-CN"/>
              </w:rPr>
              <w:t>5</w:t>
            </w:r>
            <w:r>
              <w:rPr>
                <w:rFonts w:hint="eastAsia" w:ascii="宋体" w:hAnsi="宋体" w:cs="宋体"/>
                <w:sz w:val="24"/>
                <w:szCs w:val="21"/>
                <w:lang w:val="zh-CN" w:bidi="zh-CN"/>
              </w:rPr>
              <w:t xml:space="preserve">分）：服务网点须提供详细的网点全称、地址、联系人、联系方式等，在投标的路段附近15-20分钟路程范围内设置办公室（面积在100 </w:t>
            </w:r>
            <w:r>
              <w:rPr>
                <w:rFonts w:hint="eastAsia" w:ascii="宋体" w:hAnsi="宋体" w:cs="宋体"/>
                <w:spacing w:val="-3"/>
                <w:sz w:val="24"/>
                <w:szCs w:val="21"/>
                <w:lang w:val="zh-CN" w:bidi="zh-CN"/>
              </w:rPr>
              <w:t>平方米及以上），提供</w:t>
            </w:r>
            <w:r>
              <w:rPr>
                <w:rFonts w:hint="eastAsia" w:ascii="宋体" w:hAnsi="宋体" w:cs="宋体"/>
                <w:b/>
                <w:spacing w:val="-3"/>
                <w:sz w:val="24"/>
                <w:szCs w:val="21"/>
                <w:u w:val="single"/>
                <w:lang w:val="zh-CN" w:bidi="zh-CN"/>
              </w:rPr>
              <w:t>意向性房屋租赁协议</w:t>
            </w:r>
            <w:r>
              <w:rPr>
                <w:rFonts w:hint="eastAsia" w:ascii="宋体" w:hAnsi="宋体" w:cs="宋体"/>
                <w:spacing w:val="-3"/>
                <w:sz w:val="24"/>
                <w:szCs w:val="21"/>
                <w:lang w:val="zh-CN" w:bidi="zh-CN"/>
              </w:rPr>
              <w:t>或</w:t>
            </w:r>
            <w:r>
              <w:rPr>
                <w:rFonts w:hint="eastAsia" w:ascii="宋体" w:hAnsi="宋体" w:cs="宋体"/>
                <w:b/>
                <w:spacing w:val="-3"/>
                <w:sz w:val="24"/>
                <w:szCs w:val="21"/>
                <w:u w:val="single"/>
                <w:lang w:val="zh-CN" w:bidi="zh-CN"/>
              </w:rPr>
              <w:t>房屋租赁合同</w:t>
            </w:r>
            <w:r>
              <w:rPr>
                <w:rFonts w:hint="eastAsia" w:ascii="宋体" w:hAnsi="宋体" w:cs="宋体"/>
                <w:spacing w:val="-3"/>
                <w:sz w:val="24"/>
                <w:szCs w:val="21"/>
                <w:lang w:val="zh-CN" w:bidi="zh-CN"/>
              </w:rPr>
              <w:t>或</w:t>
            </w:r>
            <w:r>
              <w:rPr>
                <w:rFonts w:hint="eastAsia" w:ascii="宋体" w:hAnsi="宋体" w:cs="宋体"/>
                <w:b/>
                <w:spacing w:val="-3"/>
                <w:sz w:val="24"/>
                <w:szCs w:val="21"/>
                <w:u w:val="single"/>
                <w:lang w:val="zh-CN" w:bidi="zh-CN"/>
              </w:rPr>
              <w:t>房屋</w:t>
            </w:r>
            <w:r>
              <w:rPr>
                <w:rFonts w:hint="eastAsia" w:ascii="宋体" w:hAnsi="宋体" w:cs="宋体"/>
                <w:b/>
                <w:sz w:val="24"/>
                <w:szCs w:val="21"/>
                <w:u w:val="single"/>
                <w:lang w:val="zh-CN" w:bidi="zh-CN"/>
              </w:rPr>
              <w:t>自有证明</w:t>
            </w:r>
            <w:r>
              <w:rPr>
                <w:rFonts w:hint="eastAsia" w:ascii="宋体" w:hAnsi="宋体" w:cs="宋体"/>
                <w:b/>
                <w:sz w:val="24"/>
                <w:szCs w:val="21"/>
                <w:lang w:val="zh-CN" w:bidi="zh-CN"/>
              </w:rPr>
              <w:t>，</w:t>
            </w:r>
            <w:r>
              <w:rPr>
                <w:rFonts w:hint="eastAsia" w:ascii="宋体" w:hAnsi="宋体" w:cs="宋体"/>
                <w:sz w:val="24"/>
                <w:szCs w:val="21"/>
                <w:lang w:val="zh-CN" w:bidi="zh-CN"/>
              </w:rPr>
              <w:t>均得</w:t>
            </w:r>
            <w:r>
              <w:rPr>
                <w:rFonts w:ascii="宋体" w:hAnsi="宋体" w:cs="宋体"/>
                <w:sz w:val="24"/>
                <w:szCs w:val="21"/>
                <w:lang w:bidi="zh-CN"/>
              </w:rPr>
              <w:t>5</w:t>
            </w:r>
            <w:r>
              <w:rPr>
                <w:rFonts w:hint="eastAsia" w:ascii="宋体" w:hAnsi="宋体" w:cs="宋体"/>
                <w:sz w:val="24"/>
                <w:szCs w:val="21"/>
                <w:lang w:val="zh-CN" w:bidi="zh-CN"/>
              </w:rPr>
              <w:t>分。</w:t>
            </w:r>
            <w:r>
              <w:rPr>
                <w:rFonts w:hint="eastAsia" w:ascii="宋体" w:hAnsi="宋体" w:cs="宋体"/>
                <w:b/>
                <w:bCs/>
                <w:sz w:val="24"/>
                <w:szCs w:val="21"/>
                <w:lang w:val="zh-CN" w:bidi="zh-CN"/>
              </w:rPr>
              <w:t>承诺中标设立服务网点得同等分数，须提供承诺函，</w:t>
            </w:r>
            <w:r>
              <w:rPr>
                <w:rFonts w:hint="eastAsia" w:ascii="宋体" w:hAnsi="宋体" w:cs="宋体"/>
                <w:sz w:val="24"/>
                <w:szCs w:val="21"/>
                <w:lang w:val="zh-CN" w:bidi="zh-CN"/>
              </w:rPr>
              <w:t>不提供不得分。</w:t>
            </w:r>
          </w:p>
          <w:p>
            <w:pPr>
              <w:spacing w:line="560" w:lineRule="exact"/>
              <w:rPr>
                <w:rFonts w:ascii="宋体" w:hAnsi="宋体"/>
                <w:sz w:val="24"/>
              </w:rPr>
            </w:pPr>
            <w:r>
              <w:rPr>
                <w:rFonts w:hint="eastAsia" w:ascii="宋体" w:hAnsi="宋体" w:cs="宋体"/>
                <w:sz w:val="24"/>
                <w:szCs w:val="21"/>
                <w:lang w:val="zh-CN" w:bidi="zh-CN"/>
              </w:rPr>
              <w:t>2、响应时间（0-</w:t>
            </w:r>
            <w:r>
              <w:rPr>
                <w:rFonts w:hint="eastAsia" w:ascii="宋体" w:hAnsi="宋体" w:cs="宋体"/>
                <w:sz w:val="24"/>
                <w:szCs w:val="21"/>
                <w:lang w:bidi="zh-CN"/>
              </w:rPr>
              <w:t>4</w:t>
            </w:r>
            <w:r>
              <w:rPr>
                <w:rFonts w:hint="eastAsia" w:ascii="宋体" w:hAnsi="宋体" w:cs="宋体"/>
                <w:sz w:val="24"/>
                <w:szCs w:val="21"/>
                <w:lang w:val="zh-CN" w:bidi="zh-CN"/>
              </w:rPr>
              <w:t>分）：在采购人有需求时接到通知（电话、电传等）后2小时内到现场响应得1分，每减少30分钟加1分，最多得4分，超过2小时不得分；</w:t>
            </w:r>
          </w:p>
          <w:p>
            <w:pPr>
              <w:spacing w:line="560" w:lineRule="exact"/>
              <w:rPr>
                <w:rFonts w:ascii="宋体" w:hAnsi="宋体"/>
                <w:color w:val="000000" w:themeColor="text1"/>
                <w:sz w:val="24"/>
              </w:rPr>
            </w:pPr>
            <w:r>
              <w:rPr>
                <w:rFonts w:hint="eastAsia" w:ascii="宋体" w:hAnsi="宋体" w:cs="宋体"/>
                <w:b/>
                <w:sz w:val="24"/>
                <w:szCs w:val="21"/>
                <w:u w:val="single"/>
                <w:lang w:val="zh-CN" w:bidi="zh-CN"/>
              </w:rPr>
              <w:t>以上承诺未提供的部分不得分。</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sz w:val="24"/>
              </w:rPr>
              <w:t>0-</w:t>
            </w:r>
            <w:r>
              <w:rPr>
                <w:rFonts w:ascii="宋体" w:hAnsi="宋体"/>
                <w:sz w:val="24"/>
              </w:rPr>
              <w:t>9</w:t>
            </w:r>
            <w:r>
              <w:rPr>
                <w:rFonts w:hint="eastAsia"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jc w:val="center"/>
              <w:outlineLvl w:val="2"/>
              <w:rPr>
                <w:rFonts w:hAnsi="宋体"/>
                <w:sz w:val="24"/>
                <w:szCs w:val="24"/>
              </w:rPr>
            </w:pPr>
            <w:r>
              <w:rPr>
                <w:rFonts w:hint="eastAsia" w:hAnsi="宋体"/>
                <w:sz w:val="24"/>
                <w:szCs w:val="24"/>
              </w:rPr>
              <w:t>9</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企业业绩</w:t>
            </w:r>
          </w:p>
        </w:tc>
        <w:tc>
          <w:tcPr>
            <w:tcW w:w="7068"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400" w:lineRule="exact"/>
              <w:jc w:val="left"/>
              <w:rPr>
                <w:rFonts w:hint="eastAsia" w:ascii="宋体" w:hAnsi="宋体" w:cs="宋体"/>
                <w:sz w:val="24"/>
              </w:rPr>
            </w:pPr>
            <w:r>
              <w:rPr>
                <w:rFonts w:hint="eastAsia" w:ascii="宋体" w:hAnsi="宋体" w:cs="宋体"/>
                <w:sz w:val="24"/>
              </w:rPr>
              <w:t>供应商自2018年1月1日以来（以合同签订时间为准）承担过同类项目业绩的，每提供一份得1分，最多得</w:t>
            </w:r>
            <w:r>
              <w:rPr>
                <w:rFonts w:hint="eastAsia" w:ascii="宋体" w:hAnsi="宋体" w:cs="宋体"/>
                <w:sz w:val="24"/>
                <w:lang w:val="en-US" w:eastAsia="zh-CN"/>
              </w:rPr>
              <w:t>3</w:t>
            </w:r>
            <w:r>
              <w:rPr>
                <w:rFonts w:hint="eastAsia" w:ascii="宋体" w:hAnsi="宋体" w:cs="宋体"/>
                <w:sz w:val="24"/>
              </w:rPr>
              <w:t>分。</w:t>
            </w:r>
          </w:p>
          <w:p>
            <w:pPr>
              <w:pStyle w:val="2"/>
              <w:ind w:left="0" w:leftChars="0" w:firstLine="0" w:firstLineChars="0"/>
              <w:rPr>
                <w:rFonts w:hint="default" w:eastAsia="宋体"/>
                <w:lang w:val="en-US" w:eastAsia="zh-CN"/>
              </w:rPr>
            </w:pPr>
            <w:r>
              <w:rPr>
                <w:rFonts w:hint="eastAsia" w:hAnsi="宋体" w:cs="宋体"/>
                <w:sz w:val="24"/>
                <w:lang w:eastAsia="zh-CN"/>
              </w:rPr>
              <w:t>承接</w:t>
            </w:r>
            <w:r>
              <w:rPr>
                <w:rFonts w:hint="eastAsia" w:ascii="宋体" w:hAnsi="宋体" w:eastAsia="宋体" w:cs="宋体"/>
                <w:kern w:val="2"/>
                <w:sz w:val="24"/>
                <w:szCs w:val="24"/>
                <w:lang w:val="en-US" w:eastAsia="zh-CN" w:bidi="ar-SA"/>
              </w:rPr>
              <w:t>过湖州南浔城投城市建设集团有限公司</w:t>
            </w:r>
            <w:r>
              <w:rPr>
                <w:rFonts w:hint="eastAsia" w:hAnsi="宋体" w:cs="宋体"/>
                <w:kern w:val="2"/>
                <w:sz w:val="24"/>
                <w:szCs w:val="24"/>
                <w:lang w:val="en-US" w:eastAsia="zh-CN" w:bidi="ar-SA"/>
              </w:rPr>
              <w:t>项目的得2分</w:t>
            </w:r>
          </w:p>
          <w:p>
            <w:pPr>
              <w:spacing w:line="440" w:lineRule="atLeast"/>
              <w:jc w:val="left"/>
              <w:rPr>
                <w:rFonts w:ascii="宋体" w:hAnsi="宋体" w:cs="宋体"/>
                <w:b/>
                <w:color w:val="000000" w:themeColor="text1"/>
                <w:sz w:val="24"/>
              </w:rPr>
            </w:pPr>
            <w:r>
              <w:rPr>
                <w:rFonts w:hint="eastAsia" w:ascii="宋体" w:hAnsi="宋体" w:cs="宋体"/>
                <w:sz w:val="24"/>
              </w:rPr>
              <w:t>注：同类项目指绿化养护类项目且规模相当，必须同时提供合同及中标通知书（要求提供原件的清晰扫描件或复印件并加盖公章）</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outlineLvl w:val="2"/>
              <w:rPr>
                <w:rFonts w:ascii="宋体" w:hAnsi="宋体" w:cs="宋体"/>
                <w:sz w:val="24"/>
              </w:rPr>
            </w:pPr>
            <w:r>
              <w:rPr>
                <w:rFonts w:hint="eastAsia" w:ascii="宋体" w:hAnsi="宋体" w:cs="宋体"/>
                <w:sz w:val="24"/>
              </w:rPr>
              <w:t>0-5</w:t>
            </w:r>
            <w:r>
              <w:rPr>
                <w:rFonts w:hint="eastAsia"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6"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jc w:val="center"/>
              <w:outlineLvl w:val="2"/>
              <w:rPr>
                <w:rFonts w:hAnsi="宋体"/>
                <w:color w:val="000000" w:themeColor="text1"/>
                <w:sz w:val="24"/>
                <w:szCs w:val="24"/>
              </w:rPr>
            </w:pPr>
            <w:r>
              <w:rPr>
                <w:rFonts w:hAnsi="宋体"/>
                <w:sz w:val="24"/>
                <w:szCs w:val="24"/>
              </w:rPr>
              <w:t>1</w:t>
            </w:r>
            <w:r>
              <w:rPr>
                <w:rFonts w:hint="eastAsia" w:hAnsi="宋体"/>
                <w:sz w:val="24"/>
                <w:szCs w:val="24"/>
              </w:rPr>
              <w:t>0</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b/>
                <w:color w:val="000000" w:themeColor="text1"/>
                <w:kern w:val="0"/>
                <w:sz w:val="24"/>
              </w:rPr>
            </w:pPr>
            <w:r>
              <w:rPr>
                <w:rFonts w:hint="eastAsia" w:ascii="宋体" w:hAnsi="宋体" w:cs="宋体"/>
                <w:b/>
                <w:sz w:val="24"/>
              </w:rPr>
              <w:t>企业</w:t>
            </w:r>
            <w:r>
              <w:rPr>
                <w:rFonts w:hint="eastAsia" w:ascii="宋体" w:hAnsi="宋体" w:cs="宋体"/>
                <w:b/>
                <w:sz w:val="24"/>
                <w:lang w:val="zh-CN"/>
              </w:rPr>
              <w:t>认证</w:t>
            </w:r>
          </w:p>
        </w:tc>
        <w:tc>
          <w:tcPr>
            <w:tcW w:w="70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olor w:val="000000" w:themeColor="text1"/>
                <w:kern w:val="0"/>
                <w:sz w:val="24"/>
              </w:rPr>
            </w:pPr>
            <w:r>
              <w:rPr>
                <w:rFonts w:hint="eastAsia" w:ascii="宋体" w:hAnsi="宋体" w:cs="宋体"/>
                <w:sz w:val="24"/>
              </w:rPr>
              <w:t>具有质量管理体系认证证书、环境管理体系认证证书、职业健康安全管理体系证书的，每个得1分，最多得3分。（提供在有效期内的证书原件的扫描件并加盖公章，不提供不得分。）</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outlineLvl w:val="2"/>
              <w:rPr>
                <w:rFonts w:ascii="宋体" w:hAnsi="宋体"/>
                <w:color w:val="000000" w:themeColor="text1"/>
                <w:kern w:val="0"/>
                <w:sz w:val="24"/>
              </w:rPr>
            </w:pPr>
            <w:r>
              <w:rPr>
                <w:rFonts w:hint="eastAsia" w:ascii="宋体" w:hAnsi="宋体" w:cs="宋体"/>
                <w:sz w:val="24"/>
              </w:rPr>
              <w:t>0-3</w:t>
            </w:r>
            <w:r>
              <w:rPr>
                <w:rFonts w:hint="eastAsia"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7" w:hRule="exac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jc w:val="center"/>
              <w:outlineLvl w:val="2"/>
              <w:rPr>
                <w:rFonts w:hint="eastAsia" w:hAnsi="宋体" w:eastAsia="宋体"/>
                <w:sz w:val="24"/>
                <w:szCs w:val="24"/>
                <w:lang w:eastAsia="zh-CN"/>
              </w:rPr>
            </w:pPr>
            <w:r>
              <w:rPr>
                <w:rFonts w:hint="eastAsia" w:hAnsi="宋体"/>
                <w:sz w:val="24"/>
                <w:szCs w:val="24"/>
              </w:rPr>
              <w:t>1</w:t>
            </w:r>
            <w:r>
              <w:rPr>
                <w:rFonts w:hint="eastAsia" w:hAnsi="宋体"/>
                <w:sz w:val="24"/>
                <w:szCs w:val="24"/>
                <w:lang w:val="en-US" w:eastAsia="zh-CN"/>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b/>
                <w:color w:val="000000" w:themeColor="text1"/>
                <w:kern w:val="0"/>
                <w:sz w:val="24"/>
              </w:rPr>
              <w:t>投标文件质量</w:t>
            </w:r>
          </w:p>
        </w:tc>
        <w:tc>
          <w:tcPr>
            <w:tcW w:w="706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宋体"/>
                <w:kern w:val="0"/>
                <w:sz w:val="24"/>
                <w:szCs w:val="20"/>
              </w:rPr>
            </w:pPr>
            <w:r>
              <w:rPr>
                <w:rFonts w:ascii="宋体" w:hAnsi="宋体" w:cs="宋体"/>
                <w:kern w:val="0"/>
                <w:sz w:val="24"/>
                <w:szCs w:val="20"/>
              </w:rPr>
              <w:t>（1）供应商所提供的</w:t>
            </w:r>
            <w:r>
              <w:rPr>
                <w:rFonts w:hint="eastAsia" w:ascii="宋体" w:hAnsi="宋体" w:cs="宋体"/>
                <w:kern w:val="0"/>
                <w:sz w:val="24"/>
                <w:szCs w:val="20"/>
              </w:rPr>
              <w:t>投标</w:t>
            </w:r>
            <w:r>
              <w:rPr>
                <w:rFonts w:ascii="宋体" w:hAnsi="宋体" w:cs="宋体"/>
                <w:kern w:val="0"/>
                <w:sz w:val="24"/>
                <w:szCs w:val="20"/>
              </w:rPr>
              <w:t>文件按招标文件要求编制完整、不缺项的得1分，不齐全的不得分；（0-</w:t>
            </w:r>
            <w:r>
              <w:rPr>
                <w:rFonts w:hint="eastAsia" w:ascii="宋体" w:hAnsi="宋体" w:cs="宋体"/>
                <w:kern w:val="0"/>
                <w:sz w:val="24"/>
                <w:szCs w:val="20"/>
              </w:rPr>
              <w:t>0.5</w:t>
            </w:r>
            <w:r>
              <w:rPr>
                <w:rFonts w:ascii="宋体" w:hAnsi="宋体" w:cs="宋体"/>
                <w:kern w:val="0"/>
                <w:sz w:val="24"/>
                <w:szCs w:val="20"/>
              </w:rPr>
              <w:t>分）</w:t>
            </w:r>
          </w:p>
          <w:p>
            <w:pPr>
              <w:tabs>
                <w:tab w:val="left" w:pos="1080"/>
              </w:tabs>
              <w:rPr>
                <w:rFonts w:ascii="宋体" w:hAnsi="宋体" w:cs="宋体"/>
                <w:sz w:val="24"/>
              </w:rPr>
            </w:pPr>
            <w:r>
              <w:rPr>
                <w:rFonts w:ascii="宋体" w:hAnsi="宋体" w:cs="宋体"/>
                <w:kern w:val="0"/>
                <w:sz w:val="24"/>
                <w:szCs w:val="20"/>
              </w:rPr>
              <w:t>（2）供应商</w:t>
            </w:r>
            <w:r>
              <w:rPr>
                <w:rFonts w:hint="eastAsia" w:ascii="宋体" w:hAnsi="宋体" w:cs="宋体"/>
                <w:kern w:val="0"/>
                <w:sz w:val="24"/>
                <w:szCs w:val="20"/>
              </w:rPr>
              <w:t>投标</w:t>
            </w:r>
            <w:r>
              <w:rPr>
                <w:rFonts w:ascii="宋体" w:hAnsi="宋体" w:cs="宋体"/>
                <w:kern w:val="0"/>
                <w:sz w:val="24"/>
                <w:szCs w:val="20"/>
              </w:rPr>
              <w:t>文件</w:t>
            </w:r>
            <w:r>
              <w:rPr>
                <w:rFonts w:hint="eastAsia" w:ascii="宋体" w:hAnsi="宋体" w:cs="宋体"/>
                <w:kern w:val="0"/>
                <w:sz w:val="24"/>
                <w:szCs w:val="20"/>
              </w:rPr>
              <w:t>关联点正确</w:t>
            </w:r>
            <w:r>
              <w:rPr>
                <w:rFonts w:ascii="宋体" w:hAnsi="宋体" w:cs="宋体"/>
                <w:kern w:val="0"/>
                <w:sz w:val="24"/>
                <w:szCs w:val="20"/>
              </w:rPr>
              <w:t>、每份涉及证明性质的资料</w:t>
            </w:r>
            <w:r>
              <w:rPr>
                <w:rFonts w:hint="eastAsia" w:ascii="宋体" w:hAnsi="宋体" w:cs="宋体"/>
                <w:kern w:val="0"/>
                <w:sz w:val="24"/>
                <w:szCs w:val="20"/>
              </w:rPr>
              <w:t>清晰，</w:t>
            </w:r>
            <w:r>
              <w:rPr>
                <w:rFonts w:ascii="宋体" w:hAnsi="宋体" w:cs="宋体"/>
                <w:kern w:val="0"/>
                <w:sz w:val="24"/>
                <w:szCs w:val="20"/>
              </w:rPr>
              <w:t>得</w:t>
            </w:r>
            <w:r>
              <w:rPr>
                <w:rFonts w:hint="eastAsia" w:ascii="宋体" w:hAnsi="宋体" w:cs="宋体"/>
                <w:kern w:val="0"/>
                <w:sz w:val="24"/>
                <w:szCs w:val="20"/>
              </w:rPr>
              <w:t>0.5</w:t>
            </w:r>
            <w:r>
              <w:rPr>
                <w:rFonts w:ascii="宋体" w:hAnsi="宋体" w:cs="宋体"/>
                <w:kern w:val="0"/>
                <w:sz w:val="24"/>
                <w:szCs w:val="20"/>
              </w:rPr>
              <w:t>分。（0-</w:t>
            </w:r>
            <w:r>
              <w:rPr>
                <w:rFonts w:hint="eastAsia" w:ascii="宋体" w:hAnsi="宋体" w:cs="宋体"/>
                <w:kern w:val="0"/>
                <w:sz w:val="24"/>
                <w:szCs w:val="20"/>
              </w:rPr>
              <w:t>0.5</w:t>
            </w:r>
            <w:r>
              <w:rPr>
                <w:rFonts w:ascii="宋体" w:hAnsi="宋体" w:cs="宋体"/>
                <w:kern w:val="0"/>
                <w:sz w:val="24"/>
                <w:szCs w:val="20"/>
              </w:rPr>
              <w:t>分）</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olor w:val="000000" w:themeColor="text1"/>
                <w:kern w:val="0"/>
                <w:sz w:val="24"/>
              </w:rPr>
              <w:t>0-1</w:t>
            </w:r>
            <w:r>
              <w:rPr>
                <w:rFonts w:hint="eastAsia" w:hAnsi="宋体"/>
                <w:sz w:val="24"/>
              </w:rPr>
              <w:t>分</w:t>
            </w:r>
          </w:p>
        </w:tc>
      </w:tr>
    </w:tbl>
    <w:p>
      <w:pPr>
        <w:rPr>
          <w:rFonts w:ascii="宋体" w:hAnsi="宋体" w:cs="宋体"/>
          <w:sz w:val="24"/>
        </w:rPr>
      </w:pPr>
    </w:p>
    <w:p>
      <w:pPr>
        <w:pStyle w:val="21"/>
        <w:ind w:firstLine="280"/>
      </w:pPr>
    </w:p>
    <w:p>
      <w:pPr>
        <w:rPr>
          <w:rFonts w:ascii="宋体" w:hAnsi="宋体" w:cs="宋体"/>
          <w:sz w:val="24"/>
        </w:rPr>
      </w:pPr>
    </w:p>
    <w:p>
      <w:pPr>
        <w:pStyle w:val="27"/>
        <w:spacing w:before="120" w:line="360" w:lineRule="auto"/>
        <w:rPr>
          <w:rFonts w:eastAsia="仿宋"/>
          <w:b/>
          <w:sz w:val="44"/>
          <w:szCs w:val="44"/>
        </w:rPr>
      </w:pPr>
      <w:bookmarkStart w:id="23" w:name="_Toc11931"/>
    </w:p>
    <w:p>
      <w:pPr>
        <w:pStyle w:val="27"/>
        <w:spacing w:before="120" w:line="360" w:lineRule="auto"/>
        <w:rPr>
          <w:rFonts w:eastAsia="仿宋"/>
          <w:b/>
          <w:sz w:val="44"/>
          <w:szCs w:val="44"/>
        </w:rPr>
      </w:pPr>
    </w:p>
    <w:p>
      <w:pPr>
        <w:pStyle w:val="27"/>
        <w:spacing w:before="120" w:line="360" w:lineRule="auto"/>
        <w:jc w:val="center"/>
        <w:rPr>
          <w:rFonts w:eastAsia="仿宋"/>
          <w:b/>
          <w:sz w:val="44"/>
          <w:szCs w:val="44"/>
        </w:rPr>
      </w:pPr>
      <w:r>
        <w:rPr>
          <w:rFonts w:hint="eastAsia" w:eastAsia="仿宋"/>
          <w:b/>
          <w:sz w:val="44"/>
          <w:szCs w:val="44"/>
        </w:rPr>
        <w:t>第五章  合同主要条款</w:t>
      </w:r>
    </w:p>
    <w:p>
      <w:pPr>
        <w:spacing w:line="400" w:lineRule="exact"/>
        <w:jc w:val="center"/>
        <w:rPr>
          <w:rFonts w:ascii="宋体" w:hAnsi="宋体" w:cs="宋体"/>
          <w:sz w:val="24"/>
        </w:rPr>
      </w:pPr>
      <w:r>
        <w:rPr>
          <w:rFonts w:hint="eastAsia" w:ascii="宋体" w:hAnsi="宋体" w:cs="宋体"/>
          <w:sz w:val="24"/>
        </w:rPr>
        <w:t>（本合同仅供参考）</w:t>
      </w:r>
    </w:p>
    <w:p>
      <w:pPr>
        <w:spacing w:line="360" w:lineRule="auto"/>
        <w:jc w:val="center"/>
        <w:rPr>
          <w:rFonts w:ascii="仿宋" w:hAnsi="仿宋" w:eastAsia="仿宋"/>
          <w:b/>
          <w:bCs/>
          <w:spacing w:val="-20"/>
          <w:szCs w:val="28"/>
        </w:rPr>
      </w:pPr>
      <w:r>
        <w:rPr>
          <w:rFonts w:hint="eastAsia" w:ascii="仿宋" w:hAnsi="仿宋" w:eastAsia="仿宋"/>
          <w:b/>
          <w:bCs/>
          <w:spacing w:val="-20"/>
          <w:szCs w:val="28"/>
        </w:rPr>
        <w:t xml:space="preserve">招标文件编号: ZJJY2021-114     </w:t>
      </w:r>
    </w:p>
    <w:p>
      <w:pPr>
        <w:pStyle w:val="21"/>
        <w:ind w:firstLine="280"/>
      </w:pPr>
    </w:p>
    <w:p>
      <w:pPr>
        <w:spacing w:line="440" w:lineRule="exact"/>
        <w:ind w:firstLine="560" w:firstLineChars="200"/>
        <w:rPr>
          <w:rFonts w:ascii="仿宋" w:hAnsi="仿宋" w:eastAsia="仿宋"/>
          <w:szCs w:val="28"/>
        </w:rPr>
      </w:pPr>
      <w:r>
        <w:rPr>
          <w:rFonts w:hint="eastAsia" w:ascii="仿宋" w:hAnsi="仿宋" w:eastAsia="仿宋"/>
          <w:szCs w:val="28"/>
        </w:rPr>
        <w:t xml:space="preserve">项目名称： </w:t>
      </w:r>
    </w:p>
    <w:p>
      <w:pPr>
        <w:spacing w:line="440" w:lineRule="exact"/>
        <w:ind w:firstLine="560" w:firstLineChars="200"/>
        <w:rPr>
          <w:rFonts w:ascii="仿宋" w:hAnsi="仿宋" w:eastAsia="仿宋"/>
          <w:szCs w:val="28"/>
        </w:rPr>
      </w:pPr>
      <w:r>
        <w:rPr>
          <w:rFonts w:hint="eastAsia" w:ascii="仿宋" w:hAnsi="仿宋" w:eastAsia="仿宋"/>
          <w:szCs w:val="28"/>
        </w:rPr>
        <w:t>甲方：</w:t>
      </w:r>
    </w:p>
    <w:p>
      <w:pPr>
        <w:spacing w:line="440" w:lineRule="exact"/>
        <w:ind w:firstLine="560" w:firstLineChars="200"/>
        <w:rPr>
          <w:rFonts w:ascii="仿宋" w:hAnsi="仿宋" w:eastAsia="仿宋"/>
          <w:szCs w:val="28"/>
        </w:rPr>
      </w:pPr>
      <w:r>
        <w:rPr>
          <w:rFonts w:hint="eastAsia" w:ascii="仿宋" w:hAnsi="仿宋" w:eastAsia="仿宋"/>
          <w:szCs w:val="28"/>
        </w:rPr>
        <w:t>乙方：</w:t>
      </w:r>
    </w:p>
    <w:p>
      <w:pPr>
        <w:spacing w:line="440" w:lineRule="exact"/>
        <w:ind w:firstLine="560" w:firstLineChars="200"/>
        <w:rPr>
          <w:rFonts w:ascii="仿宋" w:hAnsi="仿宋" w:eastAsia="仿宋"/>
          <w:szCs w:val="28"/>
        </w:rPr>
      </w:pPr>
      <w:r>
        <w:rPr>
          <w:rFonts w:hint="eastAsia" w:ascii="仿宋" w:hAnsi="仿宋" w:eastAsia="仿宋"/>
          <w:szCs w:val="28"/>
        </w:rPr>
        <w:t>甲乙双方根据浙江金业管理咨询有限公司关于           招标的结果，签署本合同。</w:t>
      </w:r>
    </w:p>
    <w:p>
      <w:pPr>
        <w:spacing w:line="360" w:lineRule="auto"/>
        <w:rPr>
          <w:rFonts w:ascii="仿宋" w:hAnsi="仿宋" w:eastAsia="仿宋"/>
          <w:b/>
          <w:bCs/>
          <w:szCs w:val="28"/>
        </w:rPr>
      </w:pPr>
      <w:r>
        <w:rPr>
          <w:rFonts w:hint="eastAsia" w:ascii="仿宋" w:hAnsi="仿宋" w:eastAsia="仿宋"/>
          <w:b/>
          <w:bCs/>
          <w:szCs w:val="28"/>
        </w:rPr>
        <w:t>1.定义</w:t>
      </w:r>
    </w:p>
    <w:p>
      <w:pPr>
        <w:spacing w:line="360" w:lineRule="auto"/>
        <w:ind w:firstLine="560" w:firstLineChars="200"/>
        <w:rPr>
          <w:rFonts w:ascii="仿宋" w:hAnsi="仿宋" w:eastAsia="仿宋"/>
          <w:szCs w:val="28"/>
        </w:rPr>
      </w:pPr>
      <w:r>
        <w:rPr>
          <w:rFonts w:hint="eastAsia" w:ascii="仿宋" w:hAnsi="仿宋" w:eastAsia="仿宋"/>
          <w:szCs w:val="28"/>
        </w:rPr>
        <w:t>本合同中的下列术语应解释为：</w:t>
      </w:r>
    </w:p>
    <w:p>
      <w:pPr>
        <w:spacing w:line="440" w:lineRule="exact"/>
        <w:ind w:firstLine="560" w:firstLineChars="200"/>
        <w:rPr>
          <w:rFonts w:ascii="仿宋" w:hAnsi="仿宋" w:eastAsia="仿宋"/>
          <w:szCs w:val="28"/>
        </w:rPr>
      </w:pPr>
      <w:r>
        <w:rPr>
          <w:rFonts w:hint="eastAsia" w:ascii="仿宋" w:hAnsi="仿宋" w:eastAsia="仿宋"/>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szCs w:val="28"/>
        </w:rPr>
      </w:pPr>
      <w:r>
        <w:rPr>
          <w:rFonts w:hint="eastAsia" w:ascii="仿宋" w:hAnsi="仿宋" w:eastAsia="仿宋"/>
          <w:szCs w:val="28"/>
        </w:rPr>
        <w:t>1.2“合同价”系指根据合同规定，采购人在供应商完全履行合同义务后应付给的价格；</w:t>
      </w:r>
    </w:p>
    <w:p>
      <w:pPr>
        <w:spacing w:line="440" w:lineRule="exact"/>
        <w:ind w:firstLine="560" w:firstLineChars="200"/>
        <w:rPr>
          <w:rFonts w:ascii="仿宋" w:hAnsi="仿宋" w:eastAsia="仿宋"/>
          <w:szCs w:val="28"/>
        </w:rPr>
      </w:pPr>
      <w:r>
        <w:rPr>
          <w:rFonts w:hint="eastAsia" w:ascii="仿宋" w:hAnsi="仿宋" w:eastAsia="仿宋"/>
          <w:szCs w:val="28"/>
        </w:rPr>
        <w:t>1.3“货物”系指供应商根据合同规定向采购人提供的一切货物、质量保证书和其他技术资料及技术参数；</w:t>
      </w:r>
    </w:p>
    <w:p>
      <w:pPr>
        <w:spacing w:line="440" w:lineRule="exact"/>
        <w:ind w:firstLine="560" w:firstLineChars="200"/>
        <w:rPr>
          <w:rFonts w:ascii="仿宋" w:hAnsi="仿宋" w:eastAsia="仿宋"/>
          <w:szCs w:val="28"/>
        </w:rPr>
      </w:pPr>
      <w:r>
        <w:rPr>
          <w:rFonts w:hint="eastAsia" w:ascii="仿宋" w:hAnsi="仿宋" w:eastAsia="仿宋"/>
          <w:szCs w:val="28"/>
        </w:rPr>
        <w:t>1.4“服务”系指根据合同规定供应商承担与供货有关的辅助服务，如运输、装卸、安装、保险以及其他的服务，例如安装、调试提供技术援助、培训和其他类似的义务；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szCs w:val="28"/>
        </w:rPr>
      </w:pPr>
      <w:r>
        <w:rPr>
          <w:rFonts w:hint="eastAsia" w:ascii="仿宋" w:hAnsi="仿宋" w:eastAsia="仿宋"/>
          <w:szCs w:val="28"/>
        </w:rPr>
        <w:t>1.5“采购人”系指</w:t>
      </w:r>
      <w:r>
        <w:rPr>
          <w:rFonts w:hint="eastAsia" w:ascii="仿宋" w:hAnsi="仿宋" w:eastAsia="仿宋"/>
          <w:bCs/>
          <w:szCs w:val="28"/>
        </w:rPr>
        <w:t>具体使用货物和接受服务的使用单位；</w:t>
      </w:r>
    </w:p>
    <w:p>
      <w:pPr>
        <w:spacing w:line="440" w:lineRule="exact"/>
        <w:ind w:firstLine="560" w:firstLineChars="200"/>
        <w:rPr>
          <w:rFonts w:ascii="仿宋" w:hAnsi="仿宋" w:eastAsia="仿宋"/>
          <w:szCs w:val="28"/>
        </w:rPr>
      </w:pPr>
      <w:r>
        <w:rPr>
          <w:rFonts w:hint="eastAsia" w:ascii="仿宋" w:hAnsi="仿宋" w:eastAsia="仿宋"/>
          <w:szCs w:val="28"/>
        </w:rPr>
        <w:t>1.6“供应商”系指根据合同规定提供采购项目货物和服务的具有法人资格的公司、企业或实体；</w:t>
      </w:r>
    </w:p>
    <w:p>
      <w:pPr>
        <w:spacing w:line="440" w:lineRule="exact"/>
        <w:ind w:firstLine="560" w:firstLineChars="200"/>
        <w:rPr>
          <w:rFonts w:ascii="仿宋" w:hAnsi="仿宋" w:eastAsia="仿宋"/>
          <w:szCs w:val="28"/>
        </w:rPr>
      </w:pPr>
      <w:r>
        <w:rPr>
          <w:rFonts w:hint="eastAsia" w:ascii="仿宋" w:hAnsi="仿宋" w:eastAsia="仿宋"/>
          <w:szCs w:val="28"/>
        </w:rPr>
        <w:t>1.7“财政审批编号”系指市财政局审批编号。</w:t>
      </w:r>
    </w:p>
    <w:p>
      <w:pPr>
        <w:spacing w:line="440" w:lineRule="exact"/>
        <w:rPr>
          <w:rFonts w:ascii="仿宋" w:hAnsi="仿宋" w:eastAsia="仿宋"/>
          <w:b/>
          <w:bCs/>
          <w:szCs w:val="28"/>
        </w:rPr>
      </w:pPr>
      <w:r>
        <w:rPr>
          <w:rFonts w:hint="eastAsia" w:ascii="仿宋" w:hAnsi="仿宋" w:eastAsia="仿宋"/>
          <w:b/>
          <w:bCs/>
          <w:szCs w:val="28"/>
        </w:rPr>
        <w:t>2.合同项目与内容</w:t>
      </w:r>
    </w:p>
    <w:p>
      <w:pPr>
        <w:spacing w:line="440" w:lineRule="exact"/>
        <w:ind w:firstLine="560" w:firstLineChars="200"/>
        <w:rPr>
          <w:rFonts w:ascii="仿宋" w:hAnsi="仿宋" w:eastAsia="仿宋"/>
          <w:bCs/>
          <w:szCs w:val="28"/>
        </w:rPr>
      </w:pPr>
      <w:r>
        <w:rPr>
          <w:rFonts w:hint="eastAsia" w:ascii="仿宋" w:hAnsi="仿宋" w:eastAsia="仿宋"/>
          <w:bCs/>
          <w:szCs w:val="28"/>
        </w:rPr>
        <w:t>合同总价                  (Y: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392"/>
        <w:gridCol w:w="1392"/>
        <w:gridCol w:w="1393"/>
        <w:gridCol w:w="1393"/>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pacing w:line="440" w:lineRule="exact"/>
              <w:jc w:val="center"/>
              <w:rPr>
                <w:rFonts w:ascii="仿宋" w:hAnsi="仿宋" w:eastAsia="仿宋"/>
                <w:bCs/>
                <w:szCs w:val="28"/>
              </w:rPr>
            </w:pPr>
            <w:r>
              <w:rPr>
                <w:rFonts w:hint="eastAsia" w:ascii="仿宋" w:hAnsi="仿宋" w:eastAsia="仿宋"/>
                <w:bCs/>
                <w:szCs w:val="28"/>
              </w:rPr>
              <w:t>序号</w:t>
            </w:r>
          </w:p>
        </w:tc>
        <w:tc>
          <w:tcPr>
            <w:tcW w:w="1392" w:type="dxa"/>
          </w:tcPr>
          <w:p>
            <w:pPr>
              <w:spacing w:line="440" w:lineRule="exact"/>
              <w:jc w:val="center"/>
              <w:rPr>
                <w:rFonts w:ascii="仿宋" w:hAnsi="仿宋" w:eastAsia="仿宋"/>
                <w:bCs/>
                <w:szCs w:val="28"/>
              </w:rPr>
            </w:pPr>
            <w:r>
              <w:rPr>
                <w:rFonts w:hint="eastAsia" w:ascii="仿宋" w:hAnsi="仿宋" w:eastAsia="仿宋"/>
                <w:bCs/>
                <w:szCs w:val="28"/>
              </w:rPr>
              <w:t>名称</w:t>
            </w:r>
          </w:p>
        </w:tc>
        <w:tc>
          <w:tcPr>
            <w:tcW w:w="1392" w:type="dxa"/>
          </w:tcPr>
          <w:p>
            <w:pPr>
              <w:spacing w:line="440" w:lineRule="exact"/>
              <w:jc w:val="center"/>
              <w:rPr>
                <w:rFonts w:ascii="仿宋" w:hAnsi="仿宋" w:eastAsia="仿宋"/>
                <w:bCs/>
                <w:szCs w:val="28"/>
              </w:rPr>
            </w:pPr>
            <w:r>
              <w:rPr>
                <w:rFonts w:hint="eastAsia" w:ascii="仿宋" w:hAnsi="仿宋" w:eastAsia="仿宋"/>
                <w:bCs/>
                <w:szCs w:val="28"/>
              </w:rPr>
              <w:t>单位</w:t>
            </w:r>
          </w:p>
        </w:tc>
        <w:tc>
          <w:tcPr>
            <w:tcW w:w="1393" w:type="dxa"/>
          </w:tcPr>
          <w:p>
            <w:pPr>
              <w:spacing w:line="440" w:lineRule="exact"/>
              <w:jc w:val="center"/>
              <w:rPr>
                <w:rFonts w:ascii="仿宋" w:hAnsi="仿宋" w:eastAsia="仿宋"/>
                <w:bCs/>
                <w:szCs w:val="28"/>
              </w:rPr>
            </w:pPr>
            <w:r>
              <w:rPr>
                <w:rFonts w:hint="eastAsia" w:ascii="仿宋" w:hAnsi="仿宋" w:eastAsia="仿宋"/>
                <w:bCs/>
                <w:szCs w:val="28"/>
              </w:rPr>
              <w:t>数量</w:t>
            </w:r>
          </w:p>
        </w:tc>
        <w:tc>
          <w:tcPr>
            <w:tcW w:w="1393" w:type="dxa"/>
          </w:tcPr>
          <w:p>
            <w:pPr>
              <w:spacing w:line="440" w:lineRule="exact"/>
              <w:jc w:val="center"/>
              <w:rPr>
                <w:rFonts w:ascii="仿宋" w:hAnsi="仿宋" w:eastAsia="仿宋"/>
                <w:bCs/>
                <w:szCs w:val="28"/>
              </w:rPr>
            </w:pPr>
            <w:r>
              <w:rPr>
                <w:rFonts w:hint="eastAsia" w:ascii="仿宋" w:hAnsi="仿宋" w:eastAsia="仿宋"/>
                <w:bCs/>
                <w:szCs w:val="28"/>
              </w:rPr>
              <w:t>单价（元）</w:t>
            </w:r>
          </w:p>
        </w:tc>
        <w:tc>
          <w:tcPr>
            <w:tcW w:w="1393" w:type="dxa"/>
          </w:tcPr>
          <w:p>
            <w:pPr>
              <w:spacing w:line="440" w:lineRule="exact"/>
              <w:jc w:val="center"/>
              <w:rPr>
                <w:rFonts w:ascii="仿宋" w:hAnsi="仿宋" w:eastAsia="仿宋"/>
                <w:bCs/>
                <w:szCs w:val="28"/>
              </w:rPr>
            </w:pPr>
            <w:r>
              <w:rPr>
                <w:rFonts w:hint="eastAsia" w:ascii="仿宋" w:hAnsi="仿宋" w:eastAsia="仿宋"/>
                <w:bCs/>
                <w:szCs w:val="28"/>
              </w:rPr>
              <w:t>总价（元）</w:t>
            </w:r>
          </w:p>
        </w:tc>
        <w:tc>
          <w:tcPr>
            <w:tcW w:w="1393" w:type="dxa"/>
          </w:tcPr>
          <w:p>
            <w:pPr>
              <w:spacing w:line="440" w:lineRule="exact"/>
              <w:jc w:val="center"/>
              <w:rPr>
                <w:rFonts w:ascii="仿宋" w:hAnsi="仿宋" w:eastAsia="仿宋"/>
                <w:bCs/>
                <w:szCs w:val="28"/>
              </w:rPr>
            </w:pPr>
            <w:r>
              <w:rPr>
                <w:rFonts w:hint="eastAsia" w:ascii="仿宋" w:hAnsi="仿宋" w:eastAsia="仿宋"/>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pacing w:line="440" w:lineRule="exact"/>
              <w:ind w:firstLine="560" w:firstLineChars="200"/>
              <w:rPr>
                <w:rFonts w:ascii="仿宋" w:hAnsi="仿宋" w:eastAsia="仿宋"/>
                <w:bCs/>
                <w:szCs w:val="28"/>
              </w:rPr>
            </w:pPr>
          </w:p>
        </w:tc>
        <w:tc>
          <w:tcPr>
            <w:tcW w:w="1392" w:type="dxa"/>
          </w:tcPr>
          <w:p>
            <w:pPr>
              <w:spacing w:line="440" w:lineRule="exact"/>
              <w:ind w:firstLine="560" w:firstLineChars="200"/>
              <w:rPr>
                <w:rFonts w:ascii="仿宋" w:hAnsi="仿宋" w:eastAsia="仿宋"/>
                <w:bCs/>
                <w:szCs w:val="28"/>
              </w:rPr>
            </w:pPr>
          </w:p>
        </w:tc>
        <w:tc>
          <w:tcPr>
            <w:tcW w:w="1392" w:type="dxa"/>
          </w:tcPr>
          <w:p>
            <w:pPr>
              <w:spacing w:line="440" w:lineRule="exact"/>
              <w:ind w:firstLine="560" w:firstLineChars="200"/>
              <w:rPr>
                <w:rFonts w:ascii="仿宋" w:hAnsi="仿宋" w:eastAsia="仿宋"/>
                <w:bCs/>
                <w:szCs w:val="28"/>
              </w:rPr>
            </w:pPr>
          </w:p>
        </w:tc>
        <w:tc>
          <w:tcPr>
            <w:tcW w:w="1393" w:type="dxa"/>
          </w:tcPr>
          <w:p>
            <w:pPr>
              <w:spacing w:line="440" w:lineRule="exact"/>
              <w:ind w:firstLine="560" w:firstLineChars="200"/>
              <w:rPr>
                <w:rFonts w:ascii="仿宋" w:hAnsi="仿宋" w:eastAsia="仿宋"/>
                <w:bCs/>
                <w:szCs w:val="28"/>
              </w:rPr>
            </w:pPr>
          </w:p>
        </w:tc>
        <w:tc>
          <w:tcPr>
            <w:tcW w:w="1393" w:type="dxa"/>
          </w:tcPr>
          <w:p>
            <w:pPr>
              <w:spacing w:line="440" w:lineRule="exact"/>
              <w:ind w:firstLine="560" w:firstLineChars="200"/>
              <w:rPr>
                <w:rFonts w:ascii="仿宋" w:hAnsi="仿宋" w:eastAsia="仿宋"/>
                <w:bCs/>
                <w:szCs w:val="28"/>
              </w:rPr>
            </w:pPr>
          </w:p>
        </w:tc>
        <w:tc>
          <w:tcPr>
            <w:tcW w:w="1393" w:type="dxa"/>
          </w:tcPr>
          <w:p>
            <w:pPr>
              <w:spacing w:line="440" w:lineRule="exact"/>
              <w:ind w:firstLine="560" w:firstLineChars="200"/>
              <w:rPr>
                <w:rFonts w:ascii="仿宋" w:hAnsi="仿宋" w:eastAsia="仿宋"/>
                <w:bCs/>
                <w:szCs w:val="28"/>
              </w:rPr>
            </w:pPr>
          </w:p>
        </w:tc>
        <w:tc>
          <w:tcPr>
            <w:tcW w:w="1393" w:type="dxa"/>
          </w:tcPr>
          <w:p>
            <w:pPr>
              <w:spacing w:line="440" w:lineRule="exact"/>
              <w:ind w:firstLine="560" w:firstLineChars="200"/>
              <w:rPr>
                <w:rFonts w:ascii="仿宋" w:hAnsi="仿宋" w:eastAsia="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pacing w:line="440" w:lineRule="exact"/>
              <w:ind w:firstLine="560" w:firstLineChars="200"/>
              <w:rPr>
                <w:rFonts w:ascii="仿宋" w:hAnsi="仿宋" w:eastAsia="仿宋"/>
                <w:bCs/>
                <w:szCs w:val="28"/>
              </w:rPr>
            </w:pPr>
          </w:p>
        </w:tc>
        <w:tc>
          <w:tcPr>
            <w:tcW w:w="1392" w:type="dxa"/>
          </w:tcPr>
          <w:p>
            <w:pPr>
              <w:spacing w:line="440" w:lineRule="exact"/>
              <w:ind w:firstLine="560" w:firstLineChars="200"/>
              <w:rPr>
                <w:rFonts w:ascii="仿宋" w:hAnsi="仿宋" w:eastAsia="仿宋"/>
                <w:bCs/>
                <w:szCs w:val="28"/>
              </w:rPr>
            </w:pPr>
          </w:p>
        </w:tc>
        <w:tc>
          <w:tcPr>
            <w:tcW w:w="1392" w:type="dxa"/>
          </w:tcPr>
          <w:p>
            <w:pPr>
              <w:spacing w:line="440" w:lineRule="exact"/>
              <w:ind w:firstLine="560" w:firstLineChars="200"/>
              <w:rPr>
                <w:rFonts w:ascii="仿宋" w:hAnsi="仿宋" w:eastAsia="仿宋"/>
                <w:bCs/>
                <w:szCs w:val="28"/>
              </w:rPr>
            </w:pPr>
          </w:p>
        </w:tc>
        <w:tc>
          <w:tcPr>
            <w:tcW w:w="1393" w:type="dxa"/>
          </w:tcPr>
          <w:p>
            <w:pPr>
              <w:spacing w:line="440" w:lineRule="exact"/>
              <w:ind w:firstLine="560" w:firstLineChars="200"/>
              <w:rPr>
                <w:rFonts w:ascii="仿宋" w:hAnsi="仿宋" w:eastAsia="仿宋"/>
                <w:bCs/>
                <w:szCs w:val="28"/>
              </w:rPr>
            </w:pPr>
          </w:p>
        </w:tc>
        <w:tc>
          <w:tcPr>
            <w:tcW w:w="1393" w:type="dxa"/>
          </w:tcPr>
          <w:p>
            <w:pPr>
              <w:spacing w:line="440" w:lineRule="exact"/>
              <w:ind w:firstLine="560" w:firstLineChars="200"/>
              <w:rPr>
                <w:rFonts w:ascii="仿宋" w:hAnsi="仿宋" w:eastAsia="仿宋"/>
                <w:bCs/>
                <w:szCs w:val="28"/>
              </w:rPr>
            </w:pPr>
          </w:p>
        </w:tc>
        <w:tc>
          <w:tcPr>
            <w:tcW w:w="1393" w:type="dxa"/>
          </w:tcPr>
          <w:p>
            <w:pPr>
              <w:spacing w:line="440" w:lineRule="exact"/>
              <w:ind w:firstLine="560" w:firstLineChars="200"/>
              <w:rPr>
                <w:rFonts w:ascii="仿宋" w:hAnsi="仿宋" w:eastAsia="仿宋"/>
                <w:bCs/>
                <w:szCs w:val="28"/>
              </w:rPr>
            </w:pPr>
          </w:p>
        </w:tc>
        <w:tc>
          <w:tcPr>
            <w:tcW w:w="1393" w:type="dxa"/>
          </w:tcPr>
          <w:p>
            <w:pPr>
              <w:spacing w:line="440" w:lineRule="exact"/>
              <w:ind w:firstLine="560" w:firstLineChars="200"/>
              <w:rPr>
                <w:rFonts w:ascii="仿宋" w:hAnsi="仿宋" w:eastAsia="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8" w:type="dxa"/>
            <w:gridSpan w:val="7"/>
          </w:tcPr>
          <w:p>
            <w:pPr>
              <w:spacing w:line="440" w:lineRule="exact"/>
              <w:ind w:firstLine="560" w:firstLineChars="200"/>
              <w:rPr>
                <w:rFonts w:ascii="仿宋" w:hAnsi="仿宋" w:eastAsia="仿宋"/>
                <w:bCs/>
                <w:szCs w:val="28"/>
              </w:rPr>
            </w:pPr>
            <w:r>
              <w:rPr>
                <w:rFonts w:hint="eastAsia" w:ascii="仿宋" w:hAnsi="仿宋" w:eastAsia="仿宋"/>
                <w:bCs/>
                <w:szCs w:val="28"/>
              </w:rPr>
              <w:t>合计人民币（大写）</w:t>
            </w:r>
          </w:p>
        </w:tc>
      </w:tr>
    </w:tbl>
    <w:p>
      <w:pPr>
        <w:spacing w:line="440" w:lineRule="exact"/>
        <w:rPr>
          <w:rFonts w:ascii="仿宋" w:hAnsi="仿宋" w:eastAsia="仿宋"/>
          <w:b/>
          <w:bCs/>
          <w:szCs w:val="28"/>
        </w:rPr>
      </w:pPr>
      <w:r>
        <w:rPr>
          <w:rFonts w:hint="eastAsia" w:ascii="仿宋" w:hAnsi="仿宋" w:eastAsia="仿宋"/>
          <w:b/>
          <w:bCs/>
          <w:szCs w:val="28"/>
        </w:rPr>
        <w:t>3.服务时间与服务地点</w:t>
      </w:r>
    </w:p>
    <w:p>
      <w:pPr>
        <w:spacing w:line="360" w:lineRule="auto"/>
        <w:jc w:val="left"/>
        <w:outlineLvl w:val="0"/>
        <w:rPr>
          <w:rFonts w:ascii="宋体" w:hAnsi="宋体" w:cs="宋体"/>
          <w:sz w:val="24"/>
        </w:rPr>
      </w:pPr>
      <w:r>
        <w:rPr>
          <w:rFonts w:hint="eastAsia" w:ascii="仿宋" w:hAnsi="仿宋" w:eastAsia="仿宋"/>
          <w:szCs w:val="28"/>
        </w:rPr>
        <w:t>服务时间：详见招标文件要求</w:t>
      </w:r>
      <w:r>
        <w:rPr>
          <w:rFonts w:hint="eastAsia" w:ascii="宋体" w:hAnsi="宋体" w:cs="宋体"/>
          <w:sz w:val="24"/>
        </w:rPr>
        <w:t>；</w:t>
      </w:r>
    </w:p>
    <w:p>
      <w:pPr>
        <w:spacing w:line="360" w:lineRule="auto"/>
        <w:jc w:val="left"/>
        <w:outlineLvl w:val="0"/>
        <w:rPr>
          <w:rFonts w:ascii="仿宋" w:hAnsi="仿宋" w:eastAsia="仿宋"/>
          <w:szCs w:val="28"/>
        </w:rPr>
      </w:pPr>
      <w:r>
        <w:rPr>
          <w:rFonts w:hint="eastAsia" w:ascii="仿宋" w:hAnsi="仿宋" w:eastAsia="仿宋"/>
          <w:szCs w:val="28"/>
        </w:rPr>
        <w:t>服务地点：由采购单位指定。</w:t>
      </w:r>
    </w:p>
    <w:p>
      <w:pPr>
        <w:spacing w:line="440" w:lineRule="exact"/>
        <w:rPr>
          <w:rFonts w:ascii="仿宋" w:hAnsi="仿宋" w:eastAsia="仿宋"/>
          <w:b/>
          <w:bCs/>
          <w:szCs w:val="28"/>
        </w:rPr>
      </w:pPr>
      <w:r>
        <w:rPr>
          <w:rFonts w:hint="eastAsia" w:ascii="仿宋" w:hAnsi="仿宋" w:eastAsia="仿宋"/>
          <w:b/>
          <w:bCs/>
          <w:szCs w:val="28"/>
        </w:rPr>
        <w:t>4.签署合同的要求</w:t>
      </w:r>
    </w:p>
    <w:p>
      <w:pPr>
        <w:spacing w:line="440" w:lineRule="exact"/>
        <w:ind w:firstLine="560" w:firstLineChars="200"/>
        <w:rPr>
          <w:rFonts w:ascii="仿宋" w:hAnsi="仿宋" w:eastAsia="仿宋"/>
          <w:bCs/>
          <w:szCs w:val="28"/>
        </w:rPr>
      </w:pPr>
      <w:r>
        <w:rPr>
          <w:rFonts w:hint="eastAsia" w:ascii="仿宋" w:hAnsi="仿宋" w:eastAsia="仿宋"/>
          <w:bCs/>
          <w:szCs w:val="28"/>
        </w:rPr>
        <w:t>4.1、供应商必须按照投标文件和询标过程中承诺的条款以及中标通知书中规定的时间、地点与采购人签订合同；</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2</w:t>
      </w:r>
      <w:r>
        <w:rPr>
          <w:rFonts w:hint="eastAsia" w:ascii="仿宋" w:hAnsi="仿宋" w:eastAsia="仿宋"/>
          <w:bCs/>
          <w:szCs w:val="28"/>
        </w:rPr>
        <w:t>、所签订的合同内容不得对招标文件和供应商的投标文件作实质性修改；</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3</w:t>
      </w:r>
      <w:r>
        <w:rPr>
          <w:rFonts w:hint="eastAsia" w:ascii="仿宋" w:hAnsi="仿宋" w:eastAsia="仿宋"/>
          <w:bCs/>
          <w:szCs w:val="28"/>
        </w:rPr>
        <w:t>、采购人不得向供应商提出任何不合理的要求，作为签订合同的条件，不得与供应商私下订立背离合同实质性内容的协议；</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4</w:t>
      </w:r>
      <w:r>
        <w:rPr>
          <w:rFonts w:hint="eastAsia" w:ascii="仿宋" w:hAnsi="仿宋" w:eastAsia="仿宋"/>
          <w:bCs/>
          <w:szCs w:val="28"/>
        </w:rPr>
        <w:t>、自采购合同签订之日起 7个工作日内，将采购合同副本 2份送本项目招标代理机构、同级人民政府财政部门备案。</w:t>
      </w:r>
    </w:p>
    <w:p>
      <w:pPr>
        <w:spacing w:line="440" w:lineRule="exact"/>
        <w:rPr>
          <w:rFonts w:ascii="仿宋" w:hAnsi="仿宋" w:eastAsia="仿宋"/>
          <w:b/>
          <w:bCs/>
          <w:szCs w:val="28"/>
        </w:rPr>
      </w:pPr>
      <w:r>
        <w:rPr>
          <w:rFonts w:hint="eastAsia" w:ascii="仿宋" w:hAnsi="仿宋" w:eastAsia="仿宋"/>
          <w:b/>
          <w:bCs/>
          <w:szCs w:val="28"/>
        </w:rPr>
        <w:t>5.技术规范</w:t>
      </w:r>
    </w:p>
    <w:p>
      <w:pPr>
        <w:spacing w:line="440" w:lineRule="exact"/>
        <w:ind w:firstLine="560" w:firstLineChars="200"/>
        <w:rPr>
          <w:rFonts w:ascii="仿宋" w:hAnsi="仿宋" w:eastAsia="仿宋"/>
          <w:szCs w:val="28"/>
          <w:lang w:val="zh-CN"/>
        </w:rPr>
      </w:pPr>
      <w:r>
        <w:rPr>
          <w:rFonts w:hint="eastAsia" w:ascii="仿宋" w:hAnsi="仿宋" w:eastAsia="仿宋"/>
          <w:szCs w:val="28"/>
          <w:lang w:val="zh-CN"/>
        </w:rPr>
        <w:t>本合同执行国家及本省、市现行项目实施及验收规范及有关条例、实施办法等。</w:t>
      </w:r>
    </w:p>
    <w:p>
      <w:pPr>
        <w:spacing w:line="440" w:lineRule="exact"/>
        <w:ind w:firstLine="560" w:firstLineChars="200"/>
        <w:rPr>
          <w:rFonts w:ascii="仿宋" w:hAnsi="仿宋" w:eastAsia="仿宋"/>
          <w:szCs w:val="28"/>
        </w:rPr>
      </w:pPr>
      <w:r>
        <w:rPr>
          <w:rFonts w:hint="eastAsia" w:ascii="仿宋" w:hAnsi="仿宋" w:eastAsia="仿宋"/>
          <w:szCs w:val="28"/>
        </w:rPr>
        <w:t>提供和交付的服务技术规范应与招标文件规定的技术规范相一致。</w:t>
      </w:r>
    </w:p>
    <w:p>
      <w:pPr>
        <w:spacing w:line="440" w:lineRule="exact"/>
        <w:rPr>
          <w:rFonts w:ascii="仿宋" w:hAnsi="仿宋" w:eastAsia="仿宋"/>
          <w:b/>
          <w:bCs/>
          <w:szCs w:val="28"/>
        </w:rPr>
      </w:pPr>
      <w:r>
        <w:rPr>
          <w:rFonts w:hint="eastAsia" w:ascii="仿宋" w:hAnsi="仿宋" w:eastAsia="仿宋"/>
          <w:b/>
          <w:bCs/>
          <w:szCs w:val="28"/>
        </w:rPr>
        <w:t>6.知识产权</w:t>
      </w:r>
    </w:p>
    <w:p>
      <w:pPr>
        <w:spacing w:line="440" w:lineRule="exact"/>
        <w:ind w:firstLine="560" w:firstLineChars="200"/>
        <w:rPr>
          <w:rFonts w:ascii="仿宋" w:hAnsi="仿宋" w:eastAsia="仿宋"/>
          <w:szCs w:val="28"/>
        </w:rPr>
      </w:pPr>
      <w:r>
        <w:rPr>
          <w:rFonts w:hint="eastAsia" w:ascii="仿宋" w:hAnsi="仿宋" w:eastAsia="仿宋"/>
          <w:szCs w:val="28"/>
        </w:rPr>
        <w:t>供应商保证所提供的服务及货物均不存在知识产权纠纷。供应商应保证采购人在使用时不受第三方提出侵犯其专利权、商标权等知识产权的诉讼。</w:t>
      </w:r>
    </w:p>
    <w:p>
      <w:pPr>
        <w:spacing w:line="440" w:lineRule="exact"/>
        <w:rPr>
          <w:rFonts w:ascii="仿宋" w:hAnsi="仿宋" w:eastAsia="仿宋"/>
          <w:b/>
          <w:bCs/>
          <w:szCs w:val="28"/>
        </w:rPr>
      </w:pPr>
      <w:r>
        <w:rPr>
          <w:rFonts w:hint="eastAsia" w:ascii="仿宋" w:hAnsi="仿宋" w:eastAsia="仿宋"/>
          <w:b/>
          <w:bCs/>
          <w:szCs w:val="28"/>
        </w:rPr>
        <w:t>7.工作考核及付款方式</w:t>
      </w:r>
    </w:p>
    <w:p>
      <w:pPr>
        <w:spacing w:line="440" w:lineRule="exact"/>
        <w:ind w:firstLine="560" w:firstLineChars="200"/>
        <w:rPr>
          <w:rFonts w:ascii="仿宋" w:hAnsi="仿宋" w:eastAsia="仿宋"/>
          <w:szCs w:val="28"/>
        </w:rPr>
      </w:pPr>
      <w:r>
        <w:rPr>
          <w:rFonts w:hint="eastAsia" w:ascii="仿宋" w:hAnsi="仿宋" w:eastAsia="仿宋"/>
          <w:szCs w:val="28"/>
        </w:rPr>
        <w:t>7.1付款方式：</w:t>
      </w:r>
    </w:p>
    <w:p>
      <w:pPr>
        <w:spacing w:line="440" w:lineRule="exact"/>
        <w:ind w:firstLine="560" w:firstLineChars="200"/>
        <w:rPr>
          <w:rFonts w:hint="eastAsia" w:ascii="仿宋" w:hAnsi="仿宋" w:eastAsia="仿宋"/>
          <w:szCs w:val="28"/>
        </w:rPr>
      </w:pPr>
      <w:r>
        <w:rPr>
          <w:rFonts w:hint="eastAsia" w:ascii="仿宋" w:hAnsi="仿宋" w:eastAsia="仿宋"/>
          <w:szCs w:val="28"/>
        </w:rPr>
        <w:t>根据考核结果，在年终考核结束后</w:t>
      </w:r>
      <w:r>
        <w:rPr>
          <w:rFonts w:ascii="仿宋" w:hAnsi="仿宋" w:eastAsia="仿宋"/>
          <w:szCs w:val="28"/>
        </w:rPr>
        <w:t xml:space="preserve">15 </w:t>
      </w:r>
      <w:r>
        <w:rPr>
          <w:rFonts w:hint="eastAsia" w:ascii="仿宋" w:hAnsi="仿宋" w:eastAsia="仿宋"/>
          <w:szCs w:val="28"/>
        </w:rPr>
        <w:t>天内向管护单位付清。</w:t>
      </w:r>
    </w:p>
    <w:p>
      <w:pPr>
        <w:spacing w:line="440" w:lineRule="exact"/>
        <w:ind w:firstLine="560" w:firstLineChars="200"/>
        <w:rPr>
          <w:rFonts w:ascii="仿宋" w:hAnsi="仿宋" w:eastAsia="仿宋"/>
          <w:szCs w:val="28"/>
        </w:rPr>
      </w:pPr>
      <w:r>
        <w:rPr>
          <w:rFonts w:hint="eastAsia" w:ascii="仿宋" w:hAnsi="仿宋" w:eastAsia="仿宋"/>
          <w:szCs w:val="28"/>
        </w:rPr>
        <w:t>7.2结算方式：</w:t>
      </w:r>
    </w:p>
    <w:p>
      <w:pPr>
        <w:spacing w:line="440" w:lineRule="exact"/>
        <w:ind w:firstLine="560" w:firstLineChars="200"/>
        <w:rPr>
          <w:rFonts w:ascii="仿宋" w:hAnsi="仿宋" w:eastAsia="仿宋"/>
          <w:szCs w:val="28"/>
        </w:rPr>
      </w:pPr>
      <w:r>
        <w:rPr>
          <w:rFonts w:hint="eastAsia" w:ascii="仿宋" w:hAnsi="仿宋" w:eastAsia="仿宋"/>
          <w:szCs w:val="28"/>
        </w:rPr>
        <w:t>区里承担的管护经费，由区财政局与两大管护单位（城投集团、交投集团）结算；美丽乡村景观线属地镇（开发区）承担部分，按每个标段中标单位的</w:t>
      </w:r>
      <w:r>
        <w:rPr>
          <w:rFonts w:ascii="仿宋" w:hAnsi="仿宋" w:eastAsia="仿宋"/>
          <w:szCs w:val="28"/>
        </w:rPr>
        <w:t>中标价格进行结算</w:t>
      </w:r>
      <w:r>
        <w:rPr>
          <w:rFonts w:hint="eastAsia" w:ascii="仿宋" w:hAnsi="仿宋" w:eastAsia="仿宋"/>
          <w:szCs w:val="28"/>
        </w:rPr>
        <w:t>【按中标单价（元/㎡/年）×实际养护面积 -扣除的费用】</w:t>
      </w:r>
    </w:p>
    <w:p>
      <w:pPr>
        <w:spacing w:line="440" w:lineRule="exact"/>
        <w:ind w:firstLine="560" w:firstLineChars="200"/>
        <w:rPr>
          <w:rFonts w:ascii="仿宋" w:hAnsi="仿宋" w:eastAsia="仿宋"/>
          <w:szCs w:val="28"/>
        </w:rPr>
      </w:pPr>
      <w:r>
        <w:rPr>
          <w:rFonts w:hint="eastAsia" w:ascii="仿宋" w:hAnsi="仿宋" w:eastAsia="仿宋"/>
          <w:szCs w:val="28"/>
        </w:rPr>
        <w:t>7.3工作考核：</w:t>
      </w:r>
    </w:p>
    <w:p>
      <w:pPr>
        <w:spacing w:line="440" w:lineRule="exact"/>
        <w:ind w:firstLine="560" w:firstLineChars="200"/>
        <w:rPr>
          <w:rFonts w:ascii="仿宋" w:hAnsi="仿宋" w:eastAsia="仿宋"/>
          <w:szCs w:val="28"/>
        </w:rPr>
      </w:pPr>
      <w:r>
        <w:rPr>
          <w:rFonts w:hint="eastAsia" w:ascii="仿宋" w:hAnsi="仿宋" w:eastAsia="仿宋"/>
          <w:szCs w:val="28"/>
        </w:rPr>
        <w:t>1、管护内容：①绿化养护，景观线绿化带除草、病虫害防治、水肥管理、苗木补植等项目的管护；②环境卫生保洁, 绿化带环境卫生保洁，绿化带边坡清理；③设施维护, 绿道、平侧石、灯光设施、座椅、公交驿站、旅游驿站、旅游标识、停车场、 景观节点等设施管理维修（包括材料）；④排水系统日常维护， 明沟、暗沟、沟盖板、排水井等维护；（包括附属设施及材料）⑤其它绿化带范围内的建筑设施等。管护范围不包括主干路的路基、路面的养护。</w:t>
      </w:r>
    </w:p>
    <w:p>
      <w:pPr>
        <w:spacing w:line="440" w:lineRule="exact"/>
        <w:ind w:firstLine="560" w:firstLineChars="200"/>
        <w:rPr>
          <w:rFonts w:ascii="仿宋" w:hAnsi="仿宋" w:eastAsia="仿宋"/>
          <w:szCs w:val="28"/>
        </w:rPr>
      </w:pPr>
      <w:r>
        <w:rPr>
          <w:rFonts w:hint="eastAsia" w:ascii="仿宋" w:hAnsi="仿宋" w:eastAsia="仿宋"/>
          <w:szCs w:val="28"/>
        </w:rPr>
        <w:t>2、管护路段：2017 年以来启动建设的美丽乡村景观线，包括和菱线、青菱线、菱新线、墙莫线、三新线（双林高速 口至新市交界）、浔乌线、浔练线、花乌线、湖浔大道、三高连 接线。今后需要新增管护的美丽乡村景观线，由区级相关部门会商后确定。</w:t>
      </w:r>
    </w:p>
    <w:p>
      <w:pPr>
        <w:spacing w:line="440" w:lineRule="exact"/>
        <w:ind w:firstLine="560" w:firstLineChars="200"/>
        <w:rPr>
          <w:rFonts w:ascii="仿宋" w:hAnsi="仿宋" w:eastAsia="仿宋"/>
          <w:szCs w:val="28"/>
        </w:rPr>
      </w:pPr>
      <w:r>
        <w:rPr>
          <w:rFonts w:hint="eastAsia" w:ascii="仿宋" w:hAnsi="仿宋" w:eastAsia="仿宋"/>
          <w:szCs w:val="28"/>
        </w:rPr>
        <w:t>3、管护范围：美丽乡村景观线绿化带（一般 15 米左右，不超过 30 米）范围内，景观节点宽度可适当延伸。管护范围：美丽乡村景观线建设区级财政补助区域，具体由镇（开发区） 在景观线与周边农田、鱼塘、村庄设定界桩，并以区交通局提供的测绘数据为准。</w:t>
      </w:r>
    </w:p>
    <w:p>
      <w:pPr>
        <w:spacing w:line="440" w:lineRule="exact"/>
        <w:ind w:firstLine="560" w:firstLineChars="200"/>
        <w:rPr>
          <w:rFonts w:hint="eastAsia" w:ascii="仿宋" w:hAnsi="仿宋" w:eastAsia="仿宋"/>
          <w:szCs w:val="28"/>
        </w:rPr>
      </w:pPr>
      <w:r>
        <w:rPr>
          <w:rFonts w:hint="eastAsia" w:ascii="仿宋" w:hAnsi="仿宋" w:eastAsia="仿宋"/>
          <w:szCs w:val="28"/>
        </w:rPr>
        <w:t>4、养护单位需负责养护区域的四季草花种植。</w:t>
      </w:r>
    </w:p>
    <w:p>
      <w:pPr>
        <w:spacing w:line="440" w:lineRule="exact"/>
        <w:rPr>
          <w:rFonts w:ascii="仿宋" w:hAnsi="仿宋" w:eastAsia="仿宋"/>
          <w:szCs w:val="28"/>
        </w:rPr>
      </w:pPr>
      <w:r>
        <w:rPr>
          <w:rFonts w:hint="eastAsia" w:ascii="仿宋" w:hAnsi="仿宋" w:eastAsia="仿宋"/>
          <w:szCs w:val="28"/>
        </w:rPr>
        <w:t>第六条 养护人员及机械设备</w:t>
      </w:r>
    </w:p>
    <w:p>
      <w:pPr>
        <w:spacing w:line="440" w:lineRule="exact"/>
        <w:rPr>
          <w:rFonts w:ascii="仿宋" w:hAnsi="仿宋" w:eastAsia="仿宋"/>
          <w:szCs w:val="28"/>
        </w:rPr>
      </w:pPr>
      <w:r>
        <w:rPr>
          <w:rFonts w:hint="eastAsia" w:ascii="仿宋" w:hAnsi="仿宋" w:eastAsia="仿宋"/>
          <w:szCs w:val="28"/>
        </w:rPr>
        <w:t>乙方养护人员及分块绿地养护小组人员名单、机械设备配备等需报甲方备案（详见附件1）。</w:t>
      </w:r>
    </w:p>
    <w:p>
      <w:pPr>
        <w:spacing w:line="440" w:lineRule="exact"/>
        <w:rPr>
          <w:rFonts w:ascii="仿宋" w:hAnsi="仿宋" w:eastAsia="仿宋"/>
          <w:szCs w:val="28"/>
        </w:rPr>
      </w:pPr>
      <w:r>
        <w:rPr>
          <w:rFonts w:hint="eastAsia" w:ascii="仿宋" w:hAnsi="仿宋" w:eastAsia="仿宋"/>
          <w:szCs w:val="28"/>
        </w:rPr>
        <w:t>第七条养护方式</w:t>
      </w:r>
    </w:p>
    <w:p>
      <w:pPr>
        <w:spacing w:line="440" w:lineRule="exact"/>
        <w:rPr>
          <w:rFonts w:ascii="仿宋" w:hAnsi="仿宋" w:eastAsia="仿宋"/>
          <w:szCs w:val="28"/>
        </w:rPr>
      </w:pPr>
      <w:r>
        <w:rPr>
          <w:rFonts w:hint="eastAsia" w:ascii="仿宋" w:hAnsi="仿宋" w:eastAsia="仿宋"/>
          <w:szCs w:val="28"/>
        </w:rPr>
        <w:t>1、乙方在养护范围内以包工包料包机械的方式实施养护。</w:t>
      </w:r>
    </w:p>
    <w:p>
      <w:pPr>
        <w:spacing w:line="440" w:lineRule="exact"/>
        <w:rPr>
          <w:rFonts w:ascii="仿宋" w:hAnsi="仿宋" w:eastAsia="仿宋"/>
          <w:szCs w:val="28"/>
        </w:rPr>
      </w:pPr>
      <w:r>
        <w:rPr>
          <w:rFonts w:hint="eastAsia" w:ascii="仿宋" w:hAnsi="仿宋" w:eastAsia="仿宋"/>
          <w:szCs w:val="28"/>
        </w:rPr>
        <w:t>2、养护所需的材料、成品、设备等，均由乙方自行解决。</w:t>
      </w:r>
    </w:p>
    <w:p>
      <w:pPr>
        <w:spacing w:line="440" w:lineRule="exact"/>
        <w:rPr>
          <w:rFonts w:ascii="仿宋" w:hAnsi="仿宋" w:eastAsia="仿宋"/>
          <w:szCs w:val="28"/>
        </w:rPr>
      </w:pPr>
      <w:r>
        <w:rPr>
          <w:rFonts w:hint="eastAsia" w:ascii="仿宋" w:hAnsi="仿宋" w:eastAsia="仿宋"/>
          <w:szCs w:val="28"/>
        </w:rPr>
        <w:t>第八条 税费</w:t>
      </w:r>
    </w:p>
    <w:p>
      <w:pPr>
        <w:spacing w:line="440" w:lineRule="exact"/>
        <w:rPr>
          <w:rFonts w:ascii="仿宋" w:hAnsi="仿宋" w:eastAsia="仿宋"/>
          <w:szCs w:val="28"/>
        </w:rPr>
      </w:pPr>
      <w:r>
        <w:rPr>
          <w:rFonts w:hint="eastAsia" w:ascii="仿宋" w:hAnsi="仿宋" w:eastAsia="仿宋"/>
          <w:szCs w:val="28"/>
        </w:rPr>
        <w:t>本合同执行中相关的一切税费均由乙方负担。</w:t>
      </w:r>
    </w:p>
    <w:p>
      <w:pPr>
        <w:spacing w:line="440" w:lineRule="exact"/>
        <w:rPr>
          <w:rFonts w:ascii="仿宋" w:hAnsi="仿宋" w:eastAsia="仿宋"/>
          <w:szCs w:val="28"/>
        </w:rPr>
      </w:pPr>
      <w:r>
        <w:rPr>
          <w:rFonts w:hint="eastAsia" w:ascii="仿宋" w:hAnsi="仿宋" w:eastAsia="仿宋"/>
          <w:szCs w:val="28"/>
        </w:rPr>
        <w:t>第九条 养护质量标准及考核办法</w:t>
      </w:r>
    </w:p>
    <w:p>
      <w:pPr>
        <w:spacing w:line="440" w:lineRule="exact"/>
        <w:rPr>
          <w:rFonts w:ascii="仿宋" w:hAnsi="仿宋" w:eastAsia="仿宋"/>
          <w:szCs w:val="28"/>
        </w:rPr>
      </w:pPr>
      <w:r>
        <w:rPr>
          <w:rFonts w:hint="eastAsia" w:ascii="仿宋" w:hAnsi="仿宋" w:eastAsia="仿宋"/>
          <w:szCs w:val="28"/>
        </w:rPr>
        <w:t>1、养护质量标准：按《浙江省园林绿化技术规程（试行）》、原《湖州经济技术开发区园林绿化养护管理手册》、《南浔区美丽乡村景观线绿化景观管理养护工作办法(试行)</w:t>
      </w:r>
      <w:r>
        <w:rPr>
          <w:rFonts w:hint="eastAsia" w:hAnsi="宋体" w:cs="宋体"/>
          <w:sz w:val="24"/>
          <w:lang w:val="zh-CN"/>
        </w:rPr>
        <w:t>》</w:t>
      </w:r>
      <w:r>
        <w:rPr>
          <w:rFonts w:hint="eastAsia" w:ascii="仿宋" w:hAnsi="仿宋" w:eastAsia="仿宋"/>
          <w:szCs w:val="28"/>
        </w:rPr>
        <w:t>及国家现行有关的规范标准执行。</w:t>
      </w:r>
    </w:p>
    <w:p>
      <w:pPr>
        <w:spacing w:line="440" w:lineRule="exact"/>
        <w:rPr>
          <w:rFonts w:ascii="仿宋" w:hAnsi="仿宋" w:eastAsia="仿宋"/>
          <w:szCs w:val="28"/>
        </w:rPr>
      </w:pPr>
      <w:r>
        <w:rPr>
          <w:rFonts w:hint="eastAsia" w:ascii="仿宋" w:hAnsi="仿宋" w:eastAsia="仿宋"/>
          <w:szCs w:val="28"/>
        </w:rPr>
        <w:t>2、考核办法：按《绿化养护考核实施细则》的有关规定执行。</w:t>
      </w:r>
    </w:p>
    <w:p>
      <w:pPr>
        <w:spacing w:line="440" w:lineRule="exact"/>
        <w:rPr>
          <w:rFonts w:ascii="仿宋" w:hAnsi="仿宋" w:eastAsia="仿宋"/>
          <w:szCs w:val="28"/>
        </w:rPr>
      </w:pPr>
      <w:r>
        <w:rPr>
          <w:rFonts w:hint="eastAsia" w:ascii="仿宋" w:hAnsi="仿宋" w:eastAsia="仿宋"/>
          <w:szCs w:val="28"/>
        </w:rPr>
        <w:t>第十条 绿化养护范围的调整</w:t>
      </w:r>
    </w:p>
    <w:p>
      <w:pPr>
        <w:spacing w:line="440" w:lineRule="exact"/>
        <w:rPr>
          <w:rFonts w:ascii="仿宋" w:hAnsi="仿宋" w:eastAsia="仿宋"/>
          <w:szCs w:val="28"/>
        </w:rPr>
      </w:pPr>
      <w:r>
        <w:rPr>
          <w:rFonts w:hint="eastAsia" w:ascii="仿宋" w:hAnsi="仿宋" w:eastAsia="仿宋"/>
          <w:szCs w:val="28"/>
        </w:rPr>
        <w:t>实际养护面积可能因新建绿地移交接管、现有养护地段改建、范围调整等因素发生变化，养护单价均不作调整。</w:t>
      </w:r>
    </w:p>
    <w:p>
      <w:pPr>
        <w:spacing w:line="440" w:lineRule="exact"/>
        <w:rPr>
          <w:rFonts w:ascii="仿宋" w:hAnsi="仿宋" w:eastAsia="仿宋"/>
          <w:szCs w:val="28"/>
        </w:rPr>
      </w:pPr>
      <w:r>
        <w:rPr>
          <w:rFonts w:hint="eastAsia" w:ascii="仿宋" w:hAnsi="仿宋" w:eastAsia="仿宋"/>
          <w:szCs w:val="28"/>
        </w:rPr>
        <w:t>第十一条 服务及承诺</w:t>
      </w:r>
    </w:p>
    <w:p>
      <w:pPr>
        <w:spacing w:line="440" w:lineRule="exact"/>
        <w:rPr>
          <w:rFonts w:ascii="仿宋" w:hAnsi="仿宋" w:eastAsia="仿宋"/>
          <w:szCs w:val="28"/>
        </w:rPr>
      </w:pPr>
      <w:r>
        <w:rPr>
          <w:rFonts w:hint="eastAsia" w:ascii="仿宋" w:hAnsi="仿宋" w:eastAsia="仿宋"/>
          <w:szCs w:val="28"/>
        </w:rPr>
        <w:t>1、乙方应明确承诺服务各项内容和措施，提供详细的服务地点、联系人、电话等有关资料。</w:t>
      </w:r>
    </w:p>
    <w:p>
      <w:pPr>
        <w:spacing w:line="440" w:lineRule="exact"/>
        <w:rPr>
          <w:rFonts w:ascii="仿宋" w:hAnsi="仿宋" w:eastAsia="仿宋"/>
          <w:szCs w:val="28"/>
        </w:rPr>
      </w:pPr>
      <w:r>
        <w:rPr>
          <w:rFonts w:hint="eastAsia" w:ascii="仿宋" w:hAnsi="仿宋" w:eastAsia="仿宋"/>
          <w:szCs w:val="28"/>
        </w:rPr>
        <w:t>2、在养护期内，因绿化养护不当所发生的一切费用均由乙方承担。</w:t>
      </w:r>
    </w:p>
    <w:p>
      <w:pPr>
        <w:spacing w:line="440" w:lineRule="exact"/>
        <w:rPr>
          <w:rFonts w:ascii="仿宋" w:hAnsi="仿宋" w:eastAsia="仿宋"/>
          <w:szCs w:val="28"/>
        </w:rPr>
      </w:pPr>
      <w:r>
        <w:rPr>
          <w:rFonts w:hint="eastAsia" w:ascii="仿宋" w:hAnsi="仿宋" w:eastAsia="仿宋"/>
          <w:szCs w:val="28"/>
        </w:rPr>
        <w:t>3、乙方在收到甲方通知后必须小时之内及时进行现场响应。</w:t>
      </w:r>
    </w:p>
    <w:p>
      <w:pPr>
        <w:spacing w:line="440" w:lineRule="exact"/>
        <w:rPr>
          <w:rFonts w:ascii="仿宋" w:hAnsi="仿宋" w:eastAsia="仿宋"/>
          <w:szCs w:val="28"/>
        </w:rPr>
      </w:pPr>
      <w:r>
        <w:rPr>
          <w:rFonts w:hint="eastAsia" w:ascii="仿宋" w:hAnsi="仿宋" w:eastAsia="仿宋"/>
          <w:szCs w:val="28"/>
        </w:rPr>
        <w:t>第十二条 违约责任</w:t>
      </w:r>
    </w:p>
    <w:p>
      <w:pPr>
        <w:spacing w:line="440" w:lineRule="exact"/>
        <w:rPr>
          <w:rFonts w:ascii="仿宋" w:hAnsi="仿宋" w:eastAsia="仿宋"/>
          <w:szCs w:val="28"/>
        </w:rPr>
      </w:pPr>
      <w:r>
        <w:rPr>
          <w:rFonts w:hint="eastAsia" w:ascii="仿宋" w:hAnsi="仿宋" w:eastAsia="仿宋"/>
          <w:szCs w:val="28"/>
        </w:rPr>
        <w:t>1、工作期内如有绿化养护人员、保洁人员、看护人员短缺，甲方有权按市场平均每人每日费用的两倍扣除作为违约金。</w:t>
      </w:r>
    </w:p>
    <w:p>
      <w:pPr>
        <w:spacing w:line="440" w:lineRule="exact"/>
        <w:rPr>
          <w:rFonts w:ascii="仿宋" w:hAnsi="仿宋" w:eastAsia="仿宋"/>
          <w:szCs w:val="28"/>
        </w:rPr>
      </w:pPr>
      <w:r>
        <w:rPr>
          <w:rFonts w:hint="eastAsia" w:ascii="仿宋" w:hAnsi="仿宋" w:eastAsia="仿宋"/>
          <w:szCs w:val="28"/>
        </w:rPr>
        <w:t>2．工作期内如使用的绿化物料、苗木、工具、设备低于（或少于）、不符合质量要求等，甲方有权按比例扣除违约金。</w:t>
      </w:r>
    </w:p>
    <w:p>
      <w:pPr>
        <w:spacing w:line="440" w:lineRule="exact"/>
        <w:rPr>
          <w:rFonts w:ascii="仿宋" w:hAnsi="仿宋" w:eastAsia="仿宋"/>
          <w:szCs w:val="28"/>
        </w:rPr>
      </w:pPr>
      <w:r>
        <w:rPr>
          <w:rFonts w:hint="eastAsia" w:ascii="仿宋" w:hAnsi="仿宋" w:eastAsia="仿宋"/>
          <w:szCs w:val="28"/>
        </w:rPr>
        <w:t>3、如乙方服务质量下降，甲方以书面形式通知后十天仍未改善，甲方有权雇佣任何所需人员进行上述改善，而所需一切费用则从合同款中扣除。如遇紧急突发事件如台风等，而乙方未能及时处理，甲方有权雇佣工人进行有关工作，一切费用从合同款中扣除；由于不可抗力原因除外。</w:t>
      </w:r>
    </w:p>
    <w:p>
      <w:pPr>
        <w:spacing w:line="440" w:lineRule="exact"/>
        <w:rPr>
          <w:rFonts w:ascii="仿宋" w:hAnsi="仿宋" w:eastAsia="仿宋"/>
          <w:szCs w:val="28"/>
        </w:rPr>
      </w:pPr>
      <w:r>
        <w:rPr>
          <w:rFonts w:hint="eastAsia" w:ascii="仿宋" w:hAnsi="仿宋" w:eastAsia="仿宋"/>
          <w:szCs w:val="28"/>
        </w:rPr>
        <w:t>4、双方不得无故终止合同（除合同约定），否则视为违约，由违约方支付对方违约金。</w:t>
      </w:r>
    </w:p>
    <w:p>
      <w:pPr>
        <w:spacing w:line="440" w:lineRule="exact"/>
        <w:rPr>
          <w:rFonts w:ascii="仿宋" w:hAnsi="仿宋" w:eastAsia="仿宋"/>
          <w:szCs w:val="28"/>
        </w:rPr>
      </w:pPr>
      <w:r>
        <w:rPr>
          <w:rFonts w:hint="eastAsia" w:ascii="仿宋" w:hAnsi="仿宋" w:eastAsia="仿宋"/>
          <w:szCs w:val="28"/>
        </w:rPr>
        <w:t>第十三条 双方职责</w:t>
      </w:r>
    </w:p>
    <w:p>
      <w:pPr>
        <w:spacing w:line="440" w:lineRule="exact"/>
        <w:rPr>
          <w:rFonts w:ascii="仿宋" w:hAnsi="仿宋" w:eastAsia="仿宋"/>
          <w:szCs w:val="28"/>
        </w:rPr>
      </w:pPr>
      <w:r>
        <w:rPr>
          <w:rFonts w:hint="eastAsia" w:ascii="仿宋" w:hAnsi="仿宋" w:eastAsia="仿宋"/>
          <w:szCs w:val="28"/>
        </w:rPr>
        <w:t>（一）甲方职责</w:t>
      </w:r>
    </w:p>
    <w:p>
      <w:pPr>
        <w:spacing w:line="440" w:lineRule="exact"/>
        <w:rPr>
          <w:rFonts w:ascii="仿宋" w:hAnsi="仿宋" w:eastAsia="仿宋"/>
          <w:szCs w:val="28"/>
        </w:rPr>
      </w:pPr>
      <w:r>
        <w:rPr>
          <w:rFonts w:hint="eastAsia" w:ascii="仿宋" w:hAnsi="仿宋" w:eastAsia="仿宋"/>
          <w:szCs w:val="28"/>
        </w:rPr>
        <w:t>1、及时对乙方的养护工作进行指导、监督与考核。</w:t>
      </w:r>
    </w:p>
    <w:p>
      <w:pPr>
        <w:spacing w:line="440" w:lineRule="exact"/>
        <w:rPr>
          <w:rFonts w:ascii="仿宋" w:hAnsi="仿宋" w:eastAsia="仿宋"/>
          <w:szCs w:val="28"/>
        </w:rPr>
      </w:pPr>
      <w:r>
        <w:rPr>
          <w:rFonts w:hint="eastAsia" w:ascii="仿宋" w:hAnsi="仿宋" w:eastAsia="仿宋"/>
          <w:szCs w:val="28"/>
        </w:rPr>
        <w:t>2、及时告知乙方养护内容和标准的相关调整内容。</w:t>
      </w:r>
    </w:p>
    <w:p>
      <w:pPr>
        <w:spacing w:line="440" w:lineRule="exact"/>
        <w:rPr>
          <w:rFonts w:ascii="仿宋" w:hAnsi="仿宋" w:eastAsia="仿宋"/>
          <w:szCs w:val="28"/>
        </w:rPr>
      </w:pPr>
      <w:r>
        <w:rPr>
          <w:rFonts w:hint="eastAsia" w:ascii="仿宋" w:hAnsi="仿宋" w:eastAsia="仿宋"/>
          <w:szCs w:val="28"/>
        </w:rPr>
        <w:t>3、按合同规定按时支付乙方养护经费。</w:t>
      </w:r>
    </w:p>
    <w:p>
      <w:pPr>
        <w:spacing w:line="440" w:lineRule="exact"/>
        <w:rPr>
          <w:rFonts w:ascii="仿宋" w:hAnsi="仿宋" w:eastAsia="仿宋"/>
          <w:szCs w:val="28"/>
        </w:rPr>
      </w:pPr>
      <w:r>
        <w:rPr>
          <w:rFonts w:hint="eastAsia" w:ascii="仿宋" w:hAnsi="仿宋" w:eastAsia="仿宋"/>
          <w:szCs w:val="28"/>
        </w:rPr>
        <w:t>（二）乙方职责</w:t>
      </w:r>
    </w:p>
    <w:p>
      <w:pPr>
        <w:spacing w:line="440" w:lineRule="exact"/>
        <w:rPr>
          <w:rFonts w:ascii="仿宋" w:hAnsi="仿宋" w:eastAsia="仿宋"/>
          <w:szCs w:val="28"/>
        </w:rPr>
      </w:pPr>
      <w:r>
        <w:rPr>
          <w:rFonts w:hint="eastAsia" w:ascii="仿宋" w:hAnsi="仿宋" w:eastAsia="仿宋"/>
          <w:szCs w:val="28"/>
        </w:rPr>
        <w:t>1、必须严格按照本次招投标要求、《湖州市中心城区绿化养护质量标准》及合同条款等相关规定，合理组织，精心养护，保质保量完成养护范围内的绿化养护工作。</w:t>
      </w:r>
    </w:p>
    <w:p>
      <w:pPr>
        <w:spacing w:line="440" w:lineRule="exact"/>
        <w:rPr>
          <w:rFonts w:ascii="仿宋" w:hAnsi="仿宋" w:eastAsia="仿宋"/>
          <w:szCs w:val="28"/>
        </w:rPr>
      </w:pPr>
      <w:r>
        <w:rPr>
          <w:rFonts w:hint="eastAsia" w:ascii="仿宋" w:hAnsi="仿宋" w:eastAsia="仿宋"/>
          <w:szCs w:val="28"/>
        </w:rPr>
        <w:t>2、严格履行投标书及询标答复的各项承诺。</w:t>
      </w:r>
    </w:p>
    <w:p>
      <w:pPr>
        <w:spacing w:line="440" w:lineRule="exact"/>
        <w:rPr>
          <w:rFonts w:ascii="仿宋" w:hAnsi="仿宋" w:eastAsia="仿宋"/>
          <w:szCs w:val="28"/>
        </w:rPr>
      </w:pPr>
      <w:r>
        <w:rPr>
          <w:rFonts w:hint="eastAsia" w:ascii="仿宋" w:hAnsi="仿宋" w:eastAsia="仿宋"/>
          <w:szCs w:val="28"/>
        </w:rPr>
        <w:t>3、乙方应严格按照《劳动法》等相关规定聘用养护人员，在中标后应给每一个道路绿化、看护工作人员购买人身意外伤害保险及其它必要的保险。乙方对绿化、看护人员的安全负全责（上下班途中及工作时间），作业期间发生的任何安全事故（游客和水、火、电引起的安全事故），由乙方负责。</w:t>
      </w:r>
    </w:p>
    <w:p>
      <w:pPr>
        <w:spacing w:line="440" w:lineRule="exact"/>
        <w:rPr>
          <w:rFonts w:ascii="仿宋" w:hAnsi="仿宋" w:eastAsia="仿宋"/>
          <w:szCs w:val="28"/>
        </w:rPr>
      </w:pPr>
      <w:r>
        <w:rPr>
          <w:rFonts w:hint="eastAsia" w:ascii="仿宋" w:hAnsi="仿宋" w:eastAsia="仿宋"/>
          <w:szCs w:val="28"/>
        </w:rPr>
        <w:t>4、养护作业人员及数量的投入、机械设备的投入必须与投标时作出的承诺相一致。</w:t>
      </w:r>
    </w:p>
    <w:p>
      <w:pPr>
        <w:spacing w:line="440" w:lineRule="exact"/>
        <w:rPr>
          <w:rFonts w:ascii="仿宋" w:hAnsi="仿宋" w:eastAsia="仿宋"/>
          <w:szCs w:val="28"/>
        </w:rPr>
      </w:pPr>
      <w:r>
        <w:rPr>
          <w:rFonts w:hint="eastAsia" w:ascii="仿宋" w:hAnsi="仿宋" w:eastAsia="仿宋"/>
          <w:szCs w:val="28"/>
        </w:rPr>
        <w:t>5、制定全年及每月绿地养管工作计划，包括绿地的各类养管措施（如施肥、修剪、病虫害防治等）、质量安全保证、应急管理（抗旱、防汛、抗台、抗寒、抗雪等）、重点技术措施、绿化垃圾方案等，并及时上报甲方。</w:t>
      </w:r>
    </w:p>
    <w:p>
      <w:pPr>
        <w:spacing w:line="440" w:lineRule="exact"/>
        <w:rPr>
          <w:rFonts w:ascii="仿宋" w:hAnsi="仿宋" w:eastAsia="仿宋"/>
          <w:szCs w:val="28"/>
        </w:rPr>
      </w:pPr>
      <w:r>
        <w:rPr>
          <w:rFonts w:hint="eastAsia" w:ascii="仿宋" w:hAnsi="仿宋" w:eastAsia="仿宋"/>
          <w:szCs w:val="28"/>
        </w:rPr>
        <w:t>6、安排养护管理力量，制定劳动力计划表，做好突击性工作的应急安排等，落实专职养护人员名单，养护管理责任人名单。</w:t>
      </w:r>
    </w:p>
    <w:p>
      <w:pPr>
        <w:spacing w:line="440" w:lineRule="exact"/>
        <w:rPr>
          <w:rFonts w:ascii="仿宋" w:hAnsi="仿宋" w:eastAsia="仿宋"/>
          <w:szCs w:val="28"/>
        </w:rPr>
      </w:pPr>
      <w:r>
        <w:rPr>
          <w:rFonts w:hint="eastAsia" w:ascii="仿宋" w:hAnsi="仿宋" w:eastAsia="仿宋"/>
          <w:szCs w:val="28"/>
        </w:rPr>
        <w:t>7、有设施等看护需求的，乙方按照看护要求设置保安巡更系统配备必要的看护使用的工具（保安服装、通讯工具、巡逻车、巡更系统、警械、照明灯具等），看护人员24小时现场打点巡逻，每天要认真做好巡查记录和交接班工作。乙方需文明看护，发现有不法行为的，按正常程序制止、报警、扭送派出所，配合警方的取证工作；乙方应采取切实可能措施，确保看护人员的安全；保有期内乙方应当向建设单位通报设施故障情况，以便通知保修单位及时修复。保有期结束后及时向甲方通报设施故障情况，负责配合甲方或其它单位的检查和维修。</w:t>
      </w:r>
    </w:p>
    <w:p>
      <w:pPr>
        <w:spacing w:line="440" w:lineRule="exact"/>
        <w:rPr>
          <w:rFonts w:ascii="仿宋" w:hAnsi="仿宋" w:eastAsia="仿宋"/>
          <w:szCs w:val="28"/>
        </w:rPr>
      </w:pPr>
      <w:r>
        <w:rPr>
          <w:rFonts w:hint="eastAsia" w:ascii="仿宋" w:hAnsi="仿宋" w:eastAsia="仿宋"/>
          <w:szCs w:val="28"/>
        </w:rPr>
        <w:t>8、养护人员、看护人员必须穿统一工作服，在道路绿化养护、看护中为保证安全，作业人员必须穿反光背心装，并加强安全管理。保安人员穿保安服、公园管理人员佩戴工作证。</w:t>
      </w:r>
    </w:p>
    <w:p>
      <w:pPr>
        <w:spacing w:line="440" w:lineRule="exact"/>
        <w:rPr>
          <w:rFonts w:ascii="仿宋" w:hAnsi="仿宋" w:eastAsia="仿宋"/>
          <w:szCs w:val="28"/>
        </w:rPr>
      </w:pPr>
      <w:r>
        <w:rPr>
          <w:rFonts w:hint="eastAsia" w:ascii="仿宋" w:hAnsi="仿宋" w:eastAsia="仿宋"/>
          <w:szCs w:val="28"/>
        </w:rPr>
        <w:t>9、确保在各类考核中不失责任分。</w:t>
      </w:r>
    </w:p>
    <w:p>
      <w:pPr>
        <w:spacing w:line="440" w:lineRule="exact"/>
        <w:rPr>
          <w:rFonts w:ascii="仿宋" w:hAnsi="仿宋" w:eastAsia="仿宋"/>
          <w:szCs w:val="28"/>
        </w:rPr>
      </w:pPr>
      <w:r>
        <w:rPr>
          <w:rFonts w:hint="eastAsia" w:ascii="仿宋" w:hAnsi="仿宋" w:eastAsia="仿宋"/>
          <w:szCs w:val="28"/>
        </w:rPr>
        <w:t xml:space="preserve">第十四条 验收 </w:t>
      </w:r>
    </w:p>
    <w:p>
      <w:pPr>
        <w:spacing w:line="440" w:lineRule="exact"/>
        <w:rPr>
          <w:rFonts w:ascii="仿宋" w:hAnsi="仿宋" w:eastAsia="仿宋"/>
          <w:szCs w:val="28"/>
        </w:rPr>
      </w:pPr>
      <w:r>
        <w:rPr>
          <w:rFonts w:hint="eastAsia" w:ascii="仿宋" w:hAnsi="仿宋" w:eastAsia="仿宋"/>
          <w:szCs w:val="28"/>
        </w:rPr>
        <w:t>1、工程养护质量验收不能一次性达到合格的，必须按达到养护质量要求，相关费用由养护单位承担。</w:t>
      </w:r>
    </w:p>
    <w:p>
      <w:pPr>
        <w:spacing w:line="440" w:lineRule="exact"/>
        <w:rPr>
          <w:rFonts w:ascii="仿宋" w:hAnsi="仿宋" w:eastAsia="仿宋"/>
          <w:szCs w:val="28"/>
        </w:rPr>
      </w:pPr>
      <w:r>
        <w:rPr>
          <w:rFonts w:hint="eastAsia" w:ascii="仿宋" w:hAnsi="仿宋" w:eastAsia="仿宋"/>
          <w:szCs w:val="28"/>
        </w:rPr>
        <w:t>第十五条 突发事件处理及台风、大雪、旱灾、水灾等</w:t>
      </w:r>
    </w:p>
    <w:p>
      <w:pPr>
        <w:spacing w:line="440" w:lineRule="exact"/>
        <w:rPr>
          <w:rFonts w:ascii="仿宋" w:hAnsi="仿宋" w:eastAsia="仿宋"/>
          <w:szCs w:val="28"/>
        </w:rPr>
      </w:pPr>
      <w:r>
        <w:rPr>
          <w:rFonts w:hint="eastAsia" w:ascii="仿宋" w:hAnsi="仿宋" w:eastAsia="仿宋"/>
          <w:szCs w:val="28"/>
        </w:rPr>
        <w:t>1、养护期间乙方应密切注意气象预报，及时采取防范措施，防止台风、大雪、旱灾、水灾、火灾等造成的损害。</w:t>
      </w:r>
    </w:p>
    <w:p>
      <w:pPr>
        <w:spacing w:line="440" w:lineRule="exact"/>
        <w:rPr>
          <w:rFonts w:ascii="仿宋" w:hAnsi="仿宋" w:eastAsia="仿宋"/>
          <w:szCs w:val="28"/>
        </w:rPr>
      </w:pPr>
      <w:r>
        <w:rPr>
          <w:rFonts w:hint="eastAsia" w:ascii="仿宋" w:hAnsi="仿宋" w:eastAsia="仿宋"/>
          <w:szCs w:val="28"/>
        </w:rPr>
        <w:t>2、乙方应成立突发事件应急处理领导小组和应急抢险突击队，认真做好台风、大雪、旱灾、水灾等及突发事件应急抢险工作，确保人员、设备、材料“三落实”，并做好数据、图片和台帐的记录、存档，及时反映情况，严格服从甲方的统一指挥和安排。</w:t>
      </w:r>
    </w:p>
    <w:p>
      <w:pPr>
        <w:spacing w:line="440" w:lineRule="exact"/>
        <w:rPr>
          <w:rFonts w:ascii="仿宋" w:hAnsi="仿宋" w:eastAsia="仿宋"/>
          <w:szCs w:val="28"/>
        </w:rPr>
      </w:pPr>
      <w:r>
        <w:rPr>
          <w:rFonts w:hint="eastAsia" w:ascii="仿宋" w:hAnsi="仿宋" w:eastAsia="仿宋"/>
          <w:szCs w:val="28"/>
        </w:rPr>
        <w:t>3、若遇突发性、不可抗力事件（如台风、大雪、旱灾、水灾等），导致绿化养护现场交通堵塞、出行不便、存在安全隐患，此时需要及时清理断枝、残枝等事宜。</w:t>
      </w:r>
    </w:p>
    <w:p>
      <w:pPr>
        <w:spacing w:line="440" w:lineRule="exact"/>
        <w:rPr>
          <w:rFonts w:ascii="仿宋" w:hAnsi="仿宋" w:eastAsia="仿宋"/>
          <w:szCs w:val="28"/>
        </w:rPr>
      </w:pPr>
      <w:r>
        <w:rPr>
          <w:rFonts w:hint="eastAsia" w:ascii="仿宋" w:hAnsi="仿宋" w:eastAsia="仿宋"/>
          <w:szCs w:val="28"/>
        </w:rPr>
        <w:t>4、若发生非养护原因引起的意外事故或人为破坏造成的设施损坏，乙方应立即采取相关措施或临时应急措施，并通知甲方和相关部门。</w:t>
      </w:r>
    </w:p>
    <w:p>
      <w:pPr>
        <w:spacing w:line="440" w:lineRule="exact"/>
        <w:rPr>
          <w:rFonts w:ascii="仿宋" w:hAnsi="仿宋" w:eastAsia="仿宋"/>
          <w:szCs w:val="28"/>
        </w:rPr>
      </w:pPr>
      <w:r>
        <w:rPr>
          <w:rFonts w:hint="eastAsia" w:ascii="仿宋" w:hAnsi="仿宋" w:eastAsia="仿宋"/>
          <w:szCs w:val="28"/>
        </w:rPr>
        <w:t>第十六条 合同的解除与违约责任</w:t>
      </w:r>
    </w:p>
    <w:p>
      <w:pPr>
        <w:spacing w:line="440" w:lineRule="exact"/>
        <w:rPr>
          <w:rFonts w:ascii="仿宋" w:hAnsi="仿宋" w:eastAsia="仿宋"/>
          <w:szCs w:val="28"/>
        </w:rPr>
      </w:pPr>
      <w:r>
        <w:rPr>
          <w:rFonts w:hint="eastAsia" w:ascii="仿宋" w:hAnsi="仿宋" w:eastAsia="仿宋"/>
          <w:szCs w:val="28"/>
        </w:rPr>
        <w:t>（一）合同解除</w:t>
      </w:r>
    </w:p>
    <w:p>
      <w:pPr>
        <w:spacing w:line="440" w:lineRule="exact"/>
        <w:rPr>
          <w:rFonts w:ascii="仿宋" w:hAnsi="仿宋" w:eastAsia="仿宋"/>
          <w:szCs w:val="28"/>
        </w:rPr>
      </w:pPr>
      <w:r>
        <w:rPr>
          <w:rFonts w:hint="eastAsia" w:ascii="仿宋" w:hAnsi="仿宋" w:eastAsia="仿宋"/>
          <w:szCs w:val="28"/>
        </w:rPr>
        <w:t>1、甲方和乙方协商一致，可以解除合同，并报监管部门审查备案。</w:t>
      </w:r>
    </w:p>
    <w:p>
      <w:pPr>
        <w:spacing w:line="440" w:lineRule="exact"/>
        <w:rPr>
          <w:rFonts w:ascii="仿宋" w:hAnsi="仿宋" w:eastAsia="仿宋"/>
          <w:szCs w:val="28"/>
        </w:rPr>
      </w:pPr>
      <w:r>
        <w:rPr>
          <w:rFonts w:hint="eastAsia" w:ascii="仿宋" w:hAnsi="仿宋" w:eastAsia="仿宋"/>
          <w:szCs w:val="28"/>
        </w:rPr>
        <w:t>2、因合同一方违约导致合同不能履行，另一方有权解除合同。有权解除合同的一方，应当在违约事实发生之后三十天内书面通知对方以主张解除合同，合同在书面通知到达对方时解除。</w:t>
      </w:r>
    </w:p>
    <w:p>
      <w:pPr>
        <w:spacing w:line="440" w:lineRule="exact"/>
        <w:rPr>
          <w:rFonts w:ascii="仿宋" w:hAnsi="仿宋" w:eastAsia="仿宋"/>
          <w:szCs w:val="28"/>
        </w:rPr>
      </w:pPr>
      <w:r>
        <w:rPr>
          <w:rFonts w:hint="eastAsia" w:ascii="仿宋" w:hAnsi="仿宋" w:eastAsia="仿宋"/>
          <w:szCs w:val="28"/>
        </w:rPr>
        <w:t>（二）乙方在养护管理期间，由于养管措施不力，处置不当，出现以下情况之一，甲方有权终止合同并由乙方承担一切责任。</w:t>
      </w:r>
    </w:p>
    <w:p>
      <w:pPr>
        <w:spacing w:line="440" w:lineRule="exact"/>
        <w:rPr>
          <w:rFonts w:ascii="仿宋" w:hAnsi="仿宋" w:eastAsia="仿宋"/>
          <w:szCs w:val="28"/>
        </w:rPr>
      </w:pPr>
      <w:r>
        <w:rPr>
          <w:rFonts w:hint="eastAsia" w:ascii="仿宋" w:hAnsi="仿宋" w:eastAsia="仿宋"/>
          <w:szCs w:val="28"/>
        </w:rPr>
        <w:t>1、检查考核过程中，发现有转包和分包行为的；</w:t>
      </w:r>
    </w:p>
    <w:p>
      <w:pPr>
        <w:spacing w:line="440" w:lineRule="exact"/>
        <w:rPr>
          <w:rFonts w:ascii="仿宋" w:hAnsi="仿宋" w:eastAsia="仿宋"/>
          <w:szCs w:val="28"/>
        </w:rPr>
      </w:pPr>
      <w:r>
        <w:rPr>
          <w:rFonts w:hint="eastAsia" w:ascii="仿宋" w:hAnsi="仿宋" w:eastAsia="仿宋"/>
          <w:szCs w:val="28"/>
        </w:rPr>
        <w:t>2、发生重大质量安全责任事故；</w:t>
      </w:r>
    </w:p>
    <w:p>
      <w:pPr>
        <w:spacing w:line="440" w:lineRule="exact"/>
        <w:rPr>
          <w:rFonts w:ascii="仿宋" w:hAnsi="仿宋" w:eastAsia="仿宋"/>
          <w:szCs w:val="28"/>
        </w:rPr>
      </w:pPr>
      <w:r>
        <w:rPr>
          <w:rFonts w:hint="eastAsia" w:ascii="仿宋" w:hAnsi="仿宋" w:eastAsia="仿宋"/>
          <w:szCs w:val="28"/>
        </w:rPr>
        <w:t>3、因养护、处置不当，被媒体曝光造成恶劣社会影响；</w:t>
      </w:r>
    </w:p>
    <w:p>
      <w:pPr>
        <w:spacing w:line="440" w:lineRule="exact"/>
        <w:rPr>
          <w:rFonts w:ascii="仿宋" w:hAnsi="仿宋" w:eastAsia="仿宋"/>
          <w:szCs w:val="28"/>
        </w:rPr>
      </w:pPr>
      <w:r>
        <w:rPr>
          <w:rFonts w:hint="eastAsia" w:ascii="仿宋" w:hAnsi="仿宋" w:eastAsia="仿宋"/>
          <w:szCs w:val="28"/>
        </w:rPr>
        <w:t>4、遇灾害性天气，未听从甲方统一指挥，未按甲方要求进行应急处置造成严重损失。</w:t>
      </w:r>
    </w:p>
    <w:p>
      <w:pPr>
        <w:spacing w:line="440" w:lineRule="exact"/>
      </w:pPr>
      <w:r>
        <w:rPr>
          <w:rFonts w:hint="eastAsia" w:ascii="仿宋" w:hAnsi="仿宋" w:eastAsia="仿宋"/>
          <w:b/>
          <w:bCs/>
          <w:szCs w:val="28"/>
        </w:rPr>
        <w:t>8.支付</w:t>
      </w:r>
      <w:r>
        <w:rPr>
          <w:rFonts w:hint="eastAsia" w:ascii="仿宋" w:hAnsi="仿宋" w:eastAsia="仿宋"/>
          <w:szCs w:val="28"/>
        </w:rPr>
        <w:t>：支付应使用人民币；</w:t>
      </w:r>
    </w:p>
    <w:p>
      <w:pPr>
        <w:spacing w:line="440" w:lineRule="exact"/>
        <w:rPr>
          <w:rFonts w:ascii="仿宋" w:hAnsi="仿宋" w:eastAsia="仿宋"/>
          <w:b/>
          <w:bCs/>
          <w:szCs w:val="28"/>
        </w:rPr>
      </w:pPr>
      <w:r>
        <w:rPr>
          <w:rFonts w:hint="eastAsia" w:ascii="仿宋" w:hAnsi="仿宋" w:eastAsia="仿宋"/>
          <w:b/>
          <w:bCs/>
          <w:szCs w:val="28"/>
        </w:rPr>
        <w:t>9.技术服务</w:t>
      </w:r>
    </w:p>
    <w:p>
      <w:pPr>
        <w:spacing w:line="440" w:lineRule="exact"/>
        <w:ind w:firstLine="560" w:firstLineChars="200"/>
        <w:rPr>
          <w:rFonts w:ascii="仿宋" w:hAnsi="仿宋" w:eastAsia="仿宋"/>
          <w:szCs w:val="28"/>
        </w:rPr>
      </w:pPr>
      <w:r>
        <w:rPr>
          <w:rFonts w:hint="eastAsia" w:ascii="仿宋" w:hAnsi="仿宋" w:eastAsia="仿宋"/>
          <w:szCs w:val="28"/>
        </w:rPr>
        <w:t>供应商应负责安排采购人相关人员进行操作、维修的培训。具体时间及培训内容在投标时由供应商提出建议；</w:t>
      </w:r>
    </w:p>
    <w:p>
      <w:pPr>
        <w:spacing w:line="440" w:lineRule="exact"/>
        <w:rPr>
          <w:rFonts w:ascii="仿宋" w:hAnsi="仿宋" w:eastAsia="仿宋"/>
          <w:b/>
          <w:bCs/>
          <w:szCs w:val="28"/>
        </w:rPr>
      </w:pPr>
      <w:r>
        <w:rPr>
          <w:rFonts w:hint="eastAsia" w:ascii="仿宋" w:hAnsi="仿宋" w:eastAsia="仿宋"/>
          <w:b/>
          <w:bCs/>
          <w:szCs w:val="28"/>
        </w:rPr>
        <w:t>10.售后服务及承诺</w:t>
      </w:r>
    </w:p>
    <w:p>
      <w:pPr>
        <w:spacing w:line="440" w:lineRule="exact"/>
        <w:ind w:firstLine="560" w:firstLineChars="200"/>
        <w:rPr>
          <w:rFonts w:ascii="仿宋" w:hAnsi="仿宋" w:eastAsia="仿宋"/>
          <w:bCs/>
          <w:szCs w:val="28"/>
        </w:rPr>
      </w:pPr>
      <w:r>
        <w:rPr>
          <w:rFonts w:hint="eastAsia" w:ascii="仿宋" w:hAnsi="仿宋" w:eastAsia="仿宋"/>
          <w:bCs/>
          <w:szCs w:val="28"/>
        </w:rPr>
        <w:t>10.1供应商应明确承诺售后服务各项内容和措施，提供详细的服务地点、联系人、电话等有关资料；</w:t>
      </w:r>
    </w:p>
    <w:p>
      <w:pPr>
        <w:spacing w:line="440" w:lineRule="exact"/>
        <w:ind w:firstLine="560" w:firstLineChars="200"/>
        <w:rPr>
          <w:rFonts w:ascii="仿宋" w:hAnsi="仿宋" w:eastAsia="仿宋"/>
          <w:b/>
          <w:bCs/>
          <w:szCs w:val="28"/>
        </w:rPr>
      </w:pPr>
      <w:r>
        <w:rPr>
          <w:rFonts w:hint="eastAsia" w:ascii="仿宋" w:hAnsi="仿宋" w:eastAsia="仿宋"/>
          <w:bCs/>
          <w:szCs w:val="28"/>
        </w:rPr>
        <w:t>10.2</w:t>
      </w:r>
      <w:r>
        <w:rPr>
          <w:rFonts w:hint="eastAsia" w:ascii="仿宋" w:hAnsi="仿宋" w:eastAsia="仿宋"/>
          <w:b/>
          <w:bCs/>
          <w:szCs w:val="28"/>
        </w:rPr>
        <w:t>服务期：本项目服务期限为</w:t>
      </w:r>
      <w:r>
        <w:rPr>
          <w:rFonts w:hint="eastAsia" w:ascii="仿宋" w:hAnsi="仿宋" w:eastAsia="仿宋"/>
          <w:b/>
          <w:bCs/>
          <w:color w:val="0000FF"/>
          <w:szCs w:val="28"/>
        </w:rPr>
        <w:t>1年</w:t>
      </w:r>
      <w:r>
        <w:rPr>
          <w:rFonts w:hint="eastAsia" w:ascii="仿宋" w:hAnsi="仿宋" w:eastAsia="仿宋"/>
          <w:b/>
          <w:bCs/>
          <w:szCs w:val="28"/>
        </w:rPr>
        <w:t>，服务期限从合同签订生效之日起开始计算。相关要求及考核未达到采购人要求，采购人将终止与中标人本项目合同。</w:t>
      </w:r>
    </w:p>
    <w:p>
      <w:pPr>
        <w:spacing w:line="440" w:lineRule="exact"/>
        <w:ind w:firstLine="562" w:firstLineChars="200"/>
        <w:rPr>
          <w:rFonts w:ascii="仿宋" w:hAnsi="仿宋" w:eastAsia="仿宋"/>
          <w:b/>
          <w:bCs/>
          <w:szCs w:val="28"/>
        </w:rPr>
      </w:pPr>
      <w:r>
        <w:rPr>
          <w:rFonts w:hint="eastAsia" w:ascii="仿宋" w:hAnsi="仿宋" w:eastAsia="仿宋"/>
          <w:b/>
          <w:bCs/>
          <w:szCs w:val="28"/>
        </w:rPr>
        <w:t>本次招标合同一年一签，采购人根据中标人在上一合同周期内合同履约情况、考核情况及资金落实情况等决定是否续签。</w:t>
      </w:r>
    </w:p>
    <w:p>
      <w:pPr>
        <w:spacing w:line="440" w:lineRule="exact"/>
        <w:rPr>
          <w:rFonts w:ascii="仿宋" w:hAnsi="仿宋" w:eastAsia="仿宋"/>
          <w:b/>
          <w:bCs/>
          <w:szCs w:val="28"/>
        </w:rPr>
      </w:pPr>
      <w:r>
        <w:rPr>
          <w:rFonts w:hint="eastAsia" w:ascii="仿宋" w:hAnsi="仿宋" w:eastAsia="仿宋"/>
          <w:b/>
          <w:bCs/>
          <w:szCs w:val="28"/>
        </w:rPr>
        <w:t>11.履约保证及后续服务</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2</w:t>
      </w:r>
      <w:r>
        <w:rPr>
          <w:rFonts w:hint="eastAsia" w:ascii="仿宋" w:hAnsi="仿宋" w:eastAsia="仿宋"/>
          <w:bCs/>
          <w:szCs w:val="28"/>
        </w:rPr>
        <w:t xml:space="preserve"> 供应商应按招标文件规定的服务标准向采购人提供服务。</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3</w:t>
      </w:r>
      <w:r>
        <w:rPr>
          <w:rFonts w:hint="eastAsia" w:ascii="仿宋" w:hAnsi="仿宋" w:eastAsia="仿宋"/>
          <w:bCs/>
          <w:szCs w:val="28"/>
        </w:rPr>
        <w:t xml:space="preserve">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4</w:t>
      </w:r>
      <w:r>
        <w:rPr>
          <w:rFonts w:hint="eastAsia" w:ascii="仿宋" w:hAnsi="仿宋" w:eastAsia="仿宋"/>
          <w:bCs/>
          <w:szCs w:val="28"/>
        </w:rPr>
        <w:t xml:space="preserve"> 供应商提供的服务人员不符合本合同约定的数额，供应商应当自接到采购人通知之日起2日内予以补足，采购人有权按照缺岗天数及缺岗人数罚款。</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5</w:t>
      </w:r>
      <w:r>
        <w:rPr>
          <w:rFonts w:hint="eastAsia" w:ascii="仿宋" w:hAnsi="仿宋" w:eastAsia="仿宋"/>
          <w:bCs/>
          <w:szCs w:val="28"/>
        </w:rPr>
        <w:t xml:space="preserve"> 由于供应商服务人员原因在服务工作中给采购人的设施、材料造成损失，供应商应负责赔偿。</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6</w:t>
      </w:r>
      <w:r>
        <w:rPr>
          <w:rFonts w:hint="eastAsia" w:ascii="仿宋" w:hAnsi="仿宋" w:eastAsia="仿宋"/>
          <w:bCs/>
          <w:szCs w:val="28"/>
        </w:rPr>
        <w:t xml:space="preserve"> 在使用过程中发生问题，供应商在接到采购人通知后在1小时内到达采购人现场。</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7</w:t>
      </w:r>
      <w:r>
        <w:rPr>
          <w:rFonts w:hint="eastAsia" w:ascii="仿宋" w:hAnsi="仿宋" w:eastAsia="仿宋"/>
          <w:bCs/>
          <w:szCs w:val="28"/>
        </w:rPr>
        <w:t xml:space="preserve"> 在服务质量保证期内，供应商应对出现的服务质量及安全问题负责处理解决并承担一切费用。</w:t>
      </w:r>
    </w:p>
    <w:p>
      <w:pPr>
        <w:spacing w:line="440" w:lineRule="exact"/>
        <w:rPr>
          <w:rFonts w:ascii="仿宋" w:hAnsi="仿宋" w:eastAsia="仿宋"/>
          <w:b/>
          <w:bCs/>
          <w:szCs w:val="28"/>
        </w:rPr>
      </w:pPr>
      <w:r>
        <w:rPr>
          <w:rFonts w:hint="eastAsia" w:ascii="仿宋" w:hAnsi="仿宋" w:eastAsia="仿宋"/>
          <w:b/>
          <w:bCs/>
          <w:szCs w:val="28"/>
        </w:rPr>
        <w:t>12.违约责任</w:t>
      </w:r>
    </w:p>
    <w:p>
      <w:pPr>
        <w:spacing w:line="440" w:lineRule="exact"/>
        <w:ind w:firstLine="560" w:firstLineChars="200"/>
        <w:rPr>
          <w:rFonts w:ascii="仿宋" w:hAnsi="仿宋" w:eastAsia="仿宋"/>
          <w:bCs/>
          <w:szCs w:val="28"/>
        </w:rPr>
      </w:pPr>
      <w:r>
        <w:rPr>
          <w:rFonts w:hint="eastAsia" w:ascii="仿宋" w:hAnsi="仿宋" w:eastAsia="仿宋"/>
          <w:bCs/>
          <w:szCs w:val="28"/>
        </w:rPr>
        <w:t>12.1 采购人无正当理由拒收接受服务的，采购人向供应商偿付合同款项百分之五作为违约金。</w:t>
      </w:r>
    </w:p>
    <w:p>
      <w:pPr>
        <w:spacing w:line="440" w:lineRule="exact"/>
        <w:ind w:firstLine="560" w:firstLineChars="200"/>
        <w:rPr>
          <w:rFonts w:ascii="仿宋" w:hAnsi="仿宋" w:eastAsia="仿宋"/>
          <w:bCs/>
          <w:szCs w:val="28"/>
        </w:rPr>
      </w:pPr>
      <w:r>
        <w:rPr>
          <w:rFonts w:hint="eastAsia" w:ascii="仿宋" w:hAnsi="仿宋" w:eastAsia="仿宋"/>
          <w:bCs/>
          <w:szCs w:val="28"/>
        </w:rPr>
        <w:t>12.2 采购人无故逾期验收和办理款项支付手续的,采购人应按逾期付款总额每日万分之五向供应商支付违约金。</w:t>
      </w:r>
    </w:p>
    <w:p>
      <w:pPr>
        <w:spacing w:line="440" w:lineRule="exact"/>
        <w:ind w:firstLine="560" w:firstLineChars="200"/>
        <w:rPr>
          <w:rFonts w:ascii="仿宋" w:hAnsi="仿宋" w:eastAsia="仿宋"/>
          <w:bCs/>
          <w:szCs w:val="28"/>
        </w:rPr>
      </w:pPr>
      <w:r>
        <w:rPr>
          <w:rFonts w:hint="eastAsia" w:ascii="仿宋" w:hAnsi="仿宋" w:eastAsia="仿宋"/>
          <w:bCs/>
          <w:szCs w:val="28"/>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440" w:lineRule="exact"/>
        <w:ind w:firstLine="560" w:firstLineChars="200"/>
        <w:rPr>
          <w:rFonts w:ascii="仿宋" w:hAnsi="仿宋" w:eastAsia="仿宋"/>
          <w:bCs/>
          <w:szCs w:val="28"/>
        </w:rPr>
      </w:pPr>
      <w:r>
        <w:rPr>
          <w:rFonts w:ascii="仿宋" w:hAnsi="仿宋" w:eastAsia="仿宋"/>
          <w:bCs/>
          <w:szCs w:val="28"/>
        </w:rPr>
        <w:t>12.4</w:t>
      </w:r>
      <w:r>
        <w:rPr>
          <w:rFonts w:hint="eastAsia" w:ascii="仿宋" w:hAnsi="仿宋" w:eastAsia="仿宋"/>
          <w:szCs w:val="28"/>
        </w:rPr>
        <w:t>如供应商提供的服务或与服务相关的物品存在知识产权纠纷而导致本合同无法继续履行，在采购人发函要求解决相关知识产权问题后30日内仍未解决的，则采购人有权单方终止本合同的履行，并要求供应商承担相应赔偿责任。</w:t>
      </w:r>
    </w:p>
    <w:p>
      <w:pPr>
        <w:spacing w:line="440" w:lineRule="exact"/>
        <w:rPr>
          <w:rFonts w:ascii="仿宋" w:hAnsi="仿宋" w:eastAsia="仿宋"/>
          <w:b/>
          <w:bCs/>
          <w:szCs w:val="28"/>
        </w:rPr>
      </w:pPr>
      <w:r>
        <w:rPr>
          <w:rFonts w:hint="eastAsia" w:ascii="仿宋" w:hAnsi="仿宋" w:eastAsia="仿宋"/>
          <w:b/>
          <w:bCs/>
          <w:szCs w:val="28"/>
        </w:rPr>
        <w:t>13.不可抗力事件处理</w:t>
      </w:r>
    </w:p>
    <w:p>
      <w:pPr>
        <w:spacing w:line="440" w:lineRule="exact"/>
        <w:ind w:firstLine="560" w:firstLineChars="200"/>
        <w:rPr>
          <w:rFonts w:ascii="仿宋" w:hAnsi="仿宋" w:eastAsia="仿宋"/>
          <w:bCs/>
          <w:szCs w:val="28"/>
        </w:rPr>
      </w:pPr>
      <w:r>
        <w:rPr>
          <w:rFonts w:hint="eastAsia" w:ascii="仿宋" w:hAnsi="仿宋" w:eastAsia="仿宋"/>
          <w:bCs/>
          <w:szCs w:val="28"/>
        </w:rPr>
        <w:t>13.1 在合同有效期内，任何一方因不可抗力事件导致不能履行合同，则合同履行期可延长，其延长期与不可抗力影响期相同。</w:t>
      </w:r>
    </w:p>
    <w:p>
      <w:pPr>
        <w:spacing w:line="440" w:lineRule="exact"/>
        <w:ind w:firstLine="560" w:firstLineChars="200"/>
        <w:rPr>
          <w:rFonts w:ascii="仿宋" w:hAnsi="仿宋" w:eastAsia="仿宋"/>
          <w:bCs/>
          <w:szCs w:val="28"/>
        </w:rPr>
      </w:pPr>
      <w:r>
        <w:rPr>
          <w:rFonts w:hint="eastAsia" w:ascii="仿宋" w:hAnsi="仿宋" w:eastAsia="仿宋"/>
          <w:bCs/>
          <w:szCs w:val="28"/>
        </w:rPr>
        <w:t>13.2 不可抗力事件发生后，应立即通知对方，并寄送有关权威机构出具的证明。</w:t>
      </w:r>
    </w:p>
    <w:p>
      <w:pPr>
        <w:spacing w:line="440" w:lineRule="exact"/>
        <w:ind w:firstLine="560" w:firstLineChars="200"/>
        <w:rPr>
          <w:rFonts w:ascii="仿宋" w:hAnsi="仿宋" w:eastAsia="仿宋"/>
          <w:bCs/>
          <w:szCs w:val="28"/>
        </w:rPr>
      </w:pPr>
      <w:r>
        <w:rPr>
          <w:rFonts w:hint="eastAsia" w:ascii="仿宋" w:hAnsi="仿宋" w:eastAsia="仿宋"/>
          <w:bCs/>
          <w:szCs w:val="28"/>
        </w:rPr>
        <w:t>13.3 不可抗力事件延续120天以上，双方应通过友好协商，确定是否继续履行合同。</w:t>
      </w:r>
    </w:p>
    <w:p>
      <w:pPr>
        <w:spacing w:line="440" w:lineRule="exact"/>
        <w:rPr>
          <w:rFonts w:ascii="仿宋" w:hAnsi="仿宋" w:eastAsia="仿宋"/>
          <w:bCs/>
          <w:szCs w:val="28"/>
        </w:rPr>
      </w:pPr>
      <w:r>
        <w:rPr>
          <w:rFonts w:hint="eastAsia" w:ascii="仿宋" w:hAnsi="仿宋" w:eastAsia="仿宋"/>
          <w:b/>
          <w:bCs/>
          <w:szCs w:val="28"/>
        </w:rPr>
        <w:t>14.争议解决</w:t>
      </w:r>
    </w:p>
    <w:p>
      <w:pPr>
        <w:spacing w:line="440" w:lineRule="exact"/>
        <w:ind w:firstLine="560" w:firstLineChars="200"/>
        <w:rPr>
          <w:rFonts w:ascii="仿宋" w:hAnsi="仿宋" w:eastAsia="仿宋"/>
          <w:szCs w:val="28"/>
        </w:rPr>
      </w:pPr>
      <w:r>
        <w:rPr>
          <w:rFonts w:hint="eastAsia" w:ascii="仿宋" w:hAnsi="仿宋" w:eastAsia="仿宋"/>
          <w:szCs w:val="28"/>
        </w:rPr>
        <w:t>14.1在执行本合同中所发生的或与本合同有关的一切争端，合同双方应通过友好协商解决，经过协商仍不能解决，双方选择通过下列第</w:t>
      </w:r>
      <w:r>
        <w:rPr>
          <w:rFonts w:ascii="仿宋" w:hAnsi="仿宋" w:eastAsia="仿宋"/>
          <w:szCs w:val="28"/>
        </w:rPr>
        <w:t>x</w:t>
      </w:r>
      <w:r>
        <w:rPr>
          <w:rFonts w:hint="eastAsia" w:ascii="仿宋" w:hAnsi="仿宋" w:eastAsia="仿宋"/>
          <w:szCs w:val="28"/>
        </w:rPr>
        <w:t>种方式解决：</w:t>
      </w:r>
    </w:p>
    <w:p>
      <w:pPr>
        <w:spacing w:line="440" w:lineRule="exact"/>
        <w:ind w:firstLine="560" w:firstLineChars="200"/>
        <w:rPr>
          <w:rFonts w:ascii="仿宋" w:hAnsi="仿宋" w:eastAsia="仿宋"/>
          <w:szCs w:val="28"/>
        </w:rPr>
      </w:pPr>
      <w:r>
        <w:rPr>
          <w:rFonts w:hint="eastAsia" w:ascii="仿宋" w:hAnsi="仿宋" w:eastAsia="仿宋"/>
          <w:szCs w:val="28"/>
        </w:rPr>
        <w:t>（1）将争端提交湖州仲裁委员会仲裁</w:t>
      </w:r>
    </w:p>
    <w:p>
      <w:pPr>
        <w:spacing w:line="440" w:lineRule="exact"/>
        <w:ind w:firstLine="560" w:firstLineChars="200"/>
        <w:rPr>
          <w:rFonts w:ascii="仿宋" w:hAnsi="仿宋" w:eastAsia="仿宋"/>
          <w:szCs w:val="28"/>
        </w:rPr>
      </w:pPr>
      <w:r>
        <w:rPr>
          <w:rFonts w:hint="eastAsia" w:ascii="仿宋" w:hAnsi="仿宋" w:eastAsia="仿宋"/>
          <w:szCs w:val="28"/>
        </w:rPr>
        <w:t>（2）直接向采购人所在地有管辖权的人民法院起诉。</w:t>
      </w:r>
    </w:p>
    <w:p>
      <w:pPr>
        <w:spacing w:line="440" w:lineRule="exact"/>
        <w:ind w:firstLine="560" w:firstLineChars="200"/>
        <w:rPr>
          <w:rFonts w:ascii="仿宋" w:hAnsi="仿宋" w:eastAsia="仿宋"/>
          <w:szCs w:val="28"/>
        </w:rPr>
      </w:pPr>
      <w:r>
        <w:rPr>
          <w:rFonts w:hint="eastAsia" w:ascii="仿宋" w:hAnsi="仿宋" w:eastAsia="仿宋"/>
          <w:szCs w:val="28"/>
        </w:rPr>
        <w:t>14.</w:t>
      </w:r>
      <w:r>
        <w:rPr>
          <w:rFonts w:ascii="仿宋" w:hAnsi="仿宋" w:eastAsia="仿宋"/>
          <w:szCs w:val="28"/>
        </w:rPr>
        <w:t>2</w:t>
      </w:r>
      <w:r>
        <w:rPr>
          <w:rFonts w:hint="eastAsia" w:ascii="仿宋" w:hAnsi="仿宋" w:eastAsia="仿宋"/>
          <w:szCs w:val="28"/>
        </w:rPr>
        <w:t>仲裁费用或诉讼费用应由败诉方负担。</w:t>
      </w:r>
    </w:p>
    <w:p>
      <w:pPr>
        <w:spacing w:line="440" w:lineRule="exact"/>
        <w:ind w:firstLine="560" w:firstLineChars="200"/>
        <w:rPr>
          <w:rFonts w:ascii="仿宋" w:hAnsi="仿宋" w:eastAsia="仿宋"/>
          <w:szCs w:val="28"/>
        </w:rPr>
      </w:pPr>
      <w:r>
        <w:rPr>
          <w:rFonts w:hint="eastAsia" w:ascii="仿宋" w:hAnsi="仿宋" w:eastAsia="仿宋"/>
          <w:szCs w:val="28"/>
        </w:rPr>
        <w:t>14.</w:t>
      </w:r>
      <w:r>
        <w:rPr>
          <w:rFonts w:ascii="仿宋" w:hAnsi="仿宋" w:eastAsia="仿宋"/>
          <w:szCs w:val="28"/>
        </w:rPr>
        <w:t>3</w:t>
      </w:r>
      <w:r>
        <w:rPr>
          <w:rFonts w:hint="eastAsia" w:ascii="仿宋" w:hAnsi="仿宋" w:eastAsia="仿宋"/>
          <w:szCs w:val="28"/>
        </w:rPr>
        <w:t>在仲裁或诉讼期间，除进行仲裁或诉讼的部分外，本合同其它部分应继续执行。</w:t>
      </w:r>
    </w:p>
    <w:p>
      <w:pPr>
        <w:spacing w:line="440" w:lineRule="exact"/>
        <w:rPr>
          <w:rFonts w:ascii="仿宋" w:hAnsi="仿宋" w:eastAsia="仿宋"/>
          <w:b/>
          <w:bCs/>
          <w:szCs w:val="28"/>
        </w:rPr>
      </w:pPr>
      <w:r>
        <w:rPr>
          <w:rFonts w:hint="eastAsia" w:ascii="仿宋" w:hAnsi="仿宋" w:eastAsia="仿宋"/>
          <w:b/>
          <w:bCs/>
          <w:szCs w:val="28"/>
        </w:rPr>
        <w:t>15.转让或分包</w:t>
      </w:r>
    </w:p>
    <w:p>
      <w:pPr>
        <w:spacing w:line="440" w:lineRule="exact"/>
        <w:ind w:firstLine="560" w:firstLineChars="200"/>
        <w:rPr>
          <w:rFonts w:ascii="仿宋" w:hAnsi="仿宋" w:eastAsia="仿宋"/>
          <w:szCs w:val="28"/>
        </w:rPr>
      </w:pPr>
      <w:r>
        <w:rPr>
          <w:rFonts w:hint="eastAsia" w:ascii="仿宋" w:hAnsi="仿宋" w:eastAsia="仿宋"/>
          <w:szCs w:val="28"/>
        </w:rPr>
        <w:t>15.1本合同范围的服务，应由供应商提供，不得转让他人供应；</w:t>
      </w:r>
    </w:p>
    <w:p>
      <w:pPr>
        <w:spacing w:line="440" w:lineRule="exact"/>
        <w:ind w:firstLine="560" w:firstLineChars="200"/>
        <w:rPr>
          <w:rFonts w:ascii="仿宋" w:hAnsi="仿宋" w:eastAsia="仿宋"/>
          <w:szCs w:val="28"/>
        </w:rPr>
      </w:pPr>
      <w:r>
        <w:rPr>
          <w:rFonts w:hint="eastAsia" w:ascii="仿宋" w:hAnsi="仿宋" w:eastAsia="仿宋"/>
          <w:szCs w:val="28"/>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560" w:firstLineChars="200"/>
        <w:rPr>
          <w:rFonts w:ascii="仿宋" w:hAnsi="仿宋" w:eastAsia="仿宋"/>
          <w:szCs w:val="28"/>
        </w:rPr>
      </w:pPr>
      <w:r>
        <w:rPr>
          <w:rFonts w:hint="eastAsia" w:ascii="仿宋" w:hAnsi="仿宋" w:eastAsia="仿宋"/>
          <w:szCs w:val="28"/>
        </w:rPr>
        <w:t>15.3本合同全部或部分的分包不能减轻供应商承担的责任，供应商仍须将分包人的任何行动、错误或疏忽当作是自己完成的并负全责；</w:t>
      </w:r>
    </w:p>
    <w:p>
      <w:pPr>
        <w:spacing w:line="440" w:lineRule="exact"/>
        <w:ind w:firstLine="560" w:firstLineChars="200"/>
        <w:rPr>
          <w:rFonts w:ascii="仿宋" w:hAnsi="仿宋" w:eastAsia="仿宋"/>
          <w:szCs w:val="28"/>
        </w:rPr>
      </w:pPr>
      <w:r>
        <w:rPr>
          <w:rFonts w:ascii="仿宋" w:hAnsi="仿宋" w:eastAsia="仿宋"/>
          <w:szCs w:val="28"/>
        </w:rPr>
        <w:t>15</w:t>
      </w:r>
      <w:r>
        <w:rPr>
          <w:rFonts w:hint="eastAsia" w:ascii="仿宋" w:hAnsi="仿宋" w:eastAsia="仿宋"/>
          <w:szCs w:val="28"/>
        </w:rPr>
        <w:t>.4在任何分包合同中，须注明分包人按分包合同的范围履行，在供应商按本合同的履行终止时（不论任何原因），亦同时一并终止；</w:t>
      </w:r>
    </w:p>
    <w:p>
      <w:pPr>
        <w:spacing w:line="440" w:lineRule="exact"/>
        <w:ind w:firstLine="560" w:firstLineChars="200"/>
        <w:rPr>
          <w:rFonts w:ascii="仿宋" w:hAnsi="仿宋" w:eastAsia="仿宋"/>
          <w:szCs w:val="28"/>
        </w:rPr>
      </w:pPr>
      <w:r>
        <w:rPr>
          <w:rFonts w:hint="eastAsia" w:ascii="仿宋" w:hAnsi="仿宋" w:eastAsia="仿宋"/>
          <w:szCs w:val="28"/>
        </w:rPr>
        <w:t>15.5如有转让和未经采购人同意的分包行为，采购人有权给予终止合同。</w:t>
      </w:r>
    </w:p>
    <w:p>
      <w:pPr>
        <w:spacing w:line="440" w:lineRule="exact"/>
        <w:rPr>
          <w:rFonts w:ascii="仿宋" w:hAnsi="仿宋" w:eastAsia="仿宋"/>
          <w:b/>
          <w:bCs/>
          <w:szCs w:val="28"/>
        </w:rPr>
      </w:pPr>
      <w:r>
        <w:rPr>
          <w:rFonts w:hint="eastAsia" w:ascii="仿宋" w:hAnsi="仿宋" w:eastAsia="仿宋"/>
          <w:b/>
          <w:bCs/>
          <w:szCs w:val="28"/>
        </w:rPr>
        <w:t>16.适用法律</w:t>
      </w:r>
    </w:p>
    <w:p>
      <w:pPr>
        <w:spacing w:line="440" w:lineRule="exact"/>
        <w:ind w:firstLine="560" w:firstLineChars="200"/>
        <w:rPr>
          <w:rFonts w:ascii="仿宋" w:hAnsi="仿宋" w:eastAsia="仿宋"/>
          <w:bCs/>
          <w:szCs w:val="28"/>
        </w:rPr>
      </w:pPr>
      <w:r>
        <w:rPr>
          <w:rFonts w:hint="eastAsia" w:ascii="仿宋" w:hAnsi="仿宋" w:eastAsia="仿宋"/>
          <w:szCs w:val="28"/>
        </w:rPr>
        <w:t>合同适用法律有《中华人民共和国合同法》、《中华人民共和国产品质量法》和浙江省有关条例等。</w:t>
      </w:r>
    </w:p>
    <w:p>
      <w:pPr>
        <w:spacing w:line="440" w:lineRule="exact"/>
        <w:rPr>
          <w:rFonts w:ascii="仿宋" w:hAnsi="仿宋" w:eastAsia="仿宋"/>
          <w:b/>
          <w:bCs/>
          <w:szCs w:val="28"/>
        </w:rPr>
      </w:pPr>
      <w:r>
        <w:rPr>
          <w:rFonts w:hint="eastAsia" w:ascii="仿宋" w:hAnsi="仿宋" w:eastAsia="仿宋"/>
          <w:b/>
          <w:bCs/>
          <w:szCs w:val="28"/>
        </w:rPr>
        <w:t>17.合同生效及其他</w:t>
      </w:r>
    </w:p>
    <w:p>
      <w:pPr>
        <w:spacing w:line="440" w:lineRule="exact"/>
        <w:ind w:firstLine="560" w:firstLineChars="200"/>
        <w:rPr>
          <w:rFonts w:ascii="仿宋" w:hAnsi="仿宋" w:eastAsia="仿宋"/>
          <w:bCs/>
          <w:szCs w:val="28"/>
        </w:rPr>
      </w:pPr>
      <w:r>
        <w:rPr>
          <w:rFonts w:hint="eastAsia" w:ascii="仿宋" w:hAnsi="仿宋" w:eastAsia="仿宋"/>
          <w:bCs/>
          <w:szCs w:val="28"/>
        </w:rPr>
        <w:t>17.1本合同经双方法人及法定代表人签字盖章生效；</w:t>
      </w:r>
    </w:p>
    <w:p>
      <w:pPr>
        <w:spacing w:line="440" w:lineRule="exact"/>
        <w:ind w:firstLine="560" w:firstLineChars="200"/>
        <w:rPr>
          <w:rFonts w:ascii="仿宋" w:hAnsi="仿宋" w:eastAsia="仿宋"/>
          <w:bCs/>
          <w:szCs w:val="28"/>
        </w:rPr>
      </w:pPr>
      <w:r>
        <w:rPr>
          <w:rFonts w:hint="eastAsia" w:ascii="仿宋" w:hAnsi="仿宋" w:eastAsia="仿宋"/>
          <w:bCs/>
          <w:szCs w:val="28"/>
        </w:rPr>
        <w:t>17.2本合同一式八份，供应商、采购人各执四份。</w:t>
      </w:r>
    </w:p>
    <w:p>
      <w:pPr>
        <w:spacing w:line="440" w:lineRule="exact"/>
        <w:ind w:firstLine="562" w:firstLineChars="200"/>
        <w:rPr>
          <w:rFonts w:ascii="仿宋" w:hAnsi="仿宋" w:eastAsia="仿宋"/>
          <w:b/>
          <w:bCs/>
          <w:szCs w:val="28"/>
        </w:rPr>
      </w:pPr>
    </w:p>
    <w:p>
      <w:pPr>
        <w:spacing w:line="440" w:lineRule="exact"/>
        <w:rPr>
          <w:rFonts w:ascii="仿宋" w:hAnsi="仿宋" w:eastAsia="仿宋"/>
          <w:bCs/>
          <w:szCs w:val="28"/>
        </w:rPr>
      </w:pPr>
    </w:p>
    <w:p>
      <w:pPr>
        <w:spacing w:line="440" w:lineRule="exact"/>
        <w:ind w:firstLine="560" w:firstLineChars="200"/>
        <w:rPr>
          <w:rFonts w:ascii="仿宋" w:hAnsi="仿宋" w:eastAsia="仿宋"/>
          <w:bCs/>
          <w:szCs w:val="28"/>
        </w:rPr>
      </w:pPr>
      <w:r>
        <w:rPr>
          <w:rFonts w:hint="eastAsia" w:ascii="仿宋" w:hAnsi="仿宋" w:eastAsia="仿宋"/>
          <w:bCs/>
          <w:szCs w:val="28"/>
        </w:rPr>
        <w:t xml:space="preserve">采购人：                            供应商： </w:t>
      </w:r>
    </w:p>
    <w:p>
      <w:pPr>
        <w:spacing w:line="440" w:lineRule="exact"/>
        <w:ind w:firstLine="560" w:firstLineChars="200"/>
        <w:rPr>
          <w:rFonts w:ascii="仿宋" w:hAnsi="仿宋" w:eastAsia="仿宋"/>
          <w:bCs/>
          <w:szCs w:val="28"/>
        </w:rPr>
      </w:pPr>
    </w:p>
    <w:p>
      <w:pPr>
        <w:spacing w:line="440" w:lineRule="exact"/>
        <w:ind w:firstLine="560" w:firstLineChars="200"/>
        <w:rPr>
          <w:rFonts w:ascii="仿宋" w:hAnsi="仿宋" w:eastAsia="仿宋"/>
          <w:bCs/>
          <w:szCs w:val="28"/>
        </w:rPr>
      </w:pPr>
      <w:r>
        <w:rPr>
          <w:rFonts w:hint="eastAsia" w:ascii="仿宋" w:hAnsi="仿宋" w:eastAsia="仿宋"/>
          <w:bCs/>
          <w:szCs w:val="28"/>
        </w:rPr>
        <w:t xml:space="preserve">地址：                              地址： </w:t>
      </w:r>
    </w:p>
    <w:p>
      <w:pPr>
        <w:spacing w:line="440" w:lineRule="exact"/>
        <w:ind w:firstLine="560" w:firstLineChars="200"/>
        <w:rPr>
          <w:rFonts w:ascii="仿宋" w:hAnsi="仿宋" w:eastAsia="仿宋"/>
          <w:bCs/>
          <w:szCs w:val="28"/>
        </w:rPr>
      </w:pPr>
    </w:p>
    <w:p>
      <w:pPr>
        <w:spacing w:line="440" w:lineRule="exact"/>
        <w:ind w:firstLine="560" w:firstLineChars="200"/>
        <w:rPr>
          <w:rFonts w:ascii="仿宋" w:hAnsi="仿宋" w:eastAsia="仿宋"/>
          <w:bCs/>
          <w:szCs w:val="28"/>
        </w:rPr>
      </w:pPr>
      <w:r>
        <w:rPr>
          <w:rFonts w:hint="eastAsia" w:ascii="仿宋" w:hAnsi="仿宋" w:eastAsia="仿宋"/>
          <w:bCs/>
          <w:szCs w:val="28"/>
        </w:rPr>
        <w:t>法定（或授权）代表人：            法定（或授权）代表人：</w:t>
      </w:r>
    </w:p>
    <w:p>
      <w:pPr>
        <w:spacing w:line="440" w:lineRule="exact"/>
        <w:ind w:firstLine="560" w:firstLineChars="200"/>
        <w:rPr>
          <w:rFonts w:ascii="仿宋" w:hAnsi="仿宋" w:eastAsia="仿宋"/>
          <w:bCs/>
          <w:szCs w:val="28"/>
        </w:rPr>
      </w:pPr>
    </w:p>
    <w:p>
      <w:pPr>
        <w:spacing w:line="440" w:lineRule="exact"/>
        <w:ind w:firstLine="560" w:firstLineChars="200"/>
        <w:rPr>
          <w:rFonts w:ascii="仿宋" w:hAnsi="仿宋" w:eastAsia="仿宋"/>
          <w:bCs/>
          <w:szCs w:val="28"/>
        </w:rPr>
      </w:pPr>
      <w:r>
        <w:rPr>
          <w:rFonts w:hint="eastAsia" w:ascii="仿宋" w:hAnsi="仿宋" w:eastAsia="仿宋"/>
          <w:bCs/>
          <w:szCs w:val="28"/>
        </w:rPr>
        <w:t>签字日期：   年  月  日          签字日期：   年  月  日</w:t>
      </w:r>
    </w:p>
    <w:p>
      <w:pPr>
        <w:pStyle w:val="21"/>
        <w:ind w:firstLine="0" w:firstLineChars="0"/>
      </w:pPr>
    </w:p>
    <w:p>
      <w:pPr>
        <w:pageBreakBefore/>
        <w:spacing w:beforeLines="50" w:afterLines="50" w:line="440" w:lineRule="exact"/>
        <w:jc w:val="center"/>
        <w:rPr>
          <w:rFonts w:ascii="宋体" w:hAnsi="宋体" w:cs="宋体"/>
          <w:sz w:val="24"/>
        </w:rPr>
      </w:pPr>
      <w:r>
        <w:rPr>
          <w:rFonts w:hint="eastAsia" w:ascii="宋体" w:hAnsi="宋体" w:cs="宋体"/>
          <w:b/>
          <w:bCs/>
          <w:sz w:val="24"/>
        </w:rPr>
        <w:t>工程建设项目廉政合同</w:t>
      </w:r>
    </w:p>
    <w:p>
      <w:pPr>
        <w:adjustRightInd w:val="0"/>
        <w:snapToGrid w:val="0"/>
        <w:spacing w:beforeLines="50" w:afterLines="50" w:line="240" w:lineRule="atLeast"/>
        <w:rPr>
          <w:rFonts w:ascii="宋体" w:hAnsi="宋体" w:cs="宋体"/>
          <w:sz w:val="24"/>
        </w:rPr>
      </w:pPr>
      <w:r>
        <w:rPr>
          <w:rFonts w:hint="eastAsia" w:ascii="宋体" w:hAnsi="宋体" w:cs="宋体"/>
          <w:sz w:val="24"/>
        </w:rPr>
        <w:t>工程项目名称：                    工程建设地址：</w:t>
      </w:r>
    </w:p>
    <w:p>
      <w:pPr>
        <w:adjustRightInd w:val="0"/>
        <w:snapToGrid w:val="0"/>
        <w:spacing w:beforeLines="50" w:afterLines="50" w:line="240" w:lineRule="atLeast"/>
        <w:rPr>
          <w:rFonts w:ascii="宋体" w:hAnsi="宋体" w:cs="宋体"/>
          <w:sz w:val="24"/>
        </w:rPr>
      </w:pPr>
      <w:r>
        <w:rPr>
          <w:rFonts w:hint="eastAsia" w:ascii="宋体" w:hAnsi="宋体" w:cs="宋体"/>
          <w:sz w:val="24"/>
        </w:rPr>
        <w:t>建设单位：                         施工单位：</w:t>
      </w:r>
    </w:p>
    <w:p>
      <w:pPr>
        <w:spacing w:beforeLines="50" w:afterLines="50" w:line="240" w:lineRule="atLeast"/>
        <w:ind w:firstLine="480" w:firstLineChars="200"/>
        <w:rPr>
          <w:rFonts w:ascii="宋体" w:hAnsi="宋体" w:cs="宋体"/>
          <w:sz w:val="24"/>
        </w:rPr>
      </w:pPr>
      <w:r>
        <w:rPr>
          <w:rFonts w:hint="eastAsia" w:ascii="宋体" w:hAnsi="宋体" w:cs="宋体"/>
          <w:sz w:val="24"/>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beforeLines="50" w:afterLines="50" w:line="240" w:lineRule="atLeast"/>
        <w:ind w:firstLine="482" w:firstLineChars="200"/>
        <w:rPr>
          <w:rFonts w:ascii="宋体" w:hAnsi="宋体" w:cs="宋体"/>
          <w:sz w:val="24"/>
        </w:rPr>
      </w:pPr>
      <w:r>
        <w:rPr>
          <w:rFonts w:hint="eastAsia" w:ascii="宋体" w:hAnsi="宋体" w:cs="宋体"/>
          <w:b/>
          <w:bCs/>
          <w:sz w:val="24"/>
        </w:rPr>
        <w:t xml:space="preserve">第一条   </w:t>
      </w:r>
      <w:r>
        <w:rPr>
          <w:rFonts w:hint="eastAsia" w:ascii="宋体" w:hAnsi="宋体" w:cs="宋体"/>
          <w:sz w:val="24"/>
        </w:rPr>
        <w:t>甲乙双方的责任</w:t>
      </w:r>
    </w:p>
    <w:p>
      <w:pPr>
        <w:spacing w:beforeLines="50" w:afterLines="50" w:line="240" w:lineRule="atLeast"/>
        <w:ind w:firstLine="480" w:firstLineChars="200"/>
        <w:rPr>
          <w:rFonts w:ascii="宋体" w:hAnsi="宋体" w:cs="宋体"/>
          <w:sz w:val="24"/>
        </w:rPr>
      </w:pPr>
      <w:r>
        <w:rPr>
          <w:rFonts w:hint="eastAsia" w:ascii="宋体" w:hAnsi="宋体" w:cs="宋体"/>
          <w:sz w:val="24"/>
        </w:rPr>
        <w:t>（一）应严格遵守国家关于市场准入、项目招标投标、工程建设、施工安装和市场活动等有关法律、法规、政策，以及廉政建设的各项规定。</w:t>
      </w:r>
    </w:p>
    <w:p>
      <w:pPr>
        <w:spacing w:line="440" w:lineRule="exact"/>
        <w:ind w:firstLine="570"/>
        <w:jc w:val="left"/>
        <w:rPr>
          <w:rFonts w:ascii="宋体" w:hAnsi="宋体" w:cs="宋体"/>
          <w:sz w:val="24"/>
        </w:rPr>
      </w:pPr>
      <w:r>
        <w:rPr>
          <w:rFonts w:hint="eastAsia" w:ascii="宋体" w:hAnsi="宋体" w:cs="宋体"/>
          <w:sz w:val="24"/>
        </w:rPr>
        <w:t>（二）严格执行建设工程项目承发包合同文件，自觉按合同办事。</w:t>
      </w:r>
    </w:p>
    <w:p>
      <w:pPr>
        <w:spacing w:line="440" w:lineRule="exact"/>
        <w:ind w:firstLine="570"/>
        <w:jc w:val="left"/>
        <w:rPr>
          <w:rFonts w:ascii="宋体" w:hAnsi="宋体" w:cs="宋体"/>
          <w:sz w:val="24"/>
        </w:rPr>
      </w:pPr>
      <w:r>
        <w:rPr>
          <w:rFonts w:hint="eastAsia" w:ascii="宋体" w:hAnsi="宋体" w:cs="宋体"/>
          <w:sz w:val="24"/>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ascii="宋体" w:hAnsi="宋体" w:cs="宋体"/>
          <w:sz w:val="24"/>
        </w:rPr>
      </w:pPr>
      <w:r>
        <w:rPr>
          <w:rFonts w:hint="eastAsia" w:ascii="宋体" w:hAnsi="宋体" w:cs="宋体"/>
          <w:sz w:val="24"/>
        </w:rPr>
        <w:t>（四）发现对方在业务活动中有违规、违纪、违法行为的，应及时提醒对方，情节严重的，应向其上级主管部门或纪检监察、司法等有关机关举报。</w:t>
      </w:r>
    </w:p>
    <w:p>
      <w:pPr>
        <w:spacing w:line="440" w:lineRule="exact"/>
        <w:ind w:firstLine="570"/>
        <w:jc w:val="left"/>
        <w:rPr>
          <w:rFonts w:ascii="宋体" w:hAnsi="宋体" w:cs="宋体"/>
          <w:b/>
          <w:bCs/>
          <w:sz w:val="24"/>
        </w:rPr>
      </w:pPr>
      <w:r>
        <w:rPr>
          <w:rFonts w:hint="eastAsia" w:ascii="宋体" w:hAnsi="宋体" w:cs="宋体"/>
          <w:b/>
          <w:bCs/>
          <w:sz w:val="24"/>
        </w:rPr>
        <w:t xml:space="preserve">第二条   </w:t>
      </w:r>
      <w:r>
        <w:rPr>
          <w:rFonts w:hint="eastAsia" w:ascii="宋体" w:hAnsi="宋体" w:cs="宋体"/>
          <w:sz w:val="24"/>
        </w:rPr>
        <w:t>甲方的责任</w:t>
      </w:r>
    </w:p>
    <w:p>
      <w:pPr>
        <w:spacing w:line="440" w:lineRule="exact"/>
        <w:ind w:firstLine="570"/>
        <w:jc w:val="left"/>
        <w:rPr>
          <w:rFonts w:ascii="宋体" w:hAnsi="宋体" w:cs="宋体"/>
          <w:sz w:val="24"/>
        </w:rPr>
      </w:pPr>
      <w:r>
        <w:rPr>
          <w:rFonts w:hint="eastAsia" w:ascii="宋体" w:hAnsi="宋体" w:cs="宋体"/>
          <w:sz w:val="24"/>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ascii="宋体" w:hAnsi="宋体" w:cs="宋体"/>
          <w:sz w:val="24"/>
        </w:rPr>
      </w:pPr>
      <w:r>
        <w:rPr>
          <w:rFonts w:hint="eastAsia" w:ascii="宋体" w:hAnsi="宋体" w:cs="宋体"/>
          <w:sz w:val="24"/>
        </w:rPr>
        <w:t>（一）不准向乙方和相关单位索要或接受回扣、礼金、有价证券、贵重物品和好处费、感谢费。</w:t>
      </w:r>
    </w:p>
    <w:p>
      <w:pPr>
        <w:spacing w:line="440" w:lineRule="exact"/>
        <w:ind w:firstLine="570"/>
        <w:jc w:val="left"/>
        <w:rPr>
          <w:rFonts w:ascii="宋体" w:hAnsi="宋体" w:cs="宋体"/>
          <w:sz w:val="24"/>
        </w:rPr>
      </w:pPr>
      <w:r>
        <w:rPr>
          <w:rFonts w:hint="eastAsia" w:ascii="宋体" w:hAnsi="宋体" w:cs="宋体"/>
          <w:sz w:val="24"/>
        </w:rPr>
        <w:t>（二）不准在乙方和相关单位报销任何应由甲方或个人支付的费用。</w:t>
      </w:r>
    </w:p>
    <w:p>
      <w:pPr>
        <w:spacing w:line="440" w:lineRule="exact"/>
        <w:ind w:firstLine="570"/>
        <w:jc w:val="left"/>
        <w:rPr>
          <w:rFonts w:ascii="宋体" w:hAnsi="宋体" w:cs="宋体"/>
          <w:sz w:val="24"/>
        </w:rPr>
      </w:pPr>
      <w:r>
        <w:rPr>
          <w:rFonts w:hint="eastAsia" w:ascii="宋体" w:hAnsi="宋体" w:cs="宋体"/>
          <w:sz w:val="24"/>
        </w:rPr>
        <w:t>（三）不准要求、暗示和接受乙方和相关单位为个人装修住房、婚丧嫁娶、配偶子女的工作安排以及出国（境）、旅游等提供方便。</w:t>
      </w:r>
    </w:p>
    <w:p>
      <w:pPr>
        <w:spacing w:line="440" w:lineRule="exact"/>
        <w:ind w:firstLine="570"/>
        <w:jc w:val="left"/>
        <w:rPr>
          <w:rFonts w:ascii="宋体" w:hAnsi="宋体" w:cs="宋体"/>
          <w:sz w:val="24"/>
        </w:rPr>
      </w:pPr>
      <w:r>
        <w:rPr>
          <w:rFonts w:hint="eastAsia" w:ascii="宋体" w:hAnsi="宋体" w:cs="宋体"/>
          <w:sz w:val="24"/>
        </w:rPr>
        <w:t>（四）不准参加有可能影响公正执行公务的乙方和相关单位的宴请和健身、娱乐等活动。</w:t>
      </w:r>
    </w:p>
    <w:p>
      <w:pPr>
        <w:spacing w:line="440" w:lineRule="exact"/>
        <w:ind w:firstLine="570"/>
        <w:jc w:val="left"/>
        <w:rPr>
          <w:rFonts w:ascii="宋体" w:hAnsi="宋体" w:cs="宋体"/>
          <w:sz w:val="24"/>
        </w:rPr>
      </w:pPr>
      <w:r>
        <w:rPr>
          <w:rFonts w:hint="eastAsia" w:ascii="宋体" w:hAnsi="宋体" w:cs="宋体"/>
          <w:sz w:val="24"/>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16"/>
        </w:numPr>
        <w:spacing w:line="440" w:lineRule="exact"/>
        <w:jc w:val="left"/>
        <w:rPr>
          <w:rFonts w:ascii="宋体" w:hAnsi="宋体" w:cs="宋体"/>
          <w:sz w:val="24"/>
        </w:rPr>
      </w:pPr>
      <w:r>
        <w:rPr>
          <w:rFonts w:hint="eastAsia" w:ascii="宋体" w:hAnsi="宋体" w:cs="宋体"/>
          <w:sz w:val="24"/>
        </w:rPr>
        <w:t>乙方的责任</w:t>
      </w:r>
    </w:p>
    <w:p>
      <w:pPr>
        <w:spacing w:line="440" w:lineRule="exact"/>
        <w:ind w:firstLine="570"/>
        <w:jc w:val="left"/>
        <w:rPr>
          <w:rFonts w:ascii="宋体" w:hAnsi="宋体" w:cs="宋体"/>
          <w:sz w:val="24"/>
        </w:rPr>
      </w:pPr>
      <w:r>
        <w:rPr>
          <w:rFonts w:hint="eastAsia" w:ascii="宋体" w:hAnsi="宋体" w:cs="宋体"/>
          <w:sz w:val="24"/>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ascii="宋体" w:hAnsi="宋体" w:cs="宋体"/>
          <w:sz w:val="24"/>
        </w:rPr>
      </w:pPr>
      <w:r>
        <w:rPr>
          <w:rFonts w:hint="eastAsia" w:ascii="宋体" w:hAnsi="宋体" w:cs="宋体"/>
          <w:sz w:val="24"/>
        </w:rPr>
        <w:t>（一）不准以任何理由向甲方、相关单位及其工作人员索要、接受或赠送礼金、有价证券、贵重物品和回扣、好处费、感谢费。</w:t>
      </w:r>
    </w:p>
    <w:p>
      <w:pPr>
        <w:spacing w:line="440" w:lineRule="exact"/>
        <w:ind w:firstLine="570"/>
        <w:jc w:val="left"/>
        <w:rPr>
          <w:rFonts w:ascii="宋体" w:hAnsi="宋体" w:cs="宋体"/>
          <w:sz w:val="24"/>
        </w:rPr>
      </w:pPr>
      <w:r>
        <w:rPr>
          <w:rFonts w:hint="eastAsia" w:ascii="宋体" w:hAnsi="宋体" w:cs="宋体"/>
          <w:sz w:val="24"/>
        </w:rPr>
        <w:t>（二）不准以任何理由为甲方和相关单位报销应由对方或个人支付的费用。</w:t>
      </w:r>
    </w:p>
    <w:p>
      <w:pPr>
        <w:spacing w:line="440" w:lineRule="exact"/>
        <w:ind w:firstLine="570"/>
        <w:jc w:val="left"/>
        <w:rPr>
          <w:rFonts w:ascii="宋体" w:hAnsi="宋体" w:cs="宋体"/>
          <w:sz w:val="24"/>
        </w:rPr>
      </w:pPr>
      <w:r>
        <w:rPr>
          <w:rFonts w:hint="eastAsia" w:ascii="宋体" w:hAnsi="宋体" w:cs="宋体"/>
          <w:sz w:val="24"/>
        </w:rPr>
        <w:t>（三）不准接受或暗示为甲方、相关单位或个人装修住房、婚丧嫁娶、配偶子女的工作安排以及出国（境）、旅游等提供方便。</w:t>
      </w:r>
    </w:p>
    <w:p>
      <w:pPr>
        <w:spacing w:line="440" w:lineRule="exact"/>
        <w:ind w:firstLine="480" w:firstLineChars="200"/>
        <w:jc w:val="left"/>
        <w:rPr>
          <w:rFonts w:ascii="宋体" w:hAnsi="宋体" w:cs="宋体"/>
          <w:sz w:val="24"/>
        </w:rPr>
      </w:pPr>
      <w:r>
        <w:rPr>
          <w:rFonts w:hint="eastAsia" w:ascii="宋体" w:hAnsi="宋体" w:cs="宋体"/>
          <w:sz w:val="24"/>
        </w:rPr>
        <w:t xml:space="preserve">（四）不准以任何理由为甲方、相关单位或个人组织有可能影响公正执行的宴请、健身、娱乐等活动。 </w:t>
      </w:r>
    </w:p>
    <w:p>
      <w:pPr>
        <w:numPr>
          <w:ilvl w:val="0"/>
          <w:numId w:val="16"/>
        </w:numPr>
        <w:spacing w:line="440" w:lineRule="exact"/>
        <w:jc w:val="left"/>
        <w:rPr>
          <w:rFonts w:ascii="宋体" w:hAnsi="宋体" w:cs="宋体"/>
          <w:sz w:val="24"/>
        </w:rPr>
      </w:pPr>
      <w:r>
        <w:rPr>
          <w:rFonts w:hint="eastAsia" w:ascii="宋体" w:hAnsi="宋体" w:cs="宋体"/>
          <w:sz w:val="24"/>
        </w:rPr>
        <w:t>违约责任</w:t>
      </w:r>
    </w:p>
    <w:p>
      <w:pPr>
        <w:spacing w:line="440" w:lineRule="exact"/>
        <w:ind w:firstLine="570"/>
        <w:jc w:val="left"/>
        <w:rPr>
          <w:rFonts w:ascii="宋体" w:hAnsi="宋体" w:cs="宋体"/>
          <w:sz w:val="24"/>
        </w:rPr>
      </w:pPr>
      <w:r>
        <w:rPr>
          <w:rFonts w:hint="eastAsia" w:ascii="宋体" w:hAnsi="宋体" w:cs="宋体"/>
          <w:sz w:val="24"/>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ascii="宋体" w:hAnsi="宋体" w:cs="宋体"/>
          <w:sz w:val="24"/>
        </w:rPr>
      </w:pPr>
      <w:r>
        <w:rPr>
          <w:rFonts w:hint="eastAsia" w:ascii="宋体" w:hAnsi="宋体" w:cs="宋体"/>
          <w:sz w:val="24"/>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ascii="宋体" w:hAnsi="宋体" w:cs="宋体"/>
          <w:sz w:val="24"/>
        </w:rPr>
      </w:pPr>
      <w:r>
        <w:rPr>
          <w:rFonts w:hint="eastAsia" w:ascii="宋体" w:hAnsi="宋体" w:cs="宋体"/>
          <w:sz w:val="24"/>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280"/>
        <w:jc w:val="left"/>
        <w:rPr>
          <w:rFonts w:ascii="宋体" w:hAnsi="宋体" w:cs="宋体"/>
          <w:b/>
          <w:bCs/>
          <w:sz w:val="24"/>
        </w:rPr>
      </w:pPr>
      <w:r>
        <w:rPr>
          <w:rFonts w:hint="eastAsia" w:ascii="宋体" w:hAnsi="宋体" w:cs="宋体"/>
          <w:sz w:val="24"/>
        </w:rPr>
        <w:t>（四）本廉政合同作为工程施工合同的附件，与工程施工合同具有同等法律效力。经双方签署后立即生效。</w:t>
      </w:r>
    </w:p>
    <w:p>
      <w:pPr>
        <w:spacing w:line="440" w:lineRule="exact"/>
        <w:ind w:firstLine="240" w:firstLineChars="100"/>
        <w:jc w:val="left"/>
        <w:rPr>
          <w:rFonts w:ascii="宋体" w:hAnsi="宋体" w:cs="宋体"/>
          <w:sz w:val="24"/>
        </w:rPr>
      </w:pPr>
      <w:r>
        <w:rPr>
          <w:rFonts w:hint="eastAsia" w:ascii="宋体" w:hAnsi="宋体" w:cs="宋体"/>
          <w:sz w:val="24"/>
        </w:rPr>
        <w:t>（五）本廉政合同的有效期为双方签署之日起至该工程项目竣工验收合格时止。</w:t>
      </w:r>
    </w:p>
    <w:p>
      <w:pPr>
        <w:spacing w:line="440" w:lineRule="exact"/>
        <w:ind w:firstLine="240" w:firstLineChars="100"/>
        <w:jc w:val="left"/>
        <w:rPr>
          <w:rFonts w:ascii="宋体" w:hAnsi="宋体" w:cs="宋体"/>
          <w:sz w:val="24"/>
        </w:rPr>
      </w:pPr>
      <w:r>
        <w:rPr>
          <w:rFonts w:hint="eastAsia" w:ascii="宋体" w:hAnsi="宋体" w:cs="宋体"/>
          <w:sz w:val="24"/>
        </w:rPr>
        <w:t>（六）本廉政合同一式四份，由甲乙双方各执一份，送交监督单位一份，并送区建设工程项目廉政保障工作联席会议备案一份。</w:t>
      </w:r>
    </w:p>
    <w:p>
      <w:pPr>
        <w:spacing w:line="440" w:lineRule="exact"/>
        <w:ind w:firstLine="570"/>
        <w:jc w:val="left"/>
        <w:rPr>
          <w:rFonts w:ascii="宋体" w:hAnsi="宋体" w:cs="宋体"/>
          <w:sz w:val="24"/>
        </w:rPr>
      </w:pPr>
    </w:p>
    <w:p>
      <w:pPr>
        <w:spacing w:line="440" w:lineRule="exact"/>
        <w:ind w:firstLine="570"/>
        <w:jc w:val="left"/>
        <w:rPr>
          <w:rFonts w:ascii="宋体" w:hAnsi="宋体" w:cs="宋体"/>
          <w:sz w:val="24"/>
        </w:rPr>
      </w:pPr>
      <w:r>
        <w:rPr>
          <w:rFonts w:hint="eastAsia" w:ascii="宋体" w:hAnsi="宋体" w:cs="宋体"/>
          <w:sz w:val="24"/>
        </w:rPr>
        <w:t>甲方单位： （盖章）           乙方单位： （盖章）</w:t>
      </w:r>
    </w:p>
    <w:p>
      <w:pPr>
        <w:spacing w:line="440" w:lineRule="exact"/>
        <w:ind w:firstLine="570"/>
        <w:jc w:val="left"/>
        <w:rPr>
          <w:rFonts w:ascii="宋体" w:hAnsi="宋体" w:cs="宋体"/>
          <w:sz w:val="24"/>
        </w:rPr>
      </w:pPr>
      <w:r>
        <w:rPr>
          <w:rFonts w:hint="eastAsia" w:ascii="宋体" w:hAnsi="宋体" w:cs="宋体"/>
          <w:sz w:val="24"/>
        </w:rPr>
        <w:t>法人代表人：                  法人代表人</w:t>
      </w:r>
    </w:p>
    <w:p>
      <w:pPr>
        <w:spacing w:line="440" w:lineRule="exact"/>
        <w:ind w:firstLine="570"/>
        <w:jc w:val="left"/>
        <w:rPr>
          <w:rFonts w:ascii="宋体" w:hAnsi="宋体" w:cs="宋体"/>
          <w:sz w:val="24"/>
        </w:rPr>
      </w:pPr>
      <w:r>
        <w:rPr>
          <w:rFonts w:hint="eastAsia" w:ascii="宋体" w:hAnsi="宋体" w:cs="宋体"/>
          <w:sz w:val="24"/>
        </w:rPr>
        <w:t>地址：                        地址：</w:t>
      </w:r>
    </w:p>
    <w:p>
      <w:pPr>
        <w:spacing w:line="440" w:lineRule="exact"/>
        <w:ind w:firstLine="570"/>
        <w:jc w:val="left"/>
        <w:rPr>
          <w:rFonts w:ascii="宋体" w:hAnsi="宋体" w:cs="宋体"/>
          <w:sz w:val="24"/>
        </w:rPr>
      </w:pPr>
      <w:r>
        <w:rPr>
          <w:rFonts w:hint="eastAsia" w:ascii="宋体" w:hAnsi="宋体" w:cs="宋体"/>
          <w:sz w:val="24"/>
        </w:rPr>
        <w:t>电话：                        电话：</w:t>
      </w:r>
    </w:p>
    <w:p>
      <w:pPr>
        <w:spacing w:line="440" w:lineRule="exact"/>
        <w:rPr>
          <w:rFonts w:ascii="宋体" w:hAnsi="宋体" w:cs="宋体"/>
          <w:sz w:val="24"/>
        </w:rPr>
      </w:pPr>
      <w:r>
        <w:rPr>
          <w:rFonts w:hint="eastAsia" w:ascii="宋体" w:hAnsi="宋体" w:cs="宋体"/>
          <w:sz w:val="24"/>
        </w:rPr>
        <w:t xml:space="preserve">     年   月   日                  年   月   日</w:t>
      </w:r>
    </w:p>
    <w:p>
      <w:pPr>
        <w:ind w:firstLine="480" w:firstLineChars="200"/>
        <w:rPr>
          <w:rFonts w:ascii="宋体" w:hAnsi="宋体" w:cs="宋体"/>
          <w:sz w:val="24"/>
        </w:rPr>
      </w:pPr>
      <w:r>
        <w:rPr>
          <w:rFonts w:hint="eastAsia" w:ascii="宋体" w:hAnsi="宋体" w:cs="宋体"/>
          <w:sz w:val="24"/>
        </w:rPr>
        <w:t>监督单位（盖章）               年   月   日</w:t>
      </w:r>
    </w:p>
    <w:p>
      <w:pPr>
        <w:pStyle w:val="21"/>
        <w:ind w:firstLine="280"/>
        <w:rPr>
          <w:rFonts w:ascii="宋体" w:hAnsi="宋体" w:cs="宋体"/>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附件2：</w:t>
      </w:r>
    </w:p>
    <w:p>
      <w:pPr>
        <w:spacing w:line="360" w:lineRule="auto"/>
        <w:ind w:firstLine="480" w:firstLineChars="200"/>
        <w:rPr>
          <w:rFonts w:ascii="宋体" w:hAnsi="宋体"/>
          <w:sz w:val="24"/>
        </w:rPr>
      </w:pPr>
      <w:r>
        <w:rPr>
          <w:rFonts w:hint="eastAsia" w:ascii="宋体" w:hAnsi="宋体"/>
          <w:sz w:val="24"/>
        </w:rPr>
        <w:t>该项目养护人员组成：</w:t>
      </w:r>
    </w:p>
    <w:tbl>
      <w:tblPr>
        <w:tblStyle w:val="41"/>
        <w:tblpPr w:leftFromText="180" w:rightFromText="180" w:vertAnchor="text" w:horzAnchor="margin" w:tblpXSpec="center"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417"/>
        <w:gridCol w:w="1985"/>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360" w:lineRule="auto"/>
              <w:jc w:val="center"/>
              <w:rPr>
                <w:rFonts w:ascii="宋体" w:hAnsi="宋体"/>
                <w:b/>
                <w:sz w:val="24"/>
              </w:rPr>
            </w:pPr>
            <w:r>
              <w:rPr>
                <w:rFonts w:hint="eastAsia" w:ascii="宋体" w:hAnsi="宋体"/>
                <w:b/>
                <w:sz w:val="24"/>
              </w:rPr>
              <w:t>人员组成</w:t>
            </w:r>
          </w:p>
        </w:tc>
        <w:tc>
          <w:tcPr>
            <w:tcW w:w="1417" w:type="dxa"/>
            <w:vAlign w:val="center"/>
          </w:tcPr>
          <w:p>
            <w:pPr>
              <w:spacing w:line="360" w:lineRule="auto"/>
              <w:jc w:val="center"/>
              <w:rPr>
                <w:rFonts w:ascii="宋体" w:hAnsi="宋体"/>
                <w:b/>
                <w:sz w:val="24"/>
              </w:rPr>
            </w:pPr>
            <w:r>
              <w:rPr>
                <w:rFonts w:hint="eastAsia" w:ascii="宋体" w:hAnsi="宋体"/>
                <w:b/>
                <w:sz w:val="24"/>
              </w:rPr>
              <w:t>姓名</w:t>
            </w:r>
          </w:p>
        </w:tc>
        <w:tc>
          <w:tcPr>
            <w:tcW w:w="1985" w:type="dxa"/>
            <w:vAlign w:val="center"/>
          </w:tcPr>
          <w:p>
            <w:pPr>
              <w:spacing w:line="360" w:lineRule="auto"/>
              <w:jc w:val="center"/>
              <w:rPr>
                <w:rFonts w:ascii="宋体" w:hAnsi="宋体"/>
                <w:b/>
                <w:sz w:val="24"/>
              </w:rPr>
            </w:pPr>
            <w:r>
              <w:rPr>
                <w:rFonts w:hint="eastAsia" w:ascii="宋体" w:hAnsi="宋体"/>
                <w:b/>
                <w:sz w:val="24"/>
              </w:rPr>
              <w:t>技术职称</w:t>
            </w:r>
          </w:p>
        </w:tc>
        <w:tc>
          <w:tcPr>
            <w:tcW w:w="2301" w:type="dxa"/>
            <w:vAlign w:val="center"/>
          </w:tcPr>
          <w:p>
            <w:pPr>
              <w:spacing w:line="360" w:lineRule="auto"/>
              <w:jc w:val="center"/>
              <w:rPr>
                <w:rFonts w:ascii="宋体" w:hAnsi="宋体"/>
                <w:b/>
                <w:sz w:val="24"/>
              </w:rPr>
            </w:pPr>
            <w:r>
              <w:rPr>
                <w:rFonts w:hint="eastAsia" w:ascii="宋体" w:hAnsi="宋体"/>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360" w:lineRule="auto"/>
              <w:jc w:val="center"/>
              <w:rPr>
                <w:rFonts w:ascii="宋体" w:hAnsi="宋体"/>
                <w:sz w:val="24"/>
              </w:rPr>
            </w:pPr>
            <w:r>
              <w:rPr>
                <w:rFonts w:hint="eastAsia" w:ascii="宋体" w:hAnsi="宋体"/>
                <w:sz w:val="24"/>
              </w:rPr>
              <w:t>项目负责人</w:t>
            </w:r>
          </w:p>
        </w:tc>
        <w:tc>
          <w:tcPr>
            <w:tcW w:w="1417" w:type="dxa"/>
            <w:vAlign w:val="center"/>
          </w:tcPr>
          <w:p>
            <w:pPr>
              <w:spacing w:line="360" w:lineRule="auto"/>
              <w:jc w:val="center"/>
              <w:rPr>
                <w:rFonts w:ascii="宋体" w:hAnsi="宋体"/>
                <w:sz w:val="24"/>
              </w:rPr>
            </w:pPr>
          </w:p>
        </w:tc>
        <w:tc>
          <w:tcPr>
            <w:tcW w:w="1985" w:type="dxa"/>
            <w:vAlign w:val="center"/>
          </w:tcPr>
          <w:p>
            <w:pPr>
              <w:spacing w:line="360" w:lineRule="auto"/>
              <w:ind w:firstLine="480" w:firstLineChars="200"/>
              <w:jc w:val="center"/>
              <w:rPr>
                <w:rFonts w:ascii="宋体" w:hAnsi="宋体"/>
                <w:sz w:val="24"/>
              </w:rPr>
            </w:pPr>
          </w:p>
        </w:tc>
        <w:tc>
          <w:tcPr>
            <w:tcW w:w="2301" w:type="dxa"/>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360" w:lineRule="auto"/>
              <w:jc w:val="center"/>
              <w:rPr>
                <w:rFonts w:ascii="宋体" w:hAnsi="宋体"/>
                <w:sz w:val="24"/>
              </w:rPr>
            </w:pPr>
            <w:r>
              <w:rPr>
                <w:rFonts w:hint="eastAsia" w:ascii="宋体" w:hAnsi="宋体"/>
                <w:sz w:val="24"/>
              </w:rPr>
              <w:t>技工</w:t>
            </w:r>
          </w:p>
        </w:tc>
        <w:tc>
          <w:tcPr>
            <w:tcW w:w="1417" w:type="dxa"/>
            <w:vAlign w:val="center"/>
          </w:tcPr>
          <w:p>
            <w:pPr>
              <w:spacing w:line="360" w:lineRule="auto"/>
              <w:ind w:firstLine="480" w:firstLineChars="200"/>
              <w:jc w:val="center"/>
              <w:rPr>
                <w:rFonts w:ascii="宋体" w:hAnsi="宋体"/>
                <w:sz w:val="24"/>
              </w:rPr>
            </w:pPr>
          </w:p>
        </w:tc>
        <w:tc>
          <w:tcPr>
            <w:tcW w:w="1985" w:type="dxa"/>
            <w:vAlign w:val="center"/>
          </w:tcPr>
          <w:p>
            <w:pPr>
              <w:spacing w:line="360" w:lineRule="auto"/>
              <w:ind w:firstLine="480" w:firstLineChars="200"/>
              <w:jc w:val="center"/>
              <w:rPr>
                <w:rFonts w:ascii="宋体" w:hAnsi="宋体"/>
                <w:sz w:val="24"/>
              </w:rPr>
            </w:pPr>
          </w:p>
        </w:tc>
        <w:tc>
          <w:tcPr>
            <w:tcW w:w="2301" w:type="dxa"/>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360" w:lineRule="auto"/>
              <w:jc w:val="center"/>
              <w:rPr>
                <w:rFonts w:ascii="宋体" w:hAnsi="宋体"/>
                <w:sz w:val="24"/>
              </w:rPr>
            </w:pPr>
            <w:r>
              <w:rPr>
                <w:rFonts w:hint="eastAsia" w:ascii="宋体" w:hAnsi="宋体"/>
                <w:sz w:val="24"/>
              </w:rPr>
              <w:t>养护工人数</w:t>
            </w:r>
          </w:p>
        </w:tc>
        <w:tc>
          <w:tcPr>
            <w:tcW w:w="1417" w:type="dxa"/>
            <w:vAlign w:val="center"/>
          </w:tcPr>
          <w:p>
            <w:pPr>
              <w:spacing w:line="360" w:lineRule="auto"/>
              <w:ind w:firstLine="480" w:firstLineChars="200"/>
              <w:jc w:val="center"/>
              <w:rPr>
                <w:rFonts w:ascii="宋体" w:hAnsi="宋体"/>
                <w:sz w:val="24"/>
              </w:rPr>
            </w:pPr>
          </w:p>
        </w:tc>
        <w:tc>
          <w:tcPr>
            <w:tcW w:w="1985" w:type="dxa"/>
            <w:vAlign w:val="center"/>
          </w:tcPr>
          <w:p>
            <w:pPr>
              <w:spacing w:line="360" w:lineRule="auto"/>
              <w:ind w:firstLine="480" w:firstLineChars="200"/>
              <w:jc w:val="center"/>
              <w:rPr>
                <w:rFonts w:ascii="宋体" w:hAnsi="宋体"/>
                <w:sz w:val="24"/>
              </w:rPr>
            </w:pPr>
          </w:p>
        </w:tc>
        <w:tc>
          <w:tcPr>
            <w:tcW w:w="2301" w:type="dxa"/>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360" w:lineRule="auto"/>
              <w:jc w:val="center"/>
              <w:rPr>
                <w:rFonts w:ascii="宋体" w:hAnsi="宋体"/>
                <w:sz w:val="24"/>
              </w:rPr>
            </w:pPr>
            <w:r>
              <w:rPr>
                <w:rFonts w:hint="eastAsia" w:ascii="宋体" w:hAnsi="宋体"/>
                <w:sz w:val="24"/>
              </w:rPr>
              <w:t>保洁员人数</w:t>
            </w:r>
          </w:p>
        </w:tc>
        <w:tc>
          <w:tcPr>
            <w:tcW w:w="1417" w:type="dxa"/>
            <w:vAlign w:val="center"/>
          </w:tcPr>
          <w:p>
            <w:pPr>
              <w:spacing w:line="360" w:lineRule="auto"/>
              <w:ind w:firstLine="480" w:firstLineChars="200"/>
              <w:jc w:val="center"/>
              <w:rPr>
                <w:rFonts w:ascii="宋体" w:hAnsi="宋体"/>
                <w:sz w:val="24"/>
              </w:rPr>
            </w:pPr>
          </w:p>
        </w:tc>
        <w:tc>
          <w:tcPr>
            <w:tcW w:w="1985" w:type="dxa"/>
            <w:vAlign w:val="center"/>
          </w:tcPr>
          <w:p>
            <w:pPr>
              <w:spacing w:line="360" w:lineRule="auto"/>
              <w:ind w:firstLine="480" w:firstLineChars="200"/>
              <w:jc w:val="center"/>
              <w:rPr>
                <w:rFonts w:ascii="宋体" w:hAnsi="宋体"/>
                <w:sz w:val="24"/>
              </w:rPr>
            </w:pPr>
          </w:p>
        </w:tc>
        <w:tc>
          <w:tcPr>
            <w:tcW w:w="2301" w:type="dxa"/>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360" w:lineRule="auto"/>
              <w:jc w:val="center"/>
              <w:rPr>
                <w:rFonts w:ascii="宋体" w:hAnsi="宋体"/>
                <w:sz w:val="24"/>
              </w:rPr>
            </w:pPr>
          </w:p>
        </w:tc>
        <w:tc>
          <w:tcPr>
            <w:tcW w:w="1417" w:type="dxa"/>
            <w:vAlign w:val="center"/>
          </w:tcPr>
          <w:p>
            <w:pPr>
              <w:spacing w:line="360" w:lineRule="auto"/>
              <w:ind w:firstLine="480" w:firstLineChars="200"/>
              <w:jc w:val="center"/>
              <w:rPr>
                <w:rFonts w:ascii="宋体" w:hAnsi="宋体"/>
                <w:sz w:val="24"/>
              </w:rPr>
            </w:pPr>
          </w:p>
        </w:tc>
        <w:tc>
          <w:tcPr>
            <w:tcW w:w="1985" w:type="dxa"/>
            <w:vAlign w:val="center"/>
          </w:tcPr>
          <w:p>
            <w:pPr>
              <w:spacing w:line="360" w:lineRule="auto"/>
              <w:ind w:firstLine="480" w:firstLineChars="200"/>
              <w:jc w:val="center"/>
              <w:rPr>
                <w:rFonts w:ascii="宋体" w:hAnsi="宋体"/>
                <w:sz w:val="24"/>
              </w:rPr>
            </w:pPr>
          </w:p>
        </w:tc>
        <w:tc>
          <w:tcPr>
            <w:tcW w:w="2301" w:type="dxa"/>
            <w:vAlign w:val="center"/>
          </w:tcPr>
          <w:p>
            <w:pPr>
              <w:spacing w:line="360" w:lineRule="auto"/>
              <w:ind w:firstLine="480" w:firstLineChars="200"/>
              <w:jc w:val="cente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分块绿地养护人员组成:</w:t>
      </w:r>
    </w:p>
    <w:tbl>
      <w:tblPr>
        <w:tblStyle w:val="41"/>
        <w:tblW w:w="0" w:type="auto"/>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660"/>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360" w:lineRule="auto"/>
              <w:ind w:firstLine="480" w:firstLineChars="200"/>
              <w:rPr>
                <w:rFonts w:ascii="宋体" w:hAnsi="宋体"/>
                <w:sz w:val="24"/>
              </w:rPr>
            </w:pPr>
            <w:r>
              <w:rPr>
                <w:rFonts w:hint="eastAsia" w:ascii="宋体" w:hAnsi="宋体"/>
                <w:sz w:val="24"/>
              </w:rPr>
              <w:t>分块绿地名称</w:t>
            </w:r>
          </w:p>
        </w:tc>
        <w:tc>
          <w:tcPr>
            <w:tcW w:w="2660" w:type="dxa"/>
          </w:tcPr>
          <w:p>
            <w:pPr>
              <w:spacing w:line="360" w:lineRule="auto"/>
              <w:ind w:firstLine="480" w:firstLineChars="200"/>
              <w:rPr>
                <w:rFonts w:ascii="宋体" w:hAnsi="宋体"/>
                <w:sz w:val="24"/>
              </w:rPr>
            </w:pPr>
            <w:r>
              <w:rPr>
                <w:rFonts w:hint="eastAsia" w:ascii="宋体" w:hAnsi="宋体"/>
                <w:sz w:val="24"/>
              </w:rPr>
              <w:t>班组长</w:t>
            </w:r>
          </w:p>
        </w:tc>
        <w:tc>
          <w:tcPr>
            <w:tcW w:w="3080" w:type="dxa"/>
          </w:tcPr>
          <w:p>
            <w:pPr>
              <w:spacing w:line="360" w:lineRule="auto"/>
              <w:ind w:firstLine="480" w:firstLineChars="200"/>
              <w:rPr>
                <w:rFonts w:ascii="宋体" w:hAnsi="宋体"/>
                <w:sz w:val="24"/>
              </w:rPr>
            </w:pPr>
            <w:r>
              <w:rPr>
                <w:rFonts w:hint="eastAsia" w:ascii="宋体" w:hAnsi="宋体"/>
                <w:sz w:val="24"/>
              </w:rPr>
              <w:t>养护小组人员数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360" w:lineRule="auto"/>
              <w:ind w:firstLine="480" w:firstLineChars="200"/>
              <w:rPr>
                <w:rFonts w:ascii="宋体" w:hAnsi="宋体"/>
                <w:sz w:val="24"/>
              </w:rPr>
            </w:pPr>
          </w:p>
        </w:tc>
        <w:tc>
          <w:tcPr>
            <w:tcW w:w="2660" w:type="dxa"/>
          </w:tcPr>
          <w:p>
            <w:pPr>
              <w:spacing w:line="360" w:lineRule="auto"/>
              <w:ind w:firstLine="480" w:firstLineChars="200"/>
              <w:rPr>
                <w:rFonts w:ascii="宋体" w:hAnsi="宋体"/>
                <w:sz w:val="24"/>
              </w:rPr>
            </w:pPr>
          </w:p>
        </w:tc>
        <w:tc>
          <w:tcPr>
            <w:tcW w:w="3080" w:type="dxa"/>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360" w:lineRule="auto"/>
              <w:ind w:firstLine="480" w:firstLineChars="200"/>
              <w:rPr>
                <w:rFonts w:ascii="宋体" w:hAnsi="宋体"/>
                <w:sz w:val="24"/>
              </w:rPr>
            </w:pPr>
          </w:p>
        </w:tc>
        <w:tc>
          <w:tcPr>
            <w:tcW w:w="2660" w:type="dxa"/>
          </w:tcPr>
          <w:p>
            <w:pPr>
              <w:spacing w:line="360" w:lineRule="auto"/>
              <w:ind w:firstLine="480" w:firstLineChars="200"/>
              <w:rPr>
                <w:rFonts w:ascii="宋体" w:hAnsi="宋体"/>
                <w:sz w:val="24"/>
              </w:rPr>
            </w:pPr>
          </w:p>
        </w:tc>
        <w:tc>
          <w:tcPr>
            <w:tcW w:w="3080" w:type="dxa"/>
          </w:tcPr>
          <w:p>
            <w:pPr>
              <w:spacing w:line="360" w:lineRule="auto"/>
              <w:ind w:firstLine="480" w:firstLineChars="200"/>
              <w:rPr>
                <w:rFonts w:ascii="宋体" w:hAnsi="宋体"/>
                <w:sz w:val="24"/>
              </w:rPr>
            </w:pPr>
          </w:p>
        </w:tc>
      </w:tr>
    </w:tbl>
    <w:p>
      <w:pPr>
        <w:pStyle w:val="3"/>
        <w:spacing w:line="320" w:lineRule="exact"/>
        <w:ind w:firstLine="480" w:firstLineChars="200"/>
        <w:jc w:val="left"/>
        <w:rPr>
          <w:rFonts w:hAnsi="宋体"/>
          <w:b/>
          <w:kern w:val="2"/>
          <w:sz w:val="24"/>
          <w:szCs w:val="24"/>
        </w:rPr>
      </w:pPr>
      <w:r>
        <w:rPr>
          <w:rFonts w:hint="eastAsia" w:hAnsi="宋体"/>
          <w:sz w:val="24"/>
        </w:rPr>
        <w:t>备注：</w:t>
      </w:r>
      <w:r>
        <w:rPr>
          <w:rFonts w:hint="eastAsia" w:hAnsi="宋体"/>
          <w:bCs/>
          <w:kern w:val="2"/>
          <w:sz w:val="24"/>
          <w:szCs w:val="24"/>
        </w:rPr>
        <w:t>以上人员如有变动，应及时报甲方备案。</w:t>
      </w:r>
      <w:r>
        <w:rPr>
          <w:rFonts w:hint="eastAsia" w:hAnsi="宋体"/>
          <w:b/>
          <w:kern w:val="2"/>
          <w:sz w:val="24"/>
          <w:szCs w:val="24"/>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机械设备：</w:t>
      </w:r>
    </w:p>
    <w:tbl>
      <w:tblPr>
        <w:tblStyle w:val="41"/>
        <w:tblW w:w="0" w:type="auto"/>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311"/>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spacing w:line="360" w:lineRule="auto"/>
              <w:ind w:firstLine="480" w:firstLineChars="200"/>
              <w:rPr>
                <w:rFonts w:ascii="宋体" w:hAnsi="宋体"/>
                <w:sz w:val="24"/>
              </w:rPr>
            </w:pPr>
            <w:r>
              <w:rPr>
                <w:rFonts w:hint="eastAsia" w:ascii="宋体" w:hAnsi="宋体"/>
                <w:sz w:val="24"/>
              </w:rPr>
              <w:t>设备名称</w:t>
            </w:r>
          </w:p>
        </w:tc>
        <w:tc>
          <w:tcPr>
            <w:tcW w:w="1311" w:type="dxa"/>
          </w:tcPr>
          <w:p>
            <w:pPr>
              <w:spacing w:line="360" w:lineRule="auto"/>
              <w:jc w:val="center"/>
              <w:rPr>
                <w:rFonts w:ascii="宋体" w:hAnsi="宋体"/>
                <w:sz w:val="24"/>
              </w:rPr>
            </w:pPr>
            <w:r>
              <w:rPr>
                <w:rFonts w:hint="eastAsia" w:ascii="宋体" w:hAnsi="宋体"/>
                <w:sz w:val="24"/>
              </w:rPr>
              <w:t>数量</w:t>
            </w:r>
          </w:p>
        </w:tc>
        <w:tc>
          <w:tcPr>
            <w:tcW w:w="4849" w:type="dxa"/>
          </w:tcPr>
          <w:p>
            <w:pPr>
              <w:spacing w:line="360" w:lineRule="auto"/>
              <w:rPr>
                <w:rFonts w:ascii="宋体" w:hAnsi="宋体"/>
                <w:sz w:val="24"/>
              </w:rPr>
            </w:pPr>
            <w:r>
              <w:rPr>
                <w:rFonts w:hint="eastAsia" w:ascii="宋体" w:hAnsi="宋体"/>
                <w:sz w:val="24"/>
              </w:rPr>
              <w:t>品牌、型号、主要技术参数、机动车牌号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spacing w:line="360" w:lineRule="auto"/>
              <w:ind w:firstLine="480" w:firstLineChars="200"/>
              <w:rPr>
                <w:rFonts w:ascii="宋体" w:hAnsi="宋体"/>
                <w:sz w:val="24"/>
              </w:rPr>
            </w:pPr>
            <w:r>
              <w:rPr>
                <w:rFonts w:hint="eastAsia" w:ascii="宋体" w:hAnsi="宋体"/>
                <w:sz w:val="24"/>
              </w:rPr>
              <w:t>运输车</w:t>
            </w:r>
          </w:p>
        </w:tc>
        <w:tc>
          <w:tcPr>
            <w:tcW w:w="1311" w:type="dxa"/>
          </w:tcPr>
          <w:p>
            <w:pPr>
              <w:spacing w:line="360" w:lineRule="auto"/>
              <w:ind w:firstLine="480" w:firstLineChars="200"/>
              <w:rPr>
                <w:rFonts w:ascii="宋体" w:hAnsi="宋体"/>
                <w:sz w:val="24"/>
              </w:rPr>
            </w:pPr>
          </w:p>
        </w:tc>
        <w:tc>
          <w:tcPr>
            <w:tcW w:w="4849" w:type="dxa"/>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spacing w:line="360" w:lineRule="auto"/>
              <w:ind w:firstLine="480" w:firstLineChars="200"/>
              <w:rPr>
                <w:rFonts w:ascii="宋体" w:hAnsi="宋体"/>
                <w:sz w:val="24"/>
              </w:rPr>
            </w:pPr>
            <w:r>
              <w:rPr>
                <w:rFonts w:hint="eastAsia" w:ascii="宋体" w:hAnsi="宋体"/>
                <w:sz w:val="24"/>
              </w:rPr>
              <w:t>绿篱机</w:t>
            </w:r>
          </w:p>
        </w:tc>
        <w:tc>
          <w:tcPr>
            <w:tcW w:w="1311" w:type="dxa"/>
          </w:tcPr>
          <w:p>
            <w:pPr>
              <w:spacing w:line="360" w:lineRule="auto"/>
              <w:ind w:firstLine="480" w:firstLineChars="200"/>
              <w:rPr>
                <w:rFonts w:ascii="宋体" w:hAnsi="宋体"/>
                <w:sz w:val="24"/>
              </w:rPr>
            </w:pPr>
          </w:p>
        </w:tc>
        <w:tc>
          <w:tcPr>
            <w:tcW w:w="4849" w:type="dxa"/>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spacing w:line="360" w:lineRule="auto"/>
              <w:ind w:firstLine="480" w:firstLineChars="200"/>
              <w:rPr>
                <w:rFonts w:ascii="宋体" w:hAnsi="宋体"/>
                <w:sz w:val="24"/>
              </w:rPr>
            </w:pPr>
            <w:r>
              <w:rPr>
                <w:rFonts w:hint="eastAsia" w:ascii="宋体" w:hAnsi="宋体"/>
                <w:sz w:val="24"/>
              </w:rPr>
              <w:t>割灌机</w:t>
            </w:r>
          </w:p>
        </w:tc>
        <w:tc>
          <w:tcPr>
            <w:tcW w:w="1311" w:type="dxa"/>
          </w:tcPr>
          <w:p>
            <w:pPr>
              <w:spacing w:line="360" w:lineRule="auto"/>
              <w:ind w:firstLine="480" w:firstLineChars="200"/>
              <w:rPr>
                <w:rFonts w:ascii="宋体" w:hAnsi="宋体"/>
                <w:sz w:val="24"/>
              </w:rPr>
            </w:pPr>
          </w:p>
        </w:tc>
        <w:tc>
          <w:tcPr>
            <w:tcW w:w="4849" w:type="dxa"/>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spacing w:line="360" w:lineRule="auto"/>
              <w:ind w:firstLine="480" w:firstLineChars="200"/>
              <w:rPr>
                <w:rFonts w:ascii="宋体" w:hAnsi="宋体"/>
                <w:sz w:val="24"/>
              </w:rPr>
            </w:pPr>
            <w:r>
              <w:rPr>
                <w:rFonts w:hint="eastAsia" w:ascii="宋体" w:hAnsi="宋体"/>
                <w:sz w:val="24"/>
              </w:rPr>
              <w:t>草坪机</w:t>
            </w:r>
          </w:p>
        </w:tc>
        <w:tc>
          <w:tcPr>
            <w:tcW w:w="1311" w:type="dxa"/>
          </w:tcPr>
          <w:p>
            <w:pPr>
              <w:spacing w:line="360" w:lineRule="auto"/>
              <w:ind w:firstLine="480" w:firstLineChars="200"/>
              <w:rPr>
                <w:rFonts w:ascii="宋体" w:hAnsi="宋体"/>
                <w:sz w:val="24"/>
              </w:rPr>
            </w:pPr>
          </w:p>
        </w:tc>
        <w:tc>
          <w:tcPr>
            <w:tcW w:w="4849" w:type="dxa"/>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spacing w:line="360" w:lineRule="auto"/>
              <w:ind w:firstLine="480" w:firstLineChars="200"/>
              <w:rPr>
                <w:rFonts w:ascii="宋体" w:hAnsi="宋体"/>
                <w:sz w:val="24"/>
              </w:rPr>
            </w:pPr>
            <w:r>
              <w:rPr>
                <w:rFonts w:hint="eastAsia" w:ascii="宋体" w:hAnsi="宋体"/>
                <w:sz w:val="24"/>
              </w:rPr>
              <w:t>打药机</w:t>
            </w:r>
          </w:p>
        </w:tc>
        <w:tc>
          <w:tcPr>
            <w:tcW w:w="1311" w:type="dxa"/>
          </w:tcPr>
          <w:p>
            <w:pPr>
              <w:spacing w:line="360" w:lineRule="auto"/>
              <w:ind w:firstLine="480" w:firstLineChars="200"/>
              <w:rPr>
                <w:rFonts w:ascii="宋体" w:hAnsi="宋体"/>
                <w:sz w:val="24"/>
              </w:rPr>
            </w:pPr>
          </w:p>
        </w:tc>
        <w:tc>
          <w:tcPr>
            <w:tcW w:w="4849" w:type="dxa"/>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spacing w:line="360" w:lineRule="auto"/>
              <w:ind w:firstLine="480" w:firstLineChars="200"/>
              <w:rPr>
                <w:rFonts w:ascii="宋体" w:hAnsi="宋体"/>
                <w:sz w:val="24"/>
              </w:rPr>
            </w:pPr>
            <w:r>
              <w:rPr>
                <w:rFonts w:hint="eastAsia" w:ascii="宋体" w:hAnsi="宋体"/>
                <w:sz w:val="24"/>
              </w:rPr>
              <w:t>浇灌水泵</w:t>
            </w:r>
          </w:p>
        </w:tc>
        <w:tc>
          <w:tcPr>
            <w:tcW w:w="1311" w:type="dxa"/>
          </w:tcPr>
          <w:p>
            <w:pPr>
              <w:spacing w:line="360" w:lineRule="auto"/>
              <w:ind w:firstLine="480" w:firstLineChars="200"/>
              <w:rPr>
                <w:rFonts w:ascii="宋体" w:hAnsi="宋体"/>
                <w:sz w:val="24"/>
              </w:rPr>
            </w:pPr>
          </w:p>
        </w:tc>
        <w:tc>
          <w:tcPr>
            <w:tcW w:w="4849" w:type="dxa"/>
          </w:tcPr>
          <w:p>
            <w:pPr>
              <w:spacing w:line="360" w:lineRule="auto"/>
              <w:ind w:firstLine="480" w:firstLineChars="200"/>
              <w:rPr>
                <w:rFonts w:ascii="宋体" w:hAnsi="宋体"/>
                <w:sz w:val="24"/>
              </w:rPr>
            </w:pPr>
          </w:p>
        </w:tc>
      </w:tr>
    </w:tbl>
    <w:p>
      <w:pPr>
        <w:spacing w:line="360" w:lineRule="auto"/>
        <w:rPr>
          <w:rFonts w:ascii="宋体" w:hAnsi="宋体"/>
          <w:sz w:val="24"/>
        </w:rPr>
      </w:pPr>
      <w:r>
        <w:rPr>
          <w:rFonts w:hint="eastAsia" w:ascii="宋体" w:hAnsi="宋体"/>
          <w:sz w:val="24"/>
        </w:rPr>
        <w:t>备注：所有机械设备为企业自备或租赁，在签订合同时候提供相关证明资料。</w:t>
      </w:r>
    </w:p>
    <w:p>
      <w:pPr>
        <w:pStyle w:val="21"/>
        <w:ind w:firstLine="0" w:firstLineChars="0"/>
      </w:pPr>
    </w:p>
    <w:p>
      <w:pPr>
        <w:pStyle w:val="21"/>
        <w:pageBreakBefore/>
        <w:ind w:firstLine="280"/>
      </w:pPr>
    </w:p>
    <w:p>
      <w:pPr>
        <w:numPr>
          <w:ilvl w:val="0"/>
          <w:numId w:val="17"/>
        </w:numPr>
        <w:spacing w:line="360" w:lineRule="auto"/>
        <w:jc w:val="center"/>
        <w:outlineLvl w:val="0"/>
        <w:rPr>
          <w:rFonts w:ascii="宋体" w:hAnsi="宋体" w:cs="宋体"/>
          <w:b/>
          <w:sz w:val="44"/>
          <w:szCs w:val="44"/>
        </w:rPr>
      </w:pPr>
      <w:r>
        <w:rPr>
          <w:rFonts w:hint="eastAsia" w:ascii="宋体" w:hAnsi="宋体" w:cs="宋体"/>
          <w:b/>
          <w:sz w:val="44"/>
          <w:szCs w:val="44"/>
        </w:rPr>
        <w:t xml:space="preserve"> 投标格式与附件</w:t>
      </w:r>
      <w:bookmarkEnd w:id="23"/>
    </w:p>
    <w:p>
      <w:pPr>
        <w:pStyle w:val="9"/>
        <w:spacing w:before="195"/>
        <w:ind w:left="0" w:right="757"/>
        <w:jc w:val="center"/>
      </w:pPr>
      <w:r>
        <w:t>（本章仅提供部分标准通用表格，其余请根据招标文件要求格式自拟。）</w:t>
      </w:r>
    </w:p>
    <w:p>
      <w:pPr>
        <w:pStyle w:val="21"/>
        <w:ind w:firstLine="280"/>
      </w:pPr>
    </w:p>
    <w:p>
      <w:pPr>
        <w:snapToGrid w:val="0"/>
        <w:spacing w:beforeLines="50" w:after="50"/>
        <w:rPr>
          <w:rFonts w:ascii="宋体" w:hAnsi="宋体" w:cs="宋体"/>
          <w:b/>
          <w:bCs/>
          <w:szCs w:val="28"/>
        </w:rPr>
      </w:pPr>
    </w:p>
    <w:p>
      <w:pPr>
        <w:snapToGrid w:val="0"/>
        <w:spacing w:beforeLines="50" w:after="50"/>
        <w:rPr>
          <w:rFonts w:ascii="宋体" w:hAnsi="宋体" w:cs="宋体"/>
          <w:b/>
          <w:szCs w:val="28"/>
        </w:rPr>
      </w:pPr>
      <w:r>
        <w:rPr>
          <w:rFonts w:hint="eastAsia" w:ascii="宋体" w:hAnsi="宋体"/>
          <w:b/>
          <w:szCs w:val="21"/>
        </w:rPr>
        <w:t>资格证明文件/技术、商务、资信及其他文件/报价文件封面格式：</w:t>
      </w:r>
    </w:p>
    <w:p>
      <w:pPr>
        <w:pStyle w:val="21"/>
        <w:ind w:firstLine="281"/>
        <w:rPr>
          <w:rFonts w:ascii="宋体" w:hAnsi="宋体" w:cs="宋体"/>
          <w:b/>
          <w:bCs/>
          <w:szCs w:val="28"/>
        </w:rPr>
      </w:pPr>
    </w:p>
    <w:p>
      <w:pPr>
        <w:pStyle w:val="21"/>
        <w:ind w:firstLine="281"/>
        <w:rPr>
          <w:rFonts w:ascii="宋体" w:hAnsi="宋体" w:cs="宋体"/>
          <w:b/>
          <w:bCs/>
          <w:szCs w:val="28"/>
        </w:rPr>
      </w:pPr>
    </w:p>
    <w:p>
      <w:pPr>
        <w:adjustRightInd w:val="0"/>
        <w:snapToGrid w:val="0"/>
        <w:spacing w:line="360" w:lineRule="auto"/>
        <w:jc w:val="center"/>
        <w:rPr>
          <w:rFonts w:ascii="宋体" w:hAnsi="宋体" w:cs="宋体"/>
          <w:b/>
          <w:snapToGrid w:val="0"/>
          <w:sz w:val="44"/>
          <w:szCs w:val="44"/>
        </w:rPr>
      </w:pPr>
      <w:r>
        <w:rPr>
          <w:rFonts w:hint="eastAsia" w:ascii="宋体" w:hAnsi="宋体" w:cs="宋体"/>
          <w:bCs/>
          <w:snapToGrid w:val="0"/>
          <w:sz w:val="44"/>
          <w:szCs w:val="44"/>
        </w:rPr>
        <w:t>湖州南浔城投城市建设集团有限公司年度（2021-2022）乡镇道路绿化养护工程</w:t>
      </w:r>
    </w:p>
    <w:p>
      <w:pPr>
        <w:snapToGrid w:val="0"/>
        <w:spacing w:beforeLines="50" w:after="50"/>
        <w:rPr>
          <w:rFonts w:ascii="宋体" w:hAnsi="宋体" w:cs="宋体"/>
          <w:sz w:val="24"/>
          <w:szCs w:val="20"/>
        </w:rPr>
      </w:pPr>
    </w:p>
    <w:p>
      <w:pPr>
        <w:snapToGrid w:val="0"/>
        <w:spacing w:beforeLines="50" w:after="50"/>
        <w:jc w:val="center"/>
        <w:rPr>
          <w:rFonts w:ascii="宋体" w:hAnsi="宋体" w:cs="宋体"/>
          <w:bCs/>
          <w:sz w:val="24"/>
          <w:szCs w:val="20"/>
        </w:rPr>
      </w:pPr>
    </w:p>
    <w:p>
      <w:pPr>
        <w:snapToGrid w:val="0"/>
        <w:spacing w:beforeLines="50" w:after="50"/>
        <w:jc w:val="center"/>
        <w:rPr>
          <w:rFonts w:ascii="宋体" w:hAnsi="宋体" w:cs="宋体"/>
          <w:bCs/>
          <w:sz w:val="30"/>
          <w:szCs w:val="30"/>
        </w:rPr>
      </w:pPr>
      <w:r>
        <w:rPr>
          <w:rFonts w:hint="eastAsia" w:ascii="宋体" w:hAnsi="宋体" w:cs="宋体"/>
          <w:bCs/>
          <w:sz w:val="30"/>
          <w:szCs w:val="30"/>
        </w:rPr>
        <w:t>资格文件/技术、商务、资信及其他部分文件/报价文件</w:t>
      </w:r>
    </w:p>
    <w:p>
      <w:pPr>
        <w:snapToGrid w:val="0"/>
        <w:spacing w:beforeLines="50" w:after="50"/>
        <w:jc w:val="center"/>
        <w:rPr>
          <w:rFonts w:ascii="宋体" w:hAnsi="宋体" w:cs="宋体"/>
          <w:bCs/>
          <w:sz w:val="30"/>
          <w:szCs w:val="30"/>
        </w:rPr>
      </w:pPr>
    </w:p>
    <w:p>
      <w:pPr>
        <w:snapToGrid w:val="0"/>
        <w:spacing w:beforeLines="50" w:after="50"/>
        <w:jc w:val="center"/>
        <w:rPr>
          <w:rFonts w:ascii="宋体" w:hAnsi="宋体" w:cs="宋体"/>
          <w:bCs/>
          <w:sz w:val="24"/>
          <w:szCs w:val="20"/>
        </w:rPr>
      </w:pPr>
    </w:p>
    <w:p>
      <w:pPr>
        <w:snapToGrid w:val="0"/>
        <w:spacing w:beforeLines="50" w:after="50"/>
        <w:jc w:val="center"/>
        <w:rPr>
          <w:rFonts w:ascii="宋体" w:hAnsi="宋体" w:cs="宋体"/>
          <w:bCs/>
          <w:sz w:val="24"/>
          <w:szCs w:val="20"/>
        </w:rPr>
      </w:pPr>
    </w:p>
    <w:p>
      <w:pPr>
        <w:adjustRightInd w:val="0"/>
        <w:snapToGrid w:val="0"/>
        <w:spacing w:beforeLines="50" w:afterLines="50" w:line="500" w:lineRule="exact"/>
        <w:ind w:firstLine="1120" w:firstLineChars="400"/>
        <w:rPr>
          <w:rFonts w:ascii="宋体" w:hAnsi="宋体"/>
          <w:bCs/>
          <w:szCs w:val="21"/>
          <w:u w:val="single"/>
        </w:rPr>
      </w:pPr>
      <w:r>
        <w:rPr>
          <w:rFonts w:hint="eastAsia" w:ascii="宋体" w:hAnsi="宋体"/>
          <w:bCs/>
          <w:szCs w:val="21"/>
        </w:rPr>
        <w:t>项目名称：</w:t>
      </w:r>
    </w:p>
    <w:p>
      <w:pPr>
        <w:adjustRightInd w:val="0"/>
        <w:snapToGrid w:val="0"/>
        <w:spacing w:beforeLines="50" w:afterLines="50" w:line="500" w:lineRule="exact"/>
        <w:ind w:firstLine="1120" w:firstLineChars="400"/>
        <w:rPr>
          <w:rFonts w:ascii="宋体" w:hAnsi="宋体"/>
          <w:bCs/>
          <w:szCs w:val="21"/>
          <w:u w:val="single"/>
        </w:rPr>
      </w:pPr>
      <w:r>
        <w:rPr>
          <w:rFonts w:hint="eastAsia" w:ascii="宋体" w:hAnsi="宋体"/>
          <w:bCs/>
          <w:szCs w:val="21"/>
        </w:rPr>
        <w:t>项目编号：</w:t>
      </w:r>
    </w:p>
    <w:p>
      <w:pPr>
        <w:adjustRightInd w:val="0"/>
        <w:snapToGrid w:val="0"/>
        <w:spacing w:beforeLines="50" w:afterLines="50" w:line="500" w:lineRule="exact"/>
        <w:ind w:firstLine="1120" w:firstLineChars="400"/>
        <w:rPr>
          <w:rFonts w:ascii="宋体" w:hAnsi="宋体"/>
          <w:szCs w:val="21"/>
        </w:rPr>
      </w:pPr>
      <w:r>
        <w:rPr>
          <w:rFonts w:hint="eastAsia" w:ascii="宋体" w:hAnsi="宋体"/>
          <w:szCs w:val="21"/>
        </w:rPr>
        <w:t xml:space="preserve">投标人全称（签章）：  </w:t>
      </w:r>
    </w:p>
    <w:p>
      <w:pPr>
        <w:adjustRightInd w:val="0"/>
        <w:snapToGrid w:val="0"/>
        <w:spacing w:beforeLines="50" w:afterLines="50" w:line="500" w:lineRule="exact"/>
        <w:ind w:firstLine="1120" w:firstLineChars="400"/>
        <w:rPr>
          <w:rFonts w:ascii="宋体" w:hAnsi="宋体"/>
          <w:szCs w:val="21"/>
        </w:rPr>
      </w:pPr>
      <w:r>
        <w:rPr>
          <w:rFonts w:ascii="宋体" w:hAnsi="宋体"/>
          <w:szCs w:val="21"/>
        </w:rPr>
        <w:t>投标人地址：</w:t>
      </w:r>
    </w:p>
    <w:p>
      <w:pPr>
        <w:adjustRightInd w:val="0"/>
        <w:snapToGrid w:val="0"/>
        <w:spacing w:beforeLines="50" w:afterLines="50" w:line="500" w:lineRule="exact"/>
        <w:ind w:firstLine="1120" w:firstLineChars="400"/>
        <w:rPr>
          <w:rFonts w:ascii="宋体" w:hAnsi="宋体"/>
          <w:bCs/>
          <w:szCs w:val="21"/>
        </w:rPr>
      </w:pPr>
      <w:r>
        <w:rPr>
          <w:rFonts w:hint="eastAsia" w:ascii="宋体" w:hAnsi="宋体"/>
          <w:bCs/>
          <w:szCs w:val="21"/>
        </w:rPr>
        <w:t>授权代表签字：</w:t>
      </w:r>
    </w:p>
    <w:p>
      <w:pPr>
        <w:adjustRightInd w:val="0"/>
        <w:snapToGrid w:val="0"/>
        <w:spacing w:beforeLines="50" w:afterLines="50" w:line="500" w:lineRule="exact"/>
        <w:ind w:firstLine="1120" w:firstLineChars="400"/>
        <w:rPr>
          <w:rFonts w:ascii="宋体" w:hAnsi="宋体"/>
          <w:bCs/>
          <w:szCs w:val="21"/>
        </w:rPr>
      </w:pPr>
      <w:r>
        <w:rPr>
          <w:rFonts w:hint="eastAsia" w:ascii="宋体" w:hAnsi="宋体"/>
          <w:bCs/>
          <w:szCs w:val="21"/>
        </w:rPr>
        <w:t>年月日</w:t>
      </w:r>
    </w:p>
    <w:p>
      <w:pPr>
        <w:snapToGrid w:val="0"/>
        <w:spacing w:beforeLines="50" w:after="50"/>
        <w:rPr>
          <w:rFonts w:ascii="宋体" w:hAnsi="宋体" w:cs="宋体"/>
          <w:bCs/>
          <w:sz w:val="24"/>
        </w:rPr>
      </w:pPr>
    </w:p>
    <w:p>
      <w:pPr>
        <w:snapToGrid w:val="0"/>
        <w:spacing w:beforeLines="50" w:after="50"/>
        <w:jc w:val="center"/>
        <w:rPr>
          <w:rFonts w:ascii="宋体" w:hAnsi="宋体" w:cs="宋体"/>
          <w:bCs/>
          <w:sz w:val="24"/>
        </w:rPr>
      </w:pPr>
    </w:p>
    <w:p>
      <w:pPr>
        <w:pStyle w:val="21"/>
        <w:ind w:firstLine="0" w:firstLineChars="0"/>
        <w:rPr>
          <w:rFonts w:ascii="宋体" w:hAnsi="宋体" w:cs="宋体"/>
          <w:b/>
          <w:sz w:val="44"/>
          <w:szCs w:val="44"/>
        </w:rPr>
      </w:pPr>
    </w:p>
    <w:p>
      <w:pPr>
        <w:spacing w:line="600" w:lineRule="exact"/>
        <w:jc w:val="left"/>
        <w:rPr>
          <w:rFonts w:ascii="宋体" w:hAnsi="宋体" w:cs="宋体"/>
          <w:kern w:val="0"/>
          <w:sz w:val="24"/>
        </w:rPr>
      </w:pPr>
      <w:r>
        <w:rPr>
          <w:rFonts w:hint="eastAsia" w:ascii="宋体" w:hAnsi="宋体" w:cs="宋体"/>
          <w:kern w:val="0"/>
          <w:sz w:val="24"/>
        </w:rPr>
        <w:t>1、资格文件目录（具体参考第三章供应商须知“投标文件的组成”）</w:t>
      </w:r>
    </w:p>
    <w:p>
      <w:pPr>
        <w:spacing w:line="600" w:lineRule="exact"/>
        <w:jc w:val="left"/>
        <w:rPr>
          <w:rFonts w:ascii="宋体" w:hAnsi="宋体" w:cs="宋体"/>
          <w:kern w:val="0"/>
          <w:sz w:val="24"/>
        </w:rPr>
      </w:pPr>
      <w:r>
        <w:rPr>
          <w:rFonts w:hint="eastAsia" w:ascii="宋体" w:hAnsi="宋体" w:cs="宋体"/>
          <w:kern w:val="0"/>
          <w:sz w:val="24"/>
        </w:rPr>
        <w:t>2、技术、商务资信及其他文件目录（具体参考第三章供应商须知“投标文件的组成”）</w:t>
      </w:r>
    </w:p>
    <w:p>
      <w:pPr>
        <w:spacing w:line="600" w:lineRule="exact"/>
        <w:jc w:val="left"/>
        <w:rPr>
          <w:rFonts w:ascii="宋体" w:hAnsi="宋体" w:cs="宋体"/>
          <w:sz w:val="24"/>
        </w:rPr>
      </w:pPr>
      <w:r>
        <w:rPr>
          <w:rFonts w:hint="eastAsia" w:ascii="宋体" w:hAnsi="宋体" w:cs="宋体"/>
          <w:sz w:val="24"/>
        </w:rPr>
        <w:t>3、报价文件目录（具体参考第三章供应商须知“投标文件的组成”）</w:t>
      </w:r>
    </w:p>
    <w:p>
      <w:pPr>
        <w:pStyle w:val="22"/>
        <w:ind w:left="2800"/>
      </w:pPr>
    </w:p>
    <w:p/>
    <w:p>
      <w:pPr>
        <w:pStyle w:val="21"/>
        <w:ind w:firstLine="280"/>
      </w:pPr>
    </w:p>
    <w:p>
      <w:pPr>
        <w:pStyle w:val="22"/>
        <w:ind w:left="2800"/>
      </w:pPr>
    </w:p>
    <w:p/>
    <w:p>
      <w:pPr>
        <w:pStyle w:val="21"/>
        <w:ind w:firstLine="280"/>
      </w:pPr>
    </w:p>
    <w:p>
      <w:pPr>
        <w:pStyle w:val="22"/>
        <w:ind w:left="2800"/>
      </w:pPr>
    </w:p>
    <w:p/>
    <w:p>
      <w:pPr>
        <w:pStyle w:val="21"/>
        <w:ind w:firstLine="280"/>
      </w:pPr>
    </w:p>
    <w:p>
      <w:pPr>
        <w:pStyle w:val="22"/>
        <w:ind w:left="2800"/>
      </w:pPr>
    </w:p>
    <w:p/>
    <w:p>
      <w:pPr>
        <w:pStyle w:val="21"/>
        <w:ind w:firstLine="280"/>
      </w:pPr>
    </w:p>
    <w:p>
      <w:pPr>
        <w:pStyle w:val="22"/>
        <w:ind w:left="2800"/>
      </w:pPr>
    </w:p>
    <w:p/>
    <w:p>
      <w:pPr>
        <w:pStyle w:val="21"/>
        <w:ind w:firstLine="280"/>
      </w:pPr>
    </w:p>
    <w:p>
      <w:pPr>
        <w:pStyle w:val="22"/>
        <w:ind w:left="2800"/>
      </w:pPr>
    </w:p>
    <w:p/>
    <w:p>
      <w:pPr>
        <w:pStyle w:val="21"/>
        <w:ind w:firstLine="280"/>
      </w:pPr>
    </w:p>
    <w:p>
      <w:pPr>
        <w:pStyle w:val="22"/>
        <w:ind w:left="2800"/>
      </w:pPr>
    </w:p>
    <w:p/>
    <w:p>
      <w:pPr>
        <w:pStyle w:val="21"/>
        <w:ind w:firstLine="280"/>
      </w:pPr>
    </w:p>
    <w:p>
      <w:pPr>
        <w:pStyle w:val="22"/>
        <w:ind w:left="2800"/>
      </w:pPr>
    </w:p>
    <w:p/>
    <w:p>
      <w:pPr>
        <w:pStyle w:val="21"/>
        <w:ind w:firstLine="280"/>
      </w:pPr>
    </w:p>
    <w:p>
      <w:pPr>
        <w:pStyle w:val="22"/>
        <w:ind w:left="2800"/>
      </w:pPr>
    </w:p>
    <w:p/>
    <w:p>
      <w:pPr>
        <w:pStyle w:val="21"/>
        <w:ind w:firstLine="280"/>
      </w:pPr>
    </w:p>
    <w:p>
      <w:pPr>
        <w:pStyle w:val="22"/>
        <w:ind w:left="2800"/>
      </w:pPr>
    </w:p>
    <w:p/>
    <w:p>
      <w:pPr>
        <w:pStyle w:val="21"/>
        <w:ind w:firstLine="280"/>
      </w:pPr>
    </w:p>
    <w:p>
      <w:pPr>
        <w:pStyle w:val="22"/>
        <w:ind w:left="2800"/>
      </w:pPr>
    </w:p>
    <w:p/>
    <w:p>
      <w:pPr>
        <w:pStyle w:val="22"/>
        <w:ind w:left="0" w:leftChars="0" w:firstLine="0" w:firstLineChars="0"/>
      </w:pPr>
    </w:p>
    <w:p>
      <w:pPr>
        <w:adjustRightInd w:val="0"/>
        <w:snapToGrid w:val="0"/>
        <w:spacing w:beforeLines="50" w:afterLines="50" w:line="500" w:lineRule="exact"/>
        <w:rPr>
          <w:rFonts w:ascii="宋体" w:hAnsi="宋体"/>
          <w:b/>
          <w:szCs w:val="21"/>
        </w:rPr>
      </w:pPr>
      <w:r>
        <w:rPr>
          <w:rFonts w:hint="eastAsia" w:ascii="宋体" w:hAnsi="宋体"/>
          <w:b/>
          <w:szCs w:val="21"/>
        </w:rPr>
        <w:t>1、投标声明书格式：</w:t>
      </w:r>
    </w:p>
    <w:p>
      <w:pPr>
        <w:snapToGrid w:val="0"/>
        <w:spacing w:before="50" w:after="50"/>
        <w:jc w:val="center"/>
        <w:rPr>
          <w:rFonts w:ascii="仿宋" w:hAnsi="仿宋" w:eastAsia="仿宋"/>
          <w:b/>
          <w:sz w:val="36"/>
          <w:szCs w:val="36"/>
        </w:rPr>
      </w:pPr>
      <w:r>
        <w:rPr>
          <w:rFonts w:hint="eastAsia" w:ascii="仿宋" w:hAnsi="仿宋" w:eastAsia="仿宋"/>
          <w:b/>
          <w:sz w:val="36"/>
          <w:szCs w:val="36"/>
        </w:rPr>
        <w:t>投 标 声 明 书</w:t>
      </w:r>
    </w:p>
    <w:p>
      <w:pPr>
        <w:snapToGrid w:val="0"/>
        <w:spacing w:before="50" w:after="50"/>
        <w:jc w:val="center"/>
        <w:rPr>
          <w:rFonts w:ascii="仿宋" w:hAnsi="仿宋" w:eastAsia="仿宋"/>
          <w:b/>
          <w:szCs w:val="28"/>
        </w:rPr>
      </w:pPr>
    </w:p>
    <w:p>
      <w:pPr>
        <w:snapToGrid w:val="0"/>
        <w:spacing w:line="360" w:lineRule="auto"/>
        <w:rPr>
          <w:rFonts w:ascii="仿宋" w:hAnsi="仿宋" w:eastAsia="仿宋"/>
          <w:snapToGrid w:val="0"/>
          <w:kern w:val="0"/>
          <w:szCs w:val="28"/>
        </w:rPr>
      </w:pPr>
      <w:r>
        <w:rPr>
          <w:rFonts w:hint="eastAsia" w:ascii="仿宋" w:hAnsi="仿宋" w:eastAsia="仿宋"/>
          <w:snapToGrid w:val="0"/>
          <w:kern w:val="0"/>
          <w:szCs w:val="28"/>
        </w:rPr>
        <w:t>致</w:t>
      </w:r>
      <w:r>
        <w:rPr>
          <w:rFonts w:hint="eastAsia" w:ascii="仿宋" w:hAnsi="仿宋" w:eastAsia="仿宋"/>
          <w:snapToGrid w:val="0"/>
          <w:kern w:val="0"/>
          <w:szCs w:val="28"/>
          <w:u w:val="single"/>
        </w:rPr>
        <w:t>湖州南浔城投城市建设集团有限公司：</w:t>
      </w:r>
    </w:p>
    <w:p>
      <w:pPr>
        <w:snapToGrid w:val="0"/>
        <w:spacing w:line="360" w:lineRule="auto"/>
        <w:ind w:firstLine="560" w:firstLineChars="200"/>
        <w:jc w:val="left"/>
        <w:rPr>
          <w:rFonts w:ascii="仿宋" w:hAnsi="仿宋" w:eastAsia="仿宋"/>
          <w:snapToGrid w:val="0"/>
          <w:kern w:val="0"/>
          <w:szCs w:val="28"/>
        </w:rPr>
      </w:pPr>
      <w:r>
        <w:rPr>
          <w:rFonts w:hint="eastAsia" w:ascii="仿宋" w:hAnsi="仿宋" w:eastAsia="仿宋"/>
          <w:snapToGrid w:val="0"/>
          <w:kern w:val="0"/>
          <w:szCs w:val="28"/>
          <w:u w:val="single"/>
        </w:rPr>
        <w:t xml:space="preserve">（投标人名称）               </w:t>
      </w:r>
      <w:r>
        <w:rPr>
          <w:rFonts w:hint="eastAsia" w:ascii="仿宋" w:hAnsi="仿宋" w:eastAsia="仿宋"/>
          <w:snapToGrid w:val="0"/>
          <w:kern w:val="0"/>
          <w:szCs w:val="28"/>
        </w:rPr>
        <w:t>系中华人民共和国合法企业，经营地址</w:t>
      </w:r>
      <w:r>
        <w:rPr>
          <w:rFonts w:hint="eastAsia" w:ascii="仿宋" w:hAnsi="仿宋" w:eastAsia="仿宋"/>
          <w:snapToGrid w:val="0"/>
          <w:kern w:val="0"/>
          <w:szCs w:val="28"/>
          <w:u w:val="single"/>
        </w:rPr>
        <w:t xml:space="preserve">                            </w:t>
      </w:r>
      <w:r>
        <w:rPr>
          <w:rFonts w:hint="eastAsia" w:ascii="仿宋" w:hAnsi="仿宋" w:eastAsia="仿宋"/>
          <w:snapToGrid w:val="0"/>
          <w:kern w:val="0"/>
          <w:szCs w:val="28"/>
        </w:rPr>
        <w:t>。</w:t>
      </w:r>
    </w:p>
    <w:p>
      <w:pPr>
        <w:snapToGrid w:val="0"/>
        <w:spacing w:line="360" w:lineRule="auto"/>
        <w:ind w:firstLine="560" w:firstLineChars="200"/>
        <w:rPr>
          <w:rFonts w:ascii="仿宋" w:hAnsi="仿宋" w:eastAsia="仿宋"/>
          <w:snapToGrid w:val="0"/>
          <w:kern w:val="0"/>
          <w:szCs w:val="28"/>
        </w:rPr>
      </w:pPr>
      <w:r>
        <w:rPr>
          <w:rFonts w:hint="eastAsia" w:ascii="仿宋" w:hAnsi="仿宋" w:eastAsia="仿宋"/>
          <w:snapToGrid w:val="0"/>
          <w:kern w:val="0"/>
          <w:szCs w:val="28"/>
        </w:rPr>
        <w:t>我</w:t>
      </w:r>
      <w:r>
        <w:rPr>
          <w:rFonts w:hint="eastAsia" w:ascii="仿宋" w:hAnsi="仿宋" w:eastAsia="仿宋"/>
          <w:snapToGrid w:val="0"/>
          <w:kern w:val="0"/>
          <w:szCs w:val="28"/>
          <w:u w:val="single"/>
        </w:rPr>
        <w:t>（姓名）</w:t>
      </w:r>
      <w:r>
        <w:rPr>
          <w:rFonts w:hint="eastAsia" w:ascii="仿宋" w:hAnsi="仿宋" w:eastAsia="仿宋"/>
          <w:snapToGrid w:val="0"/>
          <w:kern w:val="0"/>
          <w:szCs w:val="28"/>
        </w:rPr>
        <w:t>系</w:t>
      </w:r>
      <w:r>
        <w:rPr>
          <w:rFonts w:hint="eastAsia" w:ascii="仿宋" w:hAnsi="仿宋" w:eastAsia="仿宋"/>
          <w:snapToGrid w:val="0"/>
          <w:kern w:val="0"/>
          <w:szCs w:val="28"/>
          <w:u w:val="single"/>
        </w:rPr>
        <w:t>（投标人名称）</w:t>
      </w:r>
      <w:r>
        <w:rPr>
          <w:rFonts w:hint="eastAsia" w:ascii="仿宋" w:hAnsi="仿宋" w:eastAsia="仿宋"/>
          <w:snapToGrid w:val="0"/>
          <w:kern w:val="0"/>
          <w:szCs w:val="28"/>
        </w:rPr>
        <w:t>的法定代表人，我方愿意参加贵方组织的</w:t>
      </w:r>
      <w:r>
        <w:rPr>
          <w:rFonts w:hint="eastAsia" w:ascii="仿宋" w:hAnsi="仿宋" w:eastAsia="仿宋"/>
          <w:snapToGrid w:val="0"/>
          <w:kern w:val="0"/>
          <w:szCs w:val="28"/>
          <w:u w:val="single"/>
        </w:rPr>
        <w:t>（招标项目名称）（招标文件编号：ZJJY2021-114）</w:t>
      </w:r>
      <w:r>
        <w:rPr>
          <w:rFonts w:hint="eastAsia" w:ascii="仿宋" w:hAnsi="仿宋" w:eastAsia="仿宋"/>
          <w:snapToGrid w:val="0"/>
          <w:kern w:val="0"/>
          <w:szCs w:val="28"/>
        </w:rPr>
        <w:t>的投标，为此，我方就本次投标有关事项郑重声明如下：</w:t>
      </w:r>
    </w:p>
    <w:p>
      <w:pPr>
        <w:snapToGrid w:val="0"/>
        <w:spacing w:line="360" w:lineRule="auto"/>
        <w:ind w:firstLine="560" w:firstLineChars="200"/>
        <w:rPr>
          <w:rFonts w:ascii="仿宋" w:hAnsi="仿宋" w:eastAsia="仿宋"/>
          <w:snapToGrid w:val="0"/>
          <w:kern w:val="0"/>
          <w:szCs w:val="28"/>
        </w:rPr>
      </w:pPr>
      <w:r>
        <w:rPr>
          <w:rFonts w:hint="eastAsia" w:ascii="仿宋" w:hAnsi="仿宋" w:eastAsia="仿宋"/>
          <w:snapToGrid w:val="0"/>
          <w:kern w:val="0"/>
          <w:szCs w:val="28"/>
        </w:rPr>
        <w:t>1、我方已详细审查全部招标文件，同意招标文件的各项要求。</w:t>
      </w:r>
    </w:p>
    <w:p>
      <w:pPr>
        <w:snapToGrid w:val="0"/>
        <w:spacing w:line="360" w:lineRule="auto"/>
        <w:ind w:firstLine="560" w:firstLineChars="200"/>
        <w:rPr>
          <w:rFonts w:ascii="仿宋" w:hAnsi="仿宋" w:eastAsia="仿宋"/>
          <w:szCs w:val="28"/>
        </w:rPr>
      </w:pPr>
      <w:r>
        <w:rPr>
          <w:rFonts w:hint="eastAsia" w:ascii="仿宋" w:hAnsi="仿宋" w:eastAsia="仿宋"/>
          <w:szCs w:val="28"/>
        </w:rPr>
        <w:t>2、我方向贵方提交的所有投标文件、资料都是准确的和真实的。</w:t>
      </w:r>
    </w:p>
    <w:p>
      <w:pPr>
        <w:snapToGrid w:val="0"/>
        <w:spacing w:line="360" w:lineRule="auto"/>
        <w:ind w:firstLine="560" w:firstLineChars="200"/>
        <w:rPr>
          <w:rFonts w:ascii="仿宋" w:hAnsi="仿宋" w:eastAsia="仿宋"/>
          <w:szCs w:val="28"/>
        </w:rPr>
      </w:pPr>
      <w:r>
        <w:rPr>
          <w:rFonts w:hint="eastAsia" w:ascii="仿宋" w:hAnsi="仿宋" w:eastAsia="仿宋"/>
          <w:szCs w:val="28"/>
        </w:rPr>
        <w:t>3、若中标，我方将按招标文件规定履行合同责任和义务。</w:t>
      </w:r>
    </w:p>
    <w:p>
      <w:pPr>
        <w:snapToGrid w:val="0"/>
        <w:spacing w:line="360" w:lineRule="auto"/>
        <w:ind w:firstLine="560" w:firstLineChars="200"/>
        <w:rPr>
          <w:rFonts w:ascii="仿宋" w:hAnsi="仿宋" w:eastAsia="仿宋"/>
          <w:szCs w:val="28"/>
        </w:rPr>
      </w:pPr>
      <w:r>
        <w:rPr>
          <w:rFonts w:hint="eastAsia" w:ascii="仿宋" w:hAnsi="仿宋" w:eastAsia="仿宋"/>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szCs w:val="28"/>
        </w:rPr>
      </w:pPr>
      <w:r>
        <w:rPr>
          <w:rFonts w:hint="eastAsia" w:ascii="仿宋" w:hAnsi="仿宋" w:eastAsia="仿宋"/>
          <w:szCs w:val="28"/>
        </w:rPr>
        <w:t>5、投标文件自开标日起有效期为180天。</w:t>
      </w:r>
    </w:p>
    <w:p>
      <w:pPr>
        <w:snapToGrid w:val="0"/>
        <w:spacing w:line="360" w:lineRule="auto"/>
        <w:ind w:firstLine="551" w:firstLineChars="196"/>
        <w:jc w:val="left"/>
        <w:rPr>
          <w:rFonts w:ascii="仿宋" w:hAnsi="仿宋" w:eastAsia="仿宋"/>
          <w:b/>
          <w:szCs w:val="28"/>
        </w:rPr>
      </w:pPr>
      <w:r>
        <w:rPr>
          <w:rFonts w:hint="eastAsia" w:ascii="仿宋" w:hAnsi="仿宋" w:eastAsia="仿宋"/>
          <w:b/>
          <w:szCs w:val="28"/>
        </w:rPr>
        <w:t>6、我方参与本项目前3年内的经营活动中没有重大违法记录；</w:t>
      </w:r>
    </w:p>
    <w:p>
      <w:pPr>
        <w:snapToGrid w:val="0"/>
        <w:spacing w:line="360" w:lineRule="auto"/>
        <w:ind w:firstLine="560" w:firstLineChars="200"/>
        <w:rPr>
          <w:rFonts w:ascii="仿宋" w:hAnsi="仿宋" w:eastAsia="仿宋"/>
          <w:szCs w:val="28"/>
        </w:rPr>
      </w:pPr>
      <w:r>
        <w:rPr>
          <w:rFonts w:hint="eastAsia" w:ascii="仿宋" w:hAnsi="仿宋" w:eastAsia="仿宋"/>
          <w:szCs w:val="28"/>
        </w:rPr>
        <w:t>7、以上事项如有虚假或隐瞒，我方愿意承担一切后果，并不再寻求任何旨在减轻或免除法律责任的辩解。</w:t>
      </w:r>
    </w:p>
    <w:p>
      <w:pPr>
        <w:snapToGrid w:val="0"/>
        <w:ind w:right="600" w:firstLine="140" w:firstLineChars="50"/>
        <w:rPr>
          <w:rFonts w:ascii="仿宋" w:hAnsi="仿宋" w:eastAsia="仿宋"/>
          <w:szCs w:val="28"/>
        </w:rPr>
      </w:pPr>
    </w:p>
    <w:p>
      <w:pPr>
        <w:snapToGrid w:val="0"/>
        <w:ind w:right="600"/>
        <w:rPr>
          <w:rFonts w:ascii="仿宋" w:hAnsi="仿宋" w:eastAsia="仿宋"/>
          <w:szCs w:val="28"/>
          <w:u w:val="single"/>
        </w:rPr>
      </w:pPr>
      <w:r>
        <w:rPr>
          <w:rFonts w:hint="eastAsia" w:ascii="仿宋" w:hAnsi="仿宋" w:eastAsia="仿宋"/>
          <w:szCs w:val="28"/>
        </w:rPr>
        <w:t>法定代表人签名（或签名章）：</w:t>
      </w:r>
      <w:r>
        <w:rPr>
          <w:rFonts w:hint="eastAsia" w:ascii="仿宋" w:hAnsi="仿宋" w:eastAsia="仿宋"/>
          <w:szCs w:val="28"/>
          <w:u w:val="single"/>
        </w:rPr>
        <w:t xml:space="preserve">          </w:t>
      </w:r>
      <w:r>
        <w:rPr>
          <w:rFonts w:hint="eastAsia" w:ascii="仿宋" w:hAnsi="仿宋" w:eastAsia="仿宋"/>
          <w:szCs w:val="28"/>
        </w:rPr>
        <w:t xml:space="preserve">  日 期：</w:t>
      </w:r>
      <w:r>
        <w:rPr>
          <w:rFonts w:hint="eastAsia" w:ascii="仿宋" w:hAnsi="仿宋" w:eastAsia="仿宋"/>
          <w:szCs w:val="28"/>
          <w:u w:val="single"/>
        </w:rPr>
        <w:t xml:space="preserve">          </w:t>
      </w:r>
    </w:p>
    <w:p>
      <w:pPr>
        <w:pStyle w:val="14"/>
        <w:spacing w:line="500" w:lineRule="exact"/>
        <w:ind w:firstLine="0"/>
        <w:rPr>
          <w:rFonts w:ascii="宋体" w:hAnsi="宋体" w:cs="宋体"/>
          <w:b/>
          <w:szCs w:val="28"/>
        </w:rPr>
      </w:pPr>
      <w:r>
        <w:rPr>
          <w:rFonts w:hint="eastAsia" w:ascii="仿宋" w:hAnsi="仿宋" w:eastAsia="仿宋"/>
          <w:sz w:val="28"/>
          <w:szCs w:val="28"/>
        </w:rPr>
        <w:t>投标人全称（签章）：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pStyle w:val="14"/>
        <w:spacing w:line="500" w:lineRule="exact"/>
        <w:ind w:firstLine="0"/>
        <w:jc w:val="center"/>
        <w:rPr>
          <w:rFonts w:ascii="宋体" w:hAnsi="宋体" w:cs="宋体"/>
          <w:b/>
          <w:szCs w:val="28"/>
        </w:rPr>
      </w:pPr>
    </w:p>
    <w:p>
      <w:pPr>
        <w:pStyle w:val="14"/>
        <w:spacing w:line="500" w:lineRule="exact"/>
        <w:ind w:firstLine="0"/>
        <w:jc w:val="center"/>
        <w:rPr>
          <w:rFonts w:ascii="宋体" w:hAnsi="宋体" w:cs="宋体"/>
          <w:b/>
          <w:szCs w:val="28"/>
        </w:rPr>
      </w:pPr>
    </w:p>
    <w:p>
      <w:pPr>
        <w:pStyle w:val="14"/>
        <w:spacing w:line="500" w:lineRule="exact"/>
        <w:ind w:firstLine="0"/>
        <w:jc w:val="center"/>
        <w:rPr>
          <w:rFonts w:ascii="宋体" w:hAnsi="宋体" w:cs="宋体"/>
          <w:b/>
          <w:szCs w:val="28"/>
        </w:rPr>
      </w:pPr>
    </w:p>
    <w:p>
      <w:pPr>
        <w:pStyle w:val="14"/>
        <w:spacing w:line="500" w:lineRule="exact"/>
        <w:ind w:firstLine="0"/>
        <w:jc w:val="center"/>
        <w:rPr>
          <w:rFonts w:ascii="宋体" w:hAnsi="宋体" w:cs="宋体"/>
          <w:b/>
          <w:szCs w:val="28"/>
        </w:rPr>
      </w:pPr>
    </w:p>
    <w:p>
      <w:pPr>
        <w:pStyle w:val="14"/>
        <w:spacing w:line="500" w:lineRule="exact"/>
        <w:ind w:firstLine="0"/>
        <w:jc w:val="center"/>
        <w:rPr>
          <w:rFonts w:ascii="宋体" w:hAnsi="宋体" w:cs="宋体"/>
          <w:b/>
          <w:szCs w:val="28"/>
        </w:rPr>
      </w:pPr>
    </w:p>
    <w:p>
      <w:pPr>
        <w:keepNext w:val="0"/>
        <w:keepLines w:val="0"/>
        <w:pageBreakBefore/>
        <w:widowControl w:val="0"/>
        <w:kinsoku/>
        <w:wordWrap/>
        <w:overflowPunct/>
        <w:topLinePunct w:val="0"/>
        <w:autoSpaceDE/>
        <w:autoSpaceDN/>
        <w:bidi w:val="0"/>
        <w:adjustRightInd w:val="0"/>
        <w:snapToGrid w:val="0"/>
        <w:spacing w:beforeLines="50" w:afterLines="50" w:line="500" w:lineRule="exact"/>
        <w:textAlignment w:val="auto"/>
        <w:rPr>
          <w:rFonts w:ascii="宋体" w:hAnsi="宋体"/>
          <w:b/>
          <w:szCs w:val="21"/>
        </w:rPr>
      </w:pPr>
      <w:r>
        <w:rPr>
          <w:rFonts w:hint="eastAsia" w:ascii="宋体" w:hAnsi="宋体"/>
          <w:b/>
          <w:szCs w:val="21"/>
        </w:rPr>
        <w:t>2、法人代表身份证明书格式：</w:t>
      </w:r>
    </w:p>
    <w:p>
      <w:pPr>
        <w:jc w:val="center"/>
        <w:rPr>
          <w:rFonts w:ascii="宋体" w:hAnsi="宋体"/>
          <w:b/>
          <w:szCs w:val="21"/>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法定代表人有效身份证明书</w:t>
      </w:r>
    </w:p>
    <w:p>
      <w:pPr>
        <w:pStyle w:val="14"/>
        <w:spacing w:line="500" w:lineRule="exact"/>
        <w:ind w:firstLine="513" w:firstLineChars="156"/>
        <w:jc w:val="center"/>
        <w:rPr>
          <w:rFonts w:ascii="仿宋" w:hAnsi="仿宋" w:eastAsia="仿宋"/>
          <w:b/>
          <w:bCs/>
          <w:spacing w:val="24"/>
          <w:sz w:val="28"/>
          <w:szCs w:val="28"/>
        </w:rPr>
      </w:pPr>
    </w:p>
    <w:p>
      <w:pPr>
        <w:pStyle w:val="14"/>
        <w:spacing w:line="500" w:lineRule="exact"/>
        <w:ind w:firstLine="513" w:firstLineChars="156"/>
        <w:jc w:val="center"/>
        <w:rPr>
          <w:rFonts w:ascii="仿宋" w:hAnsi="仿宋" w:eastAsia="仿宋"/>
          <w:b/>
          <w:bCs/>
          <w:spacing w:val="24"/>
          <w:sz w:val="28"/>
          <w:szCs w:val="28"/>
        </w:rPr>
      </w:pPr>
    </w:p>
    <w:p>
      <w:pPr>
        <w:pStyle w:val="14"/>
        <w:spacing w:line="500" w:lineRule="exact"/>
        <w:ind w:firstLine="1960" w:firstLineChars="700"/>
        <w:rPr>
          <w:rFonts w:ascii="仿宋" w:hAnsi="仿宋" w:eastAsia="仿宋"/>
          <w:sz w:val="28"/>
          <w:szCs w:val="28"/>
          <w:u w:val="single"/>
        </w:rPr>
      </w:pPr>
      <w:r>
        <w:rPr>
          <w:rFonts w:hint="eastAsia" w:ascii="仿宋" w:hAnsi="仿宋" w:eastAsia="仿宋"/>
          <w:sz w:val="28"/>
          <w:szCs w:val="28"/>
          <w:u w:val="single"/>
        </w:rPr>
        <w:t xml:space="preserve">     （姓名）</w:t>
      </w:r>
      <w:r>
        <w:rPr>
          <w:rFonts w:hint="eastAsia" w:ascii="仿宋" w:hAnsi="仿宋" w:eastAsia="仿宋"/>
          <w:sz w:val="28"/>
          <w:szCs w:val="28"/>
        </w:rPr>
        <w:t>是</w:t>
      </w:r>
      <w:r>
        <w:rPr>
          <w:rFonts w:hint="eastAsia" w:ascii="仿宋" w:hAnsi="仿宋" w:eastAsia="仿宋"/>
          <w:sz w:val="28"/>
          <w:szCs w:val="28"/>
          <w:u w:val="single"/>
        </w:rPr>
        <w:t xml:space="preserve">                         （单位全称）</w:t>
      </w:r>
    </w:p>
    <w:p>
      <w:pPr>
        <w:pStyle w:val="14"/>
        <w:spacing w:line="500" w:lineRule="exact"/>
        <w:ind w:firstLine="436" w:firstLineChars="156"/>
        <w:rPr>
          <w:rFonts w:ascii="仿宋" w:hAnsi="仿宋" w:eastAsia="仿宋"/>
          <w:sz w:val="28"/>
          <w:szCs w:val="28"/>
        </w:rPr>
      </w:pPr>
      <w:r>
        <w:rPr>
          <w:rFonts w:hint="eastAsia" w:ascii="仿宋" w:hAnsi="仿宋" w:eastAsia="仿宋"/>
          <w:sz w:val="28"/>
          <w:szCs w:val="28"/>
        </w:rPr>
        <w:t>的法定代表人，身份证号码为</w:t>
      </w:r>
      <w:r>
        <w:rPr>
          <w:rFonts w:hint="eastAsia" w:ascii="仿宋" w:hAnsi="仿宋" w:eastAsia="仿宋"/>
          <w:sz w:val="28"/>
          <w:szCs w:val="28"/>
          <w:u w:val="single"/>
        </w:rPr>
        <w:t xml:space="preserve">                 </w:t>
      </w:r>
      <w:r>
        <w:rPr>
          <w:rFonts w:hint="eastAsia" w:ascii="仿宋" w:hAnsi="仿宋" w:eastAsia="仿宋"/>
          <w:sz w:val="28"/>
          <w:szCs w:val="28"/>
        </w:rPr>
        <w:t>。</w:t>
      </w:r>
    </w:p>
    <w:p>
      <w:pPr>
        <w:pStyle w:val="14"/>
        <w:spacing w:line="500" w:lineRule="exact"/>
        <w:ind w:firstLine="436" w:firstLineChars="156"/>
        <w:rPr>
          <w:rFonts w:ascii="仿宋" w:hAnsi="仿宋" w:eastAsia="仿宋"/>
          <w:sz w:val="28"/>
          <w:szCs w:val="28"/>
        </w:rPr>
      </w:pPr>
    </w:p>
    <w:p>
      <w:pPr>
        <w:pStyle w:val="14"/>
        <w:spacing w:line="500" w:lineRule="exact"/>
        <w:ind w:firstLine="436" w:firstLineChars="156"/>
        <w:rPr>
          <w:rFonts w:ascii="仿宋" w:hAnsi="仿宋" w:eastAsia="仿宋"/>
          <w:sz w:val="28"/>
          <w:szCs w:val="28"/>
        </w:rPr>
      </w:pPr>
    </w:p>
    <w:p>
      <w:pPr>
        <w:pStyle w:val="14"/>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特此证明</w:t>
      </w:r>
    </w:p>
    <w:p>
      <w:pPr>
        <w:pStyle w:val="14"/>
        <w:spacing w:line="500" w:lineRule="exact"/>
        <w:ind w:firstLine="436" w:firstLineChars="156"/>
        <w:rPr>
          <w:rFonts w:ascii="仿宋" w:hAnsi="仿宋" w:eastAsia="仿宋"/>
          <w:sz w:val="28"/>
          <w:szCs w:val="28"/>
        </w:rPr>
      </w:pPr>
    </w:p>
    <w:p>
      <w:pPr>
        <w:pStyle w:val="14"/>
        <w:spacing w:line="500" w:lineRule="exact"/>
        <w:ind w:firstLine="436" w:firstLineChars="156"/>
        <w:rPr>
          <w:rFonts w:ascii="仿宋" w:hAnsi="仿宋" w:eastAsia="仿宋"/>
          <w:sz w:val="28"/>
          <w:szCs w:val="28"/>
        </w:rPr>
      </w:pPr>
    </w:p>
    <w:p>
      <w:pPr>
        <w:pStyle w:val="14"/>
        <w:spacing w:line="500" w:lineRule="exact"/>
        <w:ind w:firstLine="436" w:firstLineChars="156"/>
        <w:rPr>
          <w:rFonts w:ascii="仿宋" w:hAnsi="仿宋" w:eastAsia="仿宋"/>
          <w:sz w:val="28"/>
          <w:szCs w:val="28"/>
        </w:rPr>
      </w:pPr>
    </w:p>
    <w:p>
      <w:pPr>
        <w:pStyle w:val="14"/>
        <w:spacing w:line="500" w:lineRule="exact"/>
        <w:ind w:firstLine="436" w:firstLineChars="156"/>
        <w:rPr>
          <w:rFonts w:ascii="仿宋" w:hAnsi="仿宋" w:eastAsia="仿宋"/>
          <w:sz w:val="28"/>
          <w:szCs w:val="28"/>
        </w:rPr>
      </w:pPr>
    </w:p>
    <w:p>
      <w:pPr>
        <w:pStyle w:val="14"/>
        <w:spacing w:line="500" w:lineRule="exact"/>
        <w:ind w:firstLine="436" w:firstLineChars="156"/>
        <w:rPr>
          <w:rFonts w:ascii="仿宋" w:hAnsi="仿宋" w:eastAsia="仿宋"/>
          <w:sz w:val="28"/>
          <w:szCs w:val="28"/>
          <w:u w:val="single"/>
        </w:rPr>
      </w:pPr>
      <w:r>
        <w:rPr>
          <w:rFonts w:hint="eastAsia" w:ascii="仿宋" w:hAnsi="仿宋" w:eastAsia="仿宋"/>
          <w:sz w:val="28"/>
          <w:szCs w:val="28"/>
        </w:rPr>
        <w:t xml:space="preserve">          投标人：</w:t>
      </w:r>
      <w:r>
        <w:rPr>
          <w:rFonts w:hint="eastAsia" w:ascii="仿宋" w:hAnsi="仿宋" w:eastAsia="仿宋"/>
          <w:sz w:val="28"/>
          <w:szCs w:val="28"/>
          <w:u w:val="single"/>
        </w:rPr>
        <w:t xml:space="preserve">            （签章）</w:t>
      </w:r>
    </w:p>
    <w:p>
      <w:pPr>
        <w:pStyle w:val="14"/>
        <w:spacing w:line="500" w:lineRule="exact"/>
        <w:ind w:firstLine="436" w:firstLineChars="156"/>
        <w:rPr>
          <w:rFonts w:ascii="仿宋" w:hAnsi="仿宋" w:eastAsia="仿宋"/>
          <w:sz w:val="28"/>
          <w:szCs w:val="28"/>
        </w:rPr>
      </w:pPr>
    </w:p>
    <w:p>
      <w:pPr>
        <w:pStyle w:val="14"/>
        <w:spacing w:line="500" w:lineRule="exact"/>
        <w:ind w:firstLine="1696" w:firstLineChars="606"/>
        <w:rPr>
          <w:rFonts w:ascii="仿宋" w:hAnsi="仿宋" w:eastAsia="仿宋"/>
          <w:sz w:val="28"/>
          <w:szCs w:val="28"/>
        </w:rPr>
      </w:pPr>
      <w:r>
        <w:rPr>
          <w:rFonts w:hint="eastAsia" w:ascii="仿宋" w:hAnsi="仿宋" w:eastAsia="仿宋"/>
          <w:sz w:val="28"/>
          <w:szCs w:val="28"/>
        </w:rPr>
        <w:t>法定代表人或其授权代理人：</w:t>
      </w:r>
      <w:r>
        <w:rPr>
          <w:rFonts w:hint="eastAsia" w:ascii="仿宋" w:hAnsi="仿宋" w:eastAsia="仿宋"/>
          <w:sz w:val="28"/>
          <w:szCs w:val="28"/>
          <w:u w:val="single"/>
        </w:rPr>
        <w:t xml:space="preserve">          </w:t>
      </w:r>
      <w:r>
        <w:rPr>
          <w:rFonts w:hint="eastAsia" w:ascii="仿宋" w:hAnsi="仿宋" w:eastAsia="仿宋"/>
          <w:sz w:val="28"/>
          <w:szCs w:val="28"/>
        </w:rPr>
        <w:t>（签名或盖章）</w:t>
      </w:r>
    </w:p>
    <w:p>
      <w:pPr>
        <w:pStyle w:val="14"/>
        <w:spacing w:line="500" w:lineRule="exact"/>
        <w:ind w:firstLine="436" w:firstLineChars="156"/>
        <w:jc w:val="center"/>
        <w:rPr>
          <w:rFonts w:ascii="仿宋" w:hAnsi="仿宋" w:eastAsia="仿宋"/>
          <w:sz w:val="28"/>
          <w:szCs w:val="28"/>
        </w:rPr>
      </w:pPr>
    </w:p>
    <w:p>
      <w:pPr>
        <w:pStyle w:val="14"/>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日期：    年   月   日</w:t>
      </w:r>
    </w:p>
    <w:p>
      <w:pPr>
        <w:pStyle w:val="14"/>
        <w:spacing w:line="500" w:lineRule="exact"/>
        <w:ind w:firstLine="436" w:firstLineChars="156"/>
        <w:jc w:val="center"/>
        <w:rPr>
          <w:rFonts w:ascii="仿宋" w:hAnsi="仿宋" w:eastAsia="仿宋"/>
          <w:sz w:val="28"/>
          <w:szCs w:val="28"/>
        </w:rPr>
      </w:pPr>
    </w:p>
    <w:p>
      <w:pPr>
        <w:pStyle w:val="14"/>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pStyle w:val="14"/>
        <w:spacing w:line="500" w:lineRule="exact"/>
        <w:ind w:firstLine="0"/>
        <w:rPr>
          <w:rFonts w:ascii="仿宋" w:hAnsi="仿宋" w:eastAsia="仿宋"/>
          <w:sz w:val="28"/>
          <w:szCs w:val="28"/>
        </w:rPr>
      </w:pPr>
    </w:p>
    <w:p>
      <w:pPr>
        <w:pStyle w:val="14"/>
        <w:spacing w:line="500" w:lineRule="exact"/>
        <w:ind w:firstLine="436" w:firstLineChars="156"/>
        <w:jc w:val="center"/>
        <w:rPr>
          <w:rFonts w:ascii="仿宋" w:hAnsi="仿宋" w:eastAsia="仿宋"/>
          <w:sz w:val="28"/>
          <w:szCs w:val="28"/>
        </w:rPr>
      </w:pPr>
      <w:r>
        <w:rPr>
          <w:rFonts w:hint="eastAsia" w:ascii="仿宋" w:hAnsi="仿宋" w:eastAsia="仿宋"/>
          <w:sz w:val="28"/>
          <w:szCs w:val="28"/>
        </w:rPr>
        <w:t>有效身份证明复印件粘贴处</w:t>
      </w:r>
    </w:p>
    <w:p>
      <w:pPr>
        <w:pStyle w:val="14"/>
        <w:spacing w:line="500" w:lineRule="exact"/>
        <w:ind w:firstLine="468" w:firstLineChars="156"/>
        <w:jc w:val="center"/>
        <w:rPr>
          <w:rFonts w:ascii="仿宋" w:hAnsi="仿宋" w:eastAsia="仿宋"/>
          <w:sz w:val="30"/>
          <w:szCs w:val="24"/>
        </w:rPr>
      </w:pPr>
    </w:p>
    <w:p>
      <w:pPr>
        <w:adjustRightInd w:val="0"/>
        <w:snapToGrid w:val="0"/>
        <w:spacing w:line="440" w:lineRule="exact"/>
        <w:jc w:val="left"/>
        <w:rPr>
          <w:rFonts w:ascii="宋体" w:hAnsi="宋体"/>
          <w:b/>
          <w:szCs w:val="21"/>
        </w:rPr>
      </w:pPr>
    </w:p>
    <w:p>
      <w:pPr>
        <w:pStyle w:val="21"/>
        <w:ind w:firstLine="281"/>
        <w:rPr>
          <w:rFonts w:ascii="宋体" w:hAnsi="宋体"/>
          <w:b/>
          <w:szCs w:val="21"/>
        </w:rPr>
      </w:pPr>
    </w:p>
    <w:p>
      <w:pPr>
        <w:rPr>
          <w:rFonts w:ascii="宋体" w:hAnsi="宋体"/>
          <w:b/>
          <w:szCs w:val="21"/>
        </w:rPr>
      </w:pPr>
    </w:p>
    <w:p>
      <w:pPr>
        <w:pStyle w:val="21"/>
        <w:ind w:firstLine="280"/>
      </w:pPr>
    </w:p>
    <w:p/>
    <w:p>
      <w:pPr>
        <w:spacing w:line="360" w:lineRule="auto"/>
        <w:ind w:right="560" w:rightChars="200"/>
        <w:rPr>
          <w:rFonts w:ascii="宋体" w:hAnsi="宋体"/>
          <w:b/>
          <w:szCs w:val="21"/>
        </w:rPr>
      </w:pPr>
      <w:r>
        <w:rPr>
          <w:rFonts w:hint="eastAsia" w:ascii="宋体" w:hAnsi="宋体" w:cs="宋体"/>
          <w:b/>
          <w:szCs w:val="28"/>
        </w:rPr>
        <w:t>3、</w:t>
      </w:r>
      <w:r>
        <w:rPr>
          <w:rFonts w:hint="eastAsia" w:ascii="宋体" w:hAnsi="宋体"/>
          <w:b/>
          <w:szCs w:val="21"/>
        </w:rPr>
        <w:t>法定代表人授权委托书格式：</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pStyle w:val="21"/>
        <w:ind w:firstLine="280"/>
      </w:pPr>
    </w:p>
    <w:p>
      <w:pPr>
        <w:snapToGrid w:val="0"/>
        <w:spacing w:line="360" w:lineRule="auto"/>
        <w:ind w:firstLine="840" w:firstLineChars="300"/>
        <w:rPr>
          <w:rFonts w:ascii="仿宋" w:hAnsi="仿宋" w:eastAsia="仿宋"/>
          <w:szCs w:val="28"/>
          <w:u w:val="single"/>
        </w:rPr>
      </w:pPr>
      <w:r>
        <w:rPr>
          <w:rFonts w:hint="eastAsia" w:ascii="仿宋" w:hAnsi="仿宋" w:eastAsia="仿宋"/>
          <w:szCs w:val="28"/>
        </w:rPr>
        <w:t>我</w:t>
      </w:r>
      <w:r>
        <w:rPr>
          <w:rFonts w:hint="eastAsia" w:ascii="仿宋" w:hAnsi="仿宋" w:eastAsia="仿宋"/>
          <w:szCs w:val="28"/>
          <w:u w:val="single"/>
        </w:rPr>
        <w:t xml:space="preserve">    </w:t>
      </w:r>
      <w:r>
        <w:rPr>
          <w:rFonts w:hint="eastAsia" w:ascii="仿宋" w:hAnsi="仿宋" w:eastAsia="仿宋"/>
          <w:szCs w:val="28"/>
        </w:rPr>
        <w:t>（姓名）系</w:t>
      </w:r>
      <w:r>
        <w:rPr>
          <w:rFonts w:hint="eastAsia" w:ascii="仿宋" w:hAnsi="仿宋" w:eastAsia="仿宋"/>
          <w:szCs w:val="28"/>
          <w:u w:val="single"/>
        </w:rPr>
        <w:t xml:space="preserve">               </w:t>
      </w:r>
      <w:r>
        <w:rPr>
          <w:rFonts w:hint="eastAsia" w:ascii="仿宋" w:hAnsi="仿宋" w:eastAsia="仿宋"/>
          <w:szCs w:val="28"/>
        </w:rPr>
        <w:t xml:space="preserve">（投标人名称）的法定代表人，现授权委托本单位在职职工 </w:t>
      </w:r>
      <w:r>
        <w:rPr>
          <w:rFonts w:hint="eastAsia" w:ascii="仿宋" w:hAnsi="仿宋" w:eastAsia="仿宋"/>
          <w:b/>
          <w:szCs w:val="28"/>
        </w:rPr>
        <w:t xml:space="preserve">(提供个人在本单位缴纳社保的证明) </w:t>
      </w:r>
      <w:r>
        <w:rPr>
          <w:rFonts w:hint="eastAsia" w:ascii="仿宋" w:hAnsi="仿宋" w:eastAsia="仿宋"/>
          <w:b/>
          <w:szCs w:val="28"/>
          <w:u w:val="single"/>
        </w:rPr>
        <w:t xml:space="preserve">   </w:t>
      </w:r>
      <w:r>
        <w:rPr>
          <w:rFonts w:hint="eastAsia" w:ascii="仿宋" w:hAnsi="仿宋" w:eastAsia="仿宋"/>
          <w:szCs w:val="28"/>
          <w:u w:val="single"/>
        </w:rPr>
        <w:t xml:space="preserve"> </w:t>
      </w:r>
    </w:p>
    <w:p>
      <w:pPr>
        <w:snapToGrid w:val="0"/>
        <w:spacing w:line="360" w:lineRule="auto"/>
        <w:rPr>
          <w:rFonts w:ascii="仿宋" w:hAnsi="仿宋" w:eastAsia="仿宋"/>
          <w:szCs w:val="28"/>
          <w:u w:val="single"/>
        </w:rPr>
      </w:pPr>
      <w:r>
        <w:rPr>
          <w:rFonts w:hint="eastAsia" w:ascii="仿宋" w:hAnsi="仿宋" w:eastAsia="仿宋"/>
          <w:szCs w:val="28"/>
          <w:u w:val="single"/>
        </w:rPr>
        <w:t xml:space="preserve">         </w:t>
      </w:r>
      <w:r>
        <w:rPr>
          <w:rFonts w:hint="eastAsia" w:ascii="仿宋" w:hAnsi="仿宋" w:eastAsia="仿宋"/>
          <w:szCs w:val="28"/>
        </w:rPr>
        <w:t>（姓名）为授权代表，以我方的名义参加项目编号：</w:t>
      </w:r>
      <w:r>
        <w:rPr>
          <w:rFonts w:hint="eastAsia" w:ascii="仿宋" w:hAnsi="仿宋" w:eastAsia="仿宋"/>
          <w:szCs w:val="28"/>
          <w:u w:val="single"/>
        </w:rPr>
        <w:t xml:space="preserve">           </w:t>
      </w:r>
    </w:p>
    <w:p>
      <w:pPr>
        <w:snapToGrid w:val="0"/>
        <w:spacing w:line="360" w:lineRule="auto"/>
        <w:rPr>
          <w:rFonts w:ascii="仿宋" w:hAnsi="仿宋" w:eastAsia="仿宋"/>
          <w:szCs w:val="28"/>
        </w:rPr>
      </w:pPr>
      <w:r>
        <w:rPr>
          <w:rFonts w:hint="eastAsia" w:ascii="仿宋" w:hAnsi="仿宋" w:eastAsia="仿宋"/>
          <w:szCs w:val="28"/>
        </w:rPr>
        <w:t>项目名称</w:t>
      </w:r>
      <w:r>
        <w:rPr>
          <w:rFonts w:hint="eastAsia" w:ascii="仿宋" w:hAnsi="仿宋" w:eastAsia="仿宋"/>
          <w:szCs w:val="28"/>
          <w:u w:val="single"/>
        </w:rPr>
        <w:t xml:space="preserve">：                    </w:t>
      </w:r>
      <w:r>
        <w:rPr>
          <w:rFonts w:hint="eastAsia" w:ascii="仿宋" w:hAnsi="仿宋" w:eastAsia="仿宋"/>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szCs w:val="28"/>
        </w:rPr>
      </w:pPr>
      <w:r>
        <w:rPr>
          <w:rFonts w:hint="eastAsia" w:ascii="仿宋" w:hAnsi="仿宋" w:eastAsia="仿宋"/>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szCs w:val="28"/>
        </w:rPr>
      </w:pPr>
      <w:r>
        <w:rPr>
          <w:rFonts w:hint="eastAsia" w:ascii="仿宋" w:hAnsi="仿宋" w:eastAsia="仿宋"/>
          <w:szCs w:val="28"/>
        </w:rPr>
        <w:t>授权代表无转委托权，特此委托。</w:t>
      </w:r>
    </w:p>
    <w:p>
      <w:pPr>
        <w:snapToGrid w:val="0"/>
        <w:spacing w:line="360" w:lineRule="auto"/>
        <w:ind w:firstLine="480"/>
        <w:rPr>
          <w:rFonts w:ascii="仿宋" w:hAnsi="仿宋" w:eastAsia="仿宋"/>
          <w:szCs w:val="28"/>
        </w:rPr>
      </w:pPr>
    </w:p>
    <w:p>
      <w:pPr>
        <w:snapToGrid w:val="0"/>
        <w:spacing w:beforeLines="50" w:after="50" w:line="460" w:lineRule="exact"/>
        <w:ind w:firstLine="480"/>
        <w:rPr>
          <w:rFonts w:ascii="仿宋" w:hAnsi="仿宋" w:eastAsia="仿宋"/>
          <w:szCs w:val="28"/>
        </w:rPr>
      </w:pPr>
    </w:p>
    <w:p>
      <w:pPr>
        <w:snapToGrid w:val="0"/>
        <w:spacing w:beforeLines="50" w:after="50" w:line="460" w:lineRule="exact"/>
        <w:rPr>
          <w:rFonts w:ascii="仿宋" w:hAnsi="仿宋" w:eastAsia="仿宋"/>
          <w:szCs w:val="28"/>
        </w:rPr>
      </w:pPr>
      <w:r>
        <w:rPr>
          <w:rFonts w:hint="eastAsia" w:ascii="仿宋" w:hAnsi="仿宋" w:eastAsia="仿宋"/>
          <w:szCs w:val="28"/>
        </w:rPr>
        <w:t>授权代表签名：</w:t>
      </w:r>
      <w:r>
        <w:rPr>
          <w:rFonts w:hint="eastAsia" w:ascii="仿宋" w:hAnsi="仿宋" w:eastAsia="仿宋"/>
          <w:szCs w:val="28"/>
          <w:u w:val="single"/>
        </w:rPr>
        <w:t xml:space="preserve">          </w:t>
      </w:r>
      <w:r>
        <w:rPr>
          <w:rFonts w:hint="eastAsia" w:ascii="仿宋" w:hAnsi="仿宋" w:eastAsia="仿宋"/>
          <w:szCs w:val="28"/>
        </w:rPr>
        <w:t xml:space="preserve">     职务：</w:t>
      </w:r>
      <w:r>
        <w:rPr>
          <w:rFonts w:hint="eastAsia" w:ascii="仿宋" w:hAnsi="仿宋" w:eastAsia="仿宋"/>
          <w:szCs w:val="28"/>
          <w:u w:val="single"/>
        </w:rPr>
        <w:t xml:space="preserve">          </w:t>
      </w:r>
      <w:r>
        <w:rPr>
          <w:rFonts w:hint="eastAsia" w:ascii="仿宋" w:hAnsi="仿宋" w:eastAsia="仿宋"/>
          <w:szCs w:val="28"/>
        </w:rPr>
        <w:t xml:space="preserve">  </w:t>
      </w:r>
    </w:p>
    <w:p>
      <w:pPr>
        <w:snapToGrid w:val="0"/>
        <w:spacing w:beforeLines="50" w:after="50" w:line="460" w:lineRule="exact"/>
        <w:rPr>
          <w:rFonts w:ascii="仿宋" w:hAnsi="仿宋" w:eastAsia="仿宋"/>
          <w:szCs w:val="28"/>
        </w:rPr>
      </w:pPr>
      <w:r>
        <w:rPr>
          <w:rFonts w:hint="eastAsia" w:ascii="仿宋" w:hAnsi="仿宋" w:eastAsia="仿宋"/>
          <w:szCs w:val="28"/>
        </w:rPr>
        <w:t>联系手机：</w:t>
      </w:r>
      <w:r>
        <w:rPr>
          <w:rFonts w:hint="eastAsia" w:ascii="仿宋" w:hAnsi="仿宋" w:eastAsia="仿宋"/>
          <w:szCs w:val="28"/>
          <w:u w:val="single"/>
        </w:rPr>
        <w:t xml:space="preserve">              </w:t>
      </w:r>
      <w:r>
        <w:rPr>
          <w:rFonts w:hint="eastAsia" w:ascii="仿宋" w:hAnsi="仿宋" w:eastAsia="仿宋"/>
          <w:szCs w:val="28"/>
        </w:rPr>
        <w:t>（开评标期间务必保持通畅，用以询标联系）</w:t>
      </w:r>
    </w:p>
    <w:p>
      <w:pPr>
        <w:snapToGrid w:val="0"/>
        <w:spacing w:beforeLines="50" w:after="50" w:line="460" w:lineRule="exact"/>
        <w:rPr>
          <w:rFonts w:ascii="仿宋" w:hAnsi="仿宋" w:eastAsia="仿宋"/>
          <w:szCs w:val="28"/>
        </w:rPr>
      </w:pPr>
      <w:r>
        <w:rPr>
          <w:rFonts w:hint="eastAsia" w:ascii="仿宋" w:hAnsi="仿宋" w:eastAsia="仿宋"/>
          <w:szCs w:val="28"/>
        </w:rPr>
        <w:t>授权代表身份证号码：</w:t>
      </w:r>
      <w:r>
        <w:rPr>
          <w:rFonts w:hint="eastAsia" w:ascii="仿宋" w:hAnsi="仿宋" w:eastAsia="仿宋"/>
          <w:szCs w:val="28"/>
          <w:u w:val="single"/>
        </w:rPr>
        <w:t xml:space="preserve">                         </w:t>
      </w:r>
      <w:r>
        <w:rPr>
          <w:rFonts w:hint="eastAsia" w:ascii="仿宋" w:hAnsi="仿宋" w:eastAsia="仿宋"/>
          <w:szCs w:val="28"/>
        </w:rPr>
        <w:t xml:space="preserve"> </w:t>
      </w:r>
    </w:p>
    <w:p>
      <w:pPr>
        <w:snapToGrid w:val="0"/>
        <w:spacing w:beforeLines="50" w:after="50" w:line="460" w:lineRule="exact"/>
        <w:rPr>
          <w:rFonts w:ascii="仿宋" w:hAnsi="仿宋" w:eastAsia="仿宋"/>
          <w:szCs w:val="28"/>
        </w:rPr>
      </w:pPr>
      <w:r>
        <w:rPr>
          <w:rFonts w:hint="eastAsia" w:ascii="仿宋" w:hAnsi="仿宋" w:eastAsia="仿宋"/>
          <w:szCs w:val="28"/>
        </w:rPr>
        <w:t>法定代表人签名（或签名章）：</w:t>
      </w:r>
      <w:r>
        <w:rPr>
          <w:rFonts w:hint="eastAsia" w:ascii="仿宋" w:hAnsi="仿宋" w:eastAsia="仿宋"/>
          <w:szCs w:val="28"/>
          <w:u w:val="single"/>
        </w:rPr>
        <w:t xml:space="preserve">         </w:t>
      </w:r>
      <w:r>
        <w:rPr>
          <w:rFonts w:hint="eastAsia" w:ascii="仿宋" w:hAnsi="仿宋" w:eastAsia="仿宋"/>
          <w:szCs w:val="28"/>
        </w:rPr>
        <w:t xml:space="preserve">   职务：</w:t>
      </w:r>
      <w:r>
        <w:rPr>
          <w:rFonts w:hint="eastAsia" w:ascii="仿宋" w:hAnsi="仿宋" w:eastAsia="仿宋"/>
          <w:szCs w:val="28"/>
          <w:u w:val="single"/>
        </w:rPr>
        <w:t xml:space="preserve">           </w:t>
      </w:r>
    </w:p>
    <w:p>
      <w:pPr>
        <w:snapToGrid w:val="0"/>
        <w:spacing w:beforeLines="50" w:after="50" w:line="460" w:lineRule="exact"/>
        <w:rPr>
          <w:rFonts w:ascii="仿宋" w:hAnsi="仿宋" w:eastAsia="仿宋"/>
          <w:szCs w:val="28"/>
        </w:rPr>
      </w:pPr>
    </w:p>
    <w:p>
      <w:pPr>
        <w:snapToGrid w:val="0"/>
        <w:spacing w:beforeLines="50" w:after="50" w:line="460" w:lineRule="exact"/>
        <w:rPr>
          <w:rFonts w:ascii="仿宋" w:hAnsi="仿宋" w:eastAsia="仿宋"/>
          <w:szCs w:val="28"/>
          <w:u w:val="single"/>
        </w:rPr>
      </w:pPr>
      <w:r>
        <w:rPr>
          <w:rFonts w:hint="eastAsia" w:ascii="仿宋" w:hAnsi="仿宋" w:eastAsia="仿宋"/>
          <w:szCs w:val="28"/>
        </w:rPr>
        <w:t>投标人全称（签章）：</w:t>
      </w:r>
      <w:r>
        <w:rPr>
          <w:rFonts w:hint="eastAsia" w:ascii="仿宋" w:hAnsi="仿宋" w:eastAsia="仿宋"/>
          <w:szCs w:val="28"/>
          <w:u w:val="single"/>
        </w:rPr>
        <w:t xml:space="preserve">           </w:t>
      </w:r>
      <w:r>
        <w:rPr>
          <w:rFonts w:hint="eastAsia" w:ascii="仿宋" w:hAnsi="仿宋" w:eastAsia="仿宋"/>
          <w:szCs w:val="28"/>
        </w:rPr>
        <w:t xml:space="preserve">         日  期：</w:t>
      </w:r>
      <w:r>
        <w:rPr>
          <w:rFonts w:hint="eastAsia" w:ascii="仿宋" w:hAnsi="仿宋" w:eastAsia="仿宋"/>
          <w:szCs w:val="28"/>
          <w:u w:val="single"/>
        </w:rPr>
        <w:t xml:space="preserve">     </w:t>
      </w:r>
    </w:p>
    <w:p>
      <w:pPr>
        <w:pStyle w:val="14"/>
        <w:spacing w:line="600" w:lineRule="exact"/>
        <w:ind w:firstLine="436" w:firstLineChars="156"/>
        <w:rPr>
          <w:rFonts w:ascii="仿宋" w:hAnsi="仿宋" w:eastAsia="仿宋"/>
          <w:sz w:val="28"/>
          <w:szCs w:val="28"/>
        </w:rPr>
      </w:pPr>
      <w:r>
        <w:rPr>
          <w:rFonts w:hint="eastAsia" w:ascii="仿宋" w:hAnsi="仿宋" w:eastAsia="仿宋"/>
          <w:sz w:val="28"/>
          <w:szCs w:val="28"/>
        </w:rPr>
        <w:t>————————————————————-----------</w:t>
      </w:r>
    </w:p>
    <w:p>
      <w:pPr>
        <w:snapToGrid w:val="0"/>
        <w:spacing w:beforeLines="50" w:after="50" w:line="460" w:lineRule="exact"/>
        <w:jc w:val="center"/>
        <w:rPr>
          <w:rFonts w:ascii="仿宋" w:hAnsi="仿宋" w:eastAsia="仿宋"/>
          <w:szCs w:val="28"/>
          <w:u w:val="single"/>
        </w:rPr>
      </w:pPr>
      <w:r>
        <w:rPr>
          <w:rFonts w:hint="eastAsia" w:ascii="仿宋" w:hAnsi="仿宋" w:eastAsia="仿宋"/>
          <w:szCs w:val="28"/>
        </w:rPr>
        <w:t>授权代理人有效身份证明复印件粘贴处</w:t>
      </w:r>
    </w:p>
    <w:p>
      <w:pPr>
        <w:snapToGrid w:val="0"/>
        <w:spacing w:beforeLines="50" w:after="50" w:line="460" w:lineRule="exact"/>
        <w:rPr>
          <w:rFonts w:ascii="仿宋" w:hAnsi="仿宋" w:eastAsia="仿宋"/>
          <w:szCs w:val="28"/>
          <w:u w:val="single"/>
        </w:rPr>
      </w:pPr>
    </w:p>
    <w:p>
      <w:pPr>
        <w:adjustRightInd w:val="0"/>
        <w:snapToGrid w:val="0"/>
        <w:jc w:val="left"/>
        <w:rPr>
          <w:rFonts w:ascii="宋体" w:hAnsi="宋体"/>
          <w:sz w:val="24"/>
        </w:rPr>
      </w:pPr>
    </w:p>
    <w:p>
      <w:pPr>
        <w:snapToGrid w:val="0"/>
        <w:spacing w:beforeLines="50" w:after="50" w:line="460" w:lineRule="exact"/>
        <w:jc w:val="left"/>
        <w:rPr>
          <w:rFonts w:ascii="宋体" w:hAnsi="宋体" w:cs="宋体"/>
          <w:b/>
          <w:bCs/>
        </w:rPr>
      </w:pPr>
      <w:r>
        <w:rPr>
          <w:rFonts w:hint="eastAsia" w:ascii="仿宋" w:hAnsi="仿宋" w:eastAsia="仿宋"/>
          <w:szCs w:val="28"/>
        </w:rPr>
        <w:t>附：被授权人社保缴纳证明</w:t>
      </w:r>
    </w:p>
    <w:p>
      <w:pPr>
        <w:tabs>
          <w:tab w:val="left" w:pos="1650"/>
        </w:tabs>
        <w:spacing w:line="560" w:lineRule="exact"/>
        <w:jc w:val="left"/>
        <w:rPr>
          <w:rFonts w:ascii="宋体" w:hAnsi="宋体" w:cs="宋体"/>
          <w:b/>
          <w:bCs/>
        </w:rPr>
      </w:pPr>
      <w:r>
        <w:rPr>
          <w:rFonts w:hint="eastAsia" w:ascii="宋体" w:hAnsi="宋体" w:cs="宋体"/>
          <w:b/>
          <w:bCs/>
        </w:rPr>
        <w:t>4、信用承诺书格式</w:t>
      </w:r>
    </w:p>
    <w:p>
      <w:pPr>
        <w:spacing w:line="560" w:lineRule="exact"/>
        <w:jc w:val="center"/>
        <w:rPr>
          <w:rFonts w:ascii="仿宋" w:hAnsi="仿宋" w:eastAsia="仿宋"/>
          <w:szCs w:val="28"/>
        </w:rPr>
      </w:pPr>
      <w:r>
        <w:rPr>
          <w:rFonts w:hint="eastAsia" w:ascii="仿宋" w:hAnsi="仿宋" w:eastAsia="仿宋"/>
          <w:b/>
          <w:sz w:val="36"/>
          <w:szCs w:val="36"/>
        </w:rPr>
        <w:t>信用承诺书</w:t>
      </w:r>
    </w:p>
    <w:p>
      <w:pPr>
        <w:spacing w:line="560" w:lineRule="exact"/>
        <w:rPr>
          <w:rFonts w:ascii="仿宋" w:hAnsi="仿宋" w:eastAsia="仿宋"/>
          <w:szCs w:val="28"/>
        </w:rPr>
      </w:pPr>
      <w:r>
        <w:rPr>
          <w:rFonts w:hint="eastAsia" w:ascii="仿宋" w:hAnsi="仿宋" w:eastAsia="仿宋"/>
          <w:szCs w:val="28"/>
        </w:rPr>
        <w:t xml:space="preserve"> </w:t>
      </w:r>
    </w:p>
    <w:p>
      <w:pPr>
        <w:jc w:val="left"/>
        <w:rPr>
          <w:rFonts w:ascii="仿宋" w:hAnsi="仿宋" w:eastAsia="仿宋"/>
          <w:szCs w:val="28"/>
        </w:rPr>
      </w:pPr>
      <w:r>
        <w:rPr>
          <w:rFonts w:hint="eastAsia" w:ascii="仿宋" w:hAnsi="仿宋" w:eastAsia="仿宋"/>
          <w:szCs w:val="28"/>
          <w:u w:val="single"/>
        </w:rPr>
        <w:t xml:space="preserve">                 </w:t>
      </w:r>
      <w:r>
        <w:rPr>
          <w:rFonts w:hint="eastAsia" w:ascii="仿宋" w:hAnsi="仿宋" w:eastAsia="仿宋"/>
          <w:szCs w:val="28"/>
        </w:rPr>
        <w:t>（投标单位）现参加</w:t>
      </w:r>
      <w:r>
        <w:rPr>
          <w:rFonts w:hint="eastAsia" w:ascii="仿宋" w:hAnsi="仿宋" w:eastAsia="仿宋"/>
          <w:szCs w:val="28"/>
          <w:u w:val="single"/>
        </w:rPr>
        <w:t xml:space="preserve">               </w:t>
      </w:r>
      <w:r>
        <w:rPr>
          <w:rFonts w:hint="eastAsia" w:ascii="仿宋" w:hAnsi="仿宋" w:eastAsia="仿宋"/>
          <w:szCs w:val="28"/>
        </w:rPr>
        <w:t>（采购项目）采购活动，郑重承诺如下：</w:t>
      </w:r>
    </w:p>
    <w:p>
      <w:pPr>
        <w:spacing w:line="560" w:lineRule="exact"/>
        <w:ind w:firstLine="630"/>
        <w:rPr>
          <w:rFonts w:ascii="仿宋" w:hAnsi="仿宋" w:eastAsia="仿宋"/>
          <w:szCs w:val="28"/>
        </w:rPr>
      </w:pPr>
      <w:r>
        <w:rPr>
          <w:rFonts w:hint="eastAsia" w:ascii="仿宋" w:hAnsi="仿宋" w:eastAsia="仿宋"/>
          <w:szCs w:val="28"/>
        </w:rPr>
        <w:t>对所提供的资料合法性、真实性、准确性和有效性负责；</w:t>
      </w:r>
    </w:p>
    <w:p>
      <w:pPr>
        <w:spacing w:line="560" w:lineRule="exact"/>
        <w:ind w:firstLine="630"/>
        <w:rPr>
          <w:rFonts w:ascii="仿宋" w:hAnsi="仿宋" w:eastAsia="仿宋"/>
          <w:szCs w:val="28"/>
        </w:rPr>
      </w:pPr>
      <w:r>
        <w:rPr>
          <w:rFonts w:hint="eastAsia" w:ascii="仿宋" w:hAnsi="仿宋" w:eastAsia="仿宋"/>
          <w:szCs w:val="28"/>
        </w:rPr>
        <w:t>严格按照国家法律、法规和规章，依法开展相关经济活动，全面履行应尽的责任和义务；</w:t>
      </w:r>
    </w:p>
    <w:p>
      <w:pPr>
        <w:spacing w:line="560" w:lineRule="exact"/>
        <w:ind w:firstLine="630"/>
        <w:rPr>
          <w:rFonts w:ascii="仿宋" w:hAnsi="仿宋" w:eastAsia="仿宋"/>
          <w:szCs w:val="28"/>
        </w:rPr>
      </w:pPr>
      <w:r>
        <w:rPr>
          <w:rFonts w:hint="eastAsia" w:ascii="仿宋" w:hAnsi="仿宋" w:eastAsia="仿宋"/>
          <w:szCs w:val="28"/>
        </w:rPr>
        <w:t>加强自我约束、自我规范、自我管理，不制假售假、不虚假宣传、不违约毁约、不恶意逃债、不偷税漏税，诚信依法经营；</w:t>
      </w:r>
    </w:p>
    <w:p>
      <w:pPr>
        <w:spacing w:line="560" w:lineRule="exact"/>
        <w:ind w:firstLine="630"/>
        <w:rPr>
          <w:rFonts w:ascii="仿宋" w:hAnsi="仿宋" w:eastAsia="仿宋"/>
          <w:szCs w:val="28"/>
        </w:rPr>
      </w:pPr>
      <w:r>
        <w:rPr>
          <w:rFonts w:hint="eastAsia" w:ascii="仿宋" w:hAnsi="仿宋" w:eastAsia="仿宋"/>
          <w:szCs w:val="28"/>
        </w:rPr>
        <w:t>自愿接受行政主管部门的依法检查、违背承诺约定将自愿承担违约责任，并接受法律法规和相关部门规章制度的惩戒和约束；</w:t>
      </w:r>
    </w:p>
    <w:p>
      <w:pPr>
        <w:spacing w:line="560" w:lineRule="exact"/>
        <w:ind w:firstLine="630"/>
        <w:rPr>
          <w:rFonts w:ascii="仿宋" w:hAnsi="仿宋" w:eastAsia="仿宋"/>
          <w:szCs w:val="28"/>
        </w:rPr>
      </w:pPr>
      <w:r>
        <w:rPr>
          <w:rFonts w:hint="eastAsia" w:ascii="仿宋" w:hAnsi="仿宋" w:eastAsia="仿宋"/>
          <w:kern w:val="0"/>
          <w:szCs w:val="28"/>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560" w:lineRule="exact"/>
        <w:rPr>
          <w:rFonts w:ascii="仿宋" w:hAnsi="仿宋" w:eastAsia="仿宋"/>
          <w:szCs w:val="28"/>
          <w:u w:val="single"/>
        </w:rPr>
      </w:pPr>
      <w:r>
        <w:rPr>
          <w:rFonts w:hint="eastAsia" w:ascii="仿宋" w:hAnsi="仿宋" w:eastAsia="仿宋"/>
          <w:szCs w:val="28"/>
          <w:u w:val="single"/>
        </w:rPr>
        <w:t xml:space="preserve"> </w:t>
      </w:r>
    </w:p>
    <w:p>
      <w:pPr>
        <w:spacing w:line="560" w:lineRule="exact"/>
        <w:rPr>
          <w:rFonts w:ascii="仿宋" w:hAnsi="仿宋" w:eastAsia="仿宋"/>
          <w:szCs w:val="28"/>
          <w:u w:val="single"/>
        </w:rPr>
      </w:pPr>
      <w:r>
        <w:rPr>
          <w:rFonts w:hint="eastAsia" w:ascii="仿宋" w:hAnsi="仿宋" w:eastAsia="仿宋"/>
          <w:szCs w:val="28"/>
          <w:u w:val="single"/>
        </w:rPr>
        <w:t xml:space="preserve"> </w:t>
      </w:r>
    </w:p>
    <w:p>
      <w:pPr>
        <w:pStyle w:val="139"/>
        <w:spacing w:before="0" w:beforeAutospacing="0" w:after="0" w:afterAutospacing="0" w:line="560" w:lineRule="exact"/>
        <w:ind w:firstLine="700" w:firstLineChars="250"/>
        <w:rPr>
          <w:rFonts w:ascii="仿宋" w:hAnsi="仿宋" w:eastAsia="仿宋" w:cs="Times New Roman"/>
          <w:spacing w:val="-7"/>
          <w:sz w:val="28"/>
          <w:szCs w:val="28"/>
        </w:rPr>
      </w:pPr>
      <w:r>
        <w:rPr>
          <w:rFonts w:hint="eastAsia" w:ascii="仿宋" w:hAnsi="仿宋" w:eastAsia="仿宋" w:cs="Times New Roman"/>
          <w:kern w:val="2"/>
          <w:sz w:val="28"/>
          <w:szCs w:val="28"/>
        </w:rPr>
        <w:t>统一社会信用代码：</w:t>
      </w:r>
      <w:r>
        <w:rPr>
          <w:rFonts w:hint="eastAsia" w:ascii="仿宋" w:hAnsi="仿宋" w:eastAsia="仿宋" w:cs="Times New Roman"/>
          <w:spacing w:val="-7"/>
          <w:sz w:val="28"/>
          <w:szCs w:val="28"/>
          <w:u w:val="single"/>
        </w:rPr>
        <w:t xml:space="preserve">                      </w:t>
      </w:r>
      <w:r>
        <w:rPr>
          <w:rFonts w:hint="eastAsia" w:ascii="仿宋" w:hAnsi="仿宋" w:eastAsia="仿宋" w:cs="Times New Roman"/>
          <w:spacing w:val="-7"/>
          <w:sz w:val="28"/>
          <w:szCs w:val="28"/>
        </w:rPr>
        <w:t xml:space="preserve"> </w:t>
      </w:r>
    </w:p>
    <w:p>
      <w:pPr>
        <w:pStyle w:val="139"/>
        <w:spacing w:before="0" w:beforeAutospacing="0" w:after="0" w:afterAutospacing="0" w:line="560" w:lineRule="exact"/>
        <w:rPr>
          <w:rFonts w:ascii="仿宋" w:hAnsi="仿宋" w:eastAsia="仿宋" w:cs="Times New Roman"/>
          <w:sz w:val="28"/>
          <w:szCs w:val="28"/>
        </w:rPr>
      </w:pPr>
      <w:r>
        <w:rPr>
          <w:rFonts w:hint="eastAsia" w:ascii="仿宋" w:hAnsi="仿宋" w:eastAsia="仿宋" w:cs="Times New Roman"/>
          <w:sz w:val="28"/>
          <w:szCs w:val="28"/>
        </w:rPr>
        <w:t xml:space="preserve">    </w:t>
      </w:r>
    </w:p>
    <w:p>
      <w:pPr>
        <w:pStyle w:val="139"/>
        <w:spacing w:before="0" w:beforeAutospacing="0" w:after="0" w:afterAutospacing="0" w:line="560" w:lineRule="exact"/>
        <w:ind w:firstLine="3780" w:firstLineChars="1350"/>
        <w:rPr>
          <w:rFonts w:ascii="仿宋" w:hAnsi="仿宋" w:eastAsia="仿宋"/>
          <w:sz w:val="28"/>
          <w:szCs w:val="28"/>
        </w:rPr>
      </w:pPr>
      <w:r>
        <w:rPr>
          <w:rFonts w:hint="eastAsia" w:ascii="仿宋" w:hAnsi="仿宋" w:eastAsia="仿宋" w:cs="Times New Roman"/>
          <w:kern w:val="2"/>
          <w:sz w:val="28"/>
          <w:szCs w:val="28"/>
        </w:rPr>
        <w:t>承诺单位</w:t>
      </w:r>
      <w:r>
        <w:rPr>
          <w:rFonts w:hint="eastAsia" w:ascii="仿宋" w:hAnsi="仿宋" w:eastAsia="仿宋"/>
          <w:sz w:val="28"/>
          <w:szCs w:val="28"/>
        </w:rPr>
        <w:t>（签章）：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pStyle w:val="139"/>
        <w:spacing w:before="0" w:beforeAutospacing="0" w:after="0" w:afterAutospacing="0" w:line="560" w:lineRule="exact"/>
        <w:ind w:firstLine="3780" w:firstLineChars="1350"/>
        <w:rPr>
          <w:rFonts w:ascii="仿宋" w:hAnsi="仿宋" w:eastAsia="仿宋" w:cs="Times New Roman"/>
          <w:kern w:val="2"/>
          <w:sz w:val="28"/>
          <w:szCs w:val="28"/>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465"/>
        </w:tabs>
        <w:ind w:firstLine="2772" w:firstLineChars="990"/>
        <w:rPr>
          <w:rFonts w:ascii="仿宋" w:hAnsi="仿宋" w:eastAsia="仿宋"/>
          <w:szCs w:val="28"/>
        </w:rPr>
      </w:pPr>
      <w:r>
        <w:rPr>
          <w:rFonts w:hint="eastAsia" w:ascii="仿宋" w:hAnsi="仿宋" w:eastAsia="仿宋"/>
          <w:szCs w:val="28"/>
        </w:rPr>
        <w:t xml:space="preserve">       时间：   年  月 日</w:t>
      </w:r>
    </w:p>
    <w:p>
      <w:pPr>
        <w:tabs>
          <w:tab w:val="left" w:pos="465"/>
        </w:tabs>
        <w:ind w:firstLine="2783" w:firstLineChars="990"/>
        <w:rPr>
          <w:rFonts w:ascii="仿宋" w:hAnsi="仿宋" w:eastAsia="仿宋"/>
          <w:b/>
          <w:bCs/>
          <w:szCs w:val="28"/>
        </w:rPr>
      </w:pPr>
    </w:p>
    <w:p>
      <w:pPr>
        <w:spacing w:line="360" w:lineRule="auto"/>
        <w:rPr>
          <w:rFonts w:ascii="宋体" w:hAnsi="宋体"/>
          <w:b/>
          <w:bCs/>
          <w:spacing w:val="14"/>
          <w:szCs w:val="28"/>
        </w:rPr>
      </w:pPr>
    </w:p>
    <w:p>
      <w:pPr>
        <w:pStyle w:val="21"/>
        <w:ind w:firstLine="280"/>
      </w:pPr>
    </w:p>
    <w:p>
      <w:pPr>
        <w:pStyle w:val="21"/>
        <w:ind w:firstLine="280"/>
      </w:pPr>
    </w:p>
    <w:p>
      <w:pPr>
        <w:pStyle w:val="21"/>
        <w:ind w:firstLine="280"/>
      </w:pPr>
    </w:p>
    <w:p>
      <w:pPr>
        <w:pStyle w:val="21"/>
        <w:ind w:firstLine="0" w:firstLineChars="0"/>
        <w:rPr>
          <w:b/>
          <w:bCs/>
        </w:rPr>
      </w:pPr>
      <w:r>
        <w:rPr>
          <w:rFonts w:hint="eastAsia"/>
          <w:b/>
          <w:bCs/>
        </w:rPr>
        <w:t>5、商务响应表格式</w:t>
      </w:r>
    </w:p>
    <w:p>
      <w:pPr>
        <w:pStyle w:val="21"/>
        <w:ind w:firstLine="281"/>
        <w:rPr>
          <w:rFonts w:ascii="宋体" w:hAnsi="宋体"/>
          <w:b/>
          <w:bCs/>
          <w:szCs w:val="28"/>
        </w:rPr>
      </w:pPr>
    </w:p>
    <w:p/>
    <w:p>
      <w:pPr>
        <w:tabs>
          <w:tab w:val="left" w:pos="3654"/>
        </w:tabs>
        <w:spacing w:line="360" w:lineRule="auto"/>
        <w:jc w:val="center"/>
        <w:rPr>
          <w:rFonts w:ascii="宋体" w:hAnsi="宋体"/>
          <w:b/>
          <w:bCs/>
          <w:szCs w:val="28"/>
        </w:rPr>
      </w:pPr>
      <w:r>
        <w:rPr>
          <w:rFonts w:hint="eastAsia" w:ascii="宋体" w:hAnsi="宋体"/>
          <w:b/>
          <w:bCs/>
          <w:szCs w:val="28"/>
        </w:rPr>
        <w:t>商务响应表</w:t>
      </w:r>
    </w:p>
    <w:p>
      <w:pPr>
        <w:spacing w:line="480" w:lineRule="exact"/>
        <w:rPr>
          <w:rFonts w:ascii="宋体" w:hAnsi="宋体"/>
          <w:sz w:val="24"/>
        </w:rPr>
      </w:pPr>
      <w:r>
        <w:rPr>
          <w:rFonts w:hint="eastAsia" w:ascii="宋体" w:hAnsi="宋体"/>
          <w:sz w:val="24"/>
        </w:rPr>
        <w:t>项目名称：                                         项目</w:t>
      </w:r>
      <w:r>
        <w:rPr>
          <w:rFonts w:ascii="宋体" w:hAnsi="宋体"/>
          <w:sz w:val="24"/>
        </w:rPr>
        <w:t xml:space="preserve">编号：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2729"/>
        <w:gridCol w:w="2087"/>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89" w:type="dxa"/>
            <w:vAlign w:val="center"/>
          </w:tcPr>
          <w:p>
            <w:pPr>
              <w:spacing w:line="460" w:lineRule="exact"/>
              <w:jc w:val="center"/>
              <w:rPr>
                <w:rFonts w:ascii="宋体" w:hAnsi="宋体" w:cs="宋体"/>
                <w:kern w:val="0"/>
                <w:sz w:val="24"/>
              </w:rPr>
            </w:pPr>
            <w:r>
              <w:rPr>
                <w:rFonts w:hint="eastAsia" w:ascii="宋体" w:hAnsi="宋体" w:cs="宋体"/>
                <w:kern w:val="0"/>
                <w:sz w:val="24"/>
              </w:rPr>
              <w:t>项目</w:t>
            </w:r>
          </w:p>
        </w:tc>
        <w:tc>
          <w:tcPr>
            <w:tcW w:w="2729" w:type="dxa"/>
            <w:vAlign w:val="center"/>
          </w:tcPr>
          <w:p>
            <w:pPr>
              <w:spacing w:line="460" w:lineRule="exact"/>
              <w:jc w:val="center"/>
              <w:rPr>
                <w:rFonts w:ascii="宋体" w:hAnsi="宋体" w:cs="宋体"/>
                <w:kern w:val="0"/>
                <w:sz w:val="24"/>
              </w:rPr>
            </w:pPr>
            <w:r>
              <w:rPr>
                <w:rFonts w:hint="eastAsia" w:ascii="宋体" w:hAnsi="宋体" w:cs="宋体"/>
                <w:kern w:val="0"/>
                <w:sz w:val="24"/>
              </w:rPr>
              <w:t>招标文件要求</w:t>
            </w:r>
          </w:p>
        </w:tc>
        <w:tc>
          <w:tcPr>
            <w:tcW w:w="2087" w:type="dxa"/>
            <w:vAlign w:val="center"/>
          </w:tcPr>
          <w:p>
            <w:pPr>
              <w:spacing w:line="460" w:lineRule="exact"/>
              <w:jc w:val="center"/>
              <w:rPr>
                <w:rFonts w:ascii="宋体" w:hAnsi="宋体" w:cs="宋体"/>
                <w:kern w:val="0"/>
                <w:sz w:val="24"/>
              </w:rPr>
            </w:pPr>
            <w:r>
              <w:rPr>
                <w:rFonts w:hint="eastAsia" w:ascii="宋体" w:hAnsi="宋体" w:cs="宋体"/>
                <w:kern w:val="0"/>
                <w:sz w:val="24"/>
              </w:rPr>
              <w:t>是否响应</w:t>
            </w:r>
          </w:p>
        </w:tc>
        <w:tc>
          <w:tcPr>
            <w:tcW w:w="3172" w:type="dxa"/>
            <w:vAlign w:val="center"/>
          </w:tcPr>
          <w:p>
            <w:pPr>
              <w:spacing w:line="460" w:lineRule="exact"/>
              <w:jc w:val="center"/>
              <w:rPr>
                <w:rFonts w:ascii="宋体" w:hAnsi="宋体" w:cs="宋体"/>
                <w:kern w:val="0"/>
                <w:sz w:val="24"/>
              </w:rPr>
            </w:pPr>
            <w:r>
              <w:rPr>
                <w:rFonts w:hint="eastAsia" w:ascii="宋体" w:hAnsi="宋体" w:cs="宋体"/>
                <w:kern w:val="0"/>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89" w:type="dxa"/>
            <w:vAlign w:val="center"/>
          </w:tcPr>
          <w:p>
            <w:pPr>
              <w:spacing w:line="460" w:lineRule="exact"/>
              <w:jc w:val="center"/>
              <w:rPr>
                <w:rFonts w:ascii="宋体" w:hAnsi="宋体" w:cs="宋体"/>
                <w:kern w:val="0"/>
                <w:sz w:val="24"/>
              </w:rPr>
            </w:pPr>
            <w:r>
              <w:rPr>
                <w:rFonts w:hint="eastAsia" w:ascii="宋体" w:hAnsi="宋体" w:cs="宋体"/>
                <w:kern w:val="0"/>
                <w:sz w:val="24"/>
              </w:rPr>
              <w:t>服务期</w:t>
            </w:r>
          </w:p>
        </w:tc>
        <w:tc>
          <w:tcPr>
            <w:tcW w:w="2729" w:type="dxa"/>
            <w:vAlign w:val="center"/>
          </w:tcPr>
          <w:p>
            <w:pPr>
              <w:spacing w:line="460" w:lineRule="exact"/>
              <w:jc w:val="center"/>
              <w:rPr>
                <w:rFonts w:ascii="宋体" w:hAnsi="宋体" w:cs="宋体"/>
                <w:kern w:val="0"/>
                <w:sz w:val="24"/>
              </w:rPr>
            </w:pPr>
          </w:p>
        </w:tc>
        <w:tc>
          <w:tcPr>
            <w:tcW w:w="2087" w:type="dxa"/>
            <w:vAlign w:val="center"/>
          </w:tcPr>
          <w:p>
            <w:pPr>
              <w:spacing w:line="460" w:lineRule="exact"/>
              <w:jc w:val="center"/>
              <w:rPr>
                <w:rFonts w:ascii="宋体" w:hAnsi="宋体" w:cs="宋体"/>
                <w:kern w:val="0"/>
                <w:sz w:val="24"/>
              </w:rPr>
            </w:pPr>
          </w:p>
        </w:tc>
        <w:tc>
          <w:tcPr>
            <w:tcW w:w="3172" w:type="dxa"/>
            <w:vAlign w:val="center"/>
          </w:tcPr>
          <w:p>
            <w:pPr>
              <w:spacing w:line="4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89" w:type="dxa"/>
            <w:vAlign w:val="center"/>
          </w:tcPr>
          <w:p>
            <w:pPr>
              <w:spacing w:line="460" w:lineRule="exact"/>
              <w:jc w:val="center"/>
              <w:rPr>
                <w:rFonts w:ascii="宋体" w:hAnsi="宋体" w:cs="宋体"/>
                <w:kern w:val="0"/>
                <w:sz w:val="24"/>
              </w:rPr>
            </w:pPr>
            <w:r>
              <w:rPr>
                <w:rFonts w:hint="eastAsia" w:ascii="宋体" w:hAnsi="宋体" w:cs="宋体"/>
                <w:kern w:val="0"/>
                <w:sz w:val="24"/>
              </w:rPr>
              <w:t>付款方式</w:t>
            </w:r>
          </w:p>
        </w:tc>
        <w:tc>
          <w:tcPr>
            <w:tcW w:w="2729" w:type="dxa"/>
            <w:vAlign w:val="center"/>
          </w:tcPr>
          <w:p>
            <w:pPr>
              <w:spacing w:line="460" w:lineRule="exact"/>
              <w:jc w:val="center"/>
              <w:rPr>
                <w:rFonts w:ascii="宋体" w:hAnsi="宋体" w:cs="宋体"/>
                <w:kern w:val="0"/>
                <w:sz w:val="24"/>
              </w:rPr>
            </w:pPr>
          </w:p>
        </w:tc>
        <w:tc>
          <w:tcPr>
            <w:tcW w:w="2087" w:type="dxa"/>
            <w:vAlign w:val="center"/>
          </w:tcPr>
          <w:p>
            <w:pPr>
              <w:spacing w:line="460" w:lineRule="exact"/>
              <w:jc w:val="center"/>
              <w:rPr>
                <w:rFonts w:ascii="宋体" w:hAnsi="宋体" w:cs="宋体"/>
                <w:kern w:val="0"/>
                <w:sz w:val="24"/>
              </w:rPr>
            </w:pPr>
          </w:p>
        </w:tc>
        <w:tc>
          <w:tcPr>
            <w:tcW w:w="3172" w:type="dxa"/>
            <w:vAlign w:val="center"/>
          </w:tcPr>
          <w:p>
            <w:pPr>
              <w:spacing w:line="4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89" w:type="dxa"/>
            <w:vAlign w:val="center"/>
          </w:tcPr>
          <w:p>
            <w:pPr>
              <w:spacing w:line="460" w:lineRule="exact"/>
              <w:jc w:val="center"/>
              <w:rPr>
                <w:rFonts w:ascii="宋体" w:hAnsi="宋体" w:cs="宋体"/>
                <w:kern w:val="0"/>
                <w:sz w:val="24"/>
              </w:rPr>
            </w:pPr>
            <w:r>
              <w:rPr>
                <w:rFonts w:hint="eastAsia" w:ascii="宋体" w:hAnsi="宋体" w:cs="宋体"/>
                <w:kern w:val="0"/>
                <w:sz w:val="24"/>
              </w:rPr>
              <w:t>服务范围</w:t>
            </w:r>
          </w:p>
        </w:tc>
        <w:tc>
          <w:tcPr>
            <w:tcW w:w="2729" w:type="dxa"/>
            <w:vAlign w:val="center"/>
          </w:tcPr>
          <w:p>
            <w:pPr>
              <w:spacing w:line="460" w:lineRule="exact"/>
              <w:jc w:val="center"/>
              <w:rPr>
                <w:rFonts w:ascii="宋体" w:hAnsi="宋体" w:cs="宋体"/>
                <w:kern w:val="0"/>
                <w:sz w:val="24"/>
              </w:rPr>
            </w:pPr>
          </w:p>
        </w:tc>
        <w:tc>
          <w:tcPr>
            <w:tcW w:w="2087" w:type="dxa"/>
            <w:vAlign w:val="center"/>
          </w:tcPr>
          <w:p>
            <w:pPr>
              <w:spacing w:line="460" w:lineRule="exact"/>
              <w:jc w:val="center"/>
              <w:rPr>
                <w:rFonts w:ascii="宋体" w:hAnsi="宋体" w:cs="宋体"/>
                <w:kern w:val="0"/>
                <w:sz w:val="24"/>
              </w:rPr>
            </w:pPr>
          </w:p>
        </w:tc>
        <w:tc>
          <w:tcPr>
            <w:tcW w:w="3172" w:type="dxa"/>
            <w:vAlign w:val="center"/>
          </w:tcPr>
          <w:p>
            <w:pPr>
              <w:spacing w:line="4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889" w:type="dxa"/>
            <w:vAlign w:val="center"/>
          </w:tcPr>
          <w:p>
            <w:pPr>
              <w:spacing w:line="460" w:lineRule="exact"/>
              <w:jc w:val="center"/>
              <w:rPr>
                <w:rFonts w:ascii="宋体" w:hAnsi="宋体" w:cs="宋体"/>
                <w:kern w:val="0"/>
                <w:sz w:val="24"/>
              </w:rPr>
            </w:pPr>
            <w:r>
              <w:rPr>
                <w:rFonts w:hint="eastAsia" w:ascii="宋体" w:hAnsi="宋体" w:cs="宋体"/>
                <w:kern w:val="0"/>
                <w:sz w:val="24"/>
              </w:rPr>
              <w:t>其他要求</w:t>
            </w:r>
          </w:p>
        </w:tc>
        <w:tc>
          <w:tcPr>
            <w:tcW w:w="2729" w:type="dxa"/>
            <w:vAlign w:val="center"/>
          </w:tcPr>
          <w:p>
            <w:pPr>
              <w:spacing w:line="460" w:lineRule="exact"/>
              <w:jc w:val="center"/>
              <w:rPr>
                <w:rFonts w:ascii="宋体" w:hAnsi="宋体" w:cs="宋体"/>
                <w:kern w:val="0"/>
                <w:sz w:val="24"/>
              </w:rPr>
            </w:pPr>
          </w:p>
        </w:tc>
        <w:tc>
          <w:tcPr>
            <w:tcW w:w="2087" w:type="dxa"/>
            <w:vAlign w:val="center"/>
          </w:tcPr>
          <w:p>
            <w:pPr>
              <w:spacing w:line="460" w:lineRule="exact"/>
              <w:jc w:val="center"/>
              <w:rPr>
                <w:rFonts w:ascii="宋体" w:hAnsi="宋体" w:cs="宋体"/>
                <w:kern w:val="0"/>
                <w:sz w:val="24"/>
              </w:rPr>
            </w:pPr>
          </w:p>
        </w:tc>
        <w:tc>
          <w:tcPr>
            <w:tcW w:w="3172" w:type="dxa"/>
            <w:vAlign w:val="center"/>
          </w:tcPr>
          <w:p>
            <w:pPr>
              <w:spacing w:line="460" w:lineRule="exact"/>
              <w:jc w:val="center"/>
              <w:rPr>
                <w:rFonts w:ascii="宋体" w:hAnsi="宋体" w:cs="宋体"/>
                <w:kern w:val="0"/>
                <w:sz w:val="24"/>
              </w:rPr>
            </w:pPr>
          </w:p>
        </w:tc>
      </w:tr>
    </w:tbl>
    <w:p>
      <w:pPr>
        <w:spacing w:line="500" w:lineRule="exact"/>
        <w:jc w:val="left"/>
        <w:rPr>
          <w:rFonts w:ascii="宋体" w:hAnsi="宋体" w:cs="宋体"/>
          <w:kern w:val="0"/>
          <w:sz w:val="24"/>
        </w:rPr>
      </w:pPr>
    </w:p>
    <w:p>
      <w:pPr>
        <w:spacing w:line="500" w:lineRule="exact"/>
        <w:jc w:val="left"/>
        <w:rPr>
          <w:rFonts w:ascii="宋体" w:hAnsi="宋体" w:cs="宋体"/>
          <w:kern w:val="0"/>
          <w:sz w:val="24"/>
        </w:rPr>
      </w:pPr>
      <w:r>
        <w:rPr>
          <w:rFonts w:hint="eastAsia" w:ascii="宋体" w:hAnsi="宋体"/>
          <w:sz w:val="24"/>
        </w:rPr>
        <w:t>投标人全称（签章）：</w:t>
      </w:r>
    </w:p>
    <w:p>
      <w:pPr>
        <w:spacing w:line="500" w:lineRule="exact"/>
        <w:jc w:val="left"/>
        <w:rPr>
          <w:rFonts w:ascii="宋体" w:hAnsi="宋体" w:cs="宋体"/>
          <w:kern w:val="0"/>
          <w:sz w:val="24"/>
        </w:rPr>
      </w:pPr>
      <w:r>
        <w:rPr>
          <w:rFonts w:hint="eastAsia" w:ascii="宋体" w:hAnsi="宋体" w:cs="宋体"/>
          <w:kern w:val="0"/>
          <w:sz w:val="24"/>
        </w:rPr>
        <w:t>法定代表人或其授权代理人（签名或盖章）：</w:t>
      </w: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r>
        <w:rPr>
          <w:rFonts w:hint="eastAsia" w:ascii="宋体" w:hAnsi="宋体" w:cs="宋体"/>
          <w:kern w:val="0"/>
          <w:sz w:val="24"/>
        </w:rPr>
        <w:t>日期：      年   月   日</w:t>
      </w:r>
    </w:p>
    <w:p>
      <w:pPr>
        <w:spacing w:line="500" w:lineRule="exact"/>
        <w:jc w:val="left"/>
        <w:rPr>
          <w:rFonts w:ascii="宋体" w:hAnsi="宋体" w:cs="宋体"/>
          <w:kern w:val="0"/>
          <w:sz w:val="24"/>
        </w:rPr>
      </w:pPr>
    </w:p>
    <w:p>
      <w:pPr>
        <w:pStyle w:val="22"/>
        <w:ind w:left="2800"/>
        <w:rPr>
          <w:rFonts w:ascii="宋体" w:hAnsi="宋体" w:cs="宋体"/>
        </w:rPr>
      </w:pPr>
    </w:p>
    <w:p>
      <w:pPr>
        <w:spacing w:line="360" w:lineRule="auto"/>
        <w:rPr>
          <w:rFonts w:ascii="宋体" w:hAnsi="宋体" w:cs="宋体"/>
          <w:bCs/>
          <w:sz w:val="24"/>
          <w:shd w:val="clear" w:color="auto" w:fill="FFFFFF"/>
        </w:rPr>
      </w:pPr>
      <w:r>
        <w:rPr>
          <w:rFonts w:hint="eastAsia" w:ascii="宋体" w:hAnsi="宋体" w:cs="宋体"/>
          <w:sz w:val="24"/>
        </w:rPr>
        <w:t>注：</w:t>
      </w:r>
      <w:r>
        <w:rPr>
          <w:rFonts w:hint="eastAsia" w:ascii="宋体" w:hAnsi="宋体" w:cs="宋体"/>
          <w:sz w:val="24"/>
          <w:shd w:val="clear" w:color="auto" w:fill="FFFFFF"/>
        </w:rPr>
        <w:t>本表格内容</w:t>
      </w:r>
      <w:r>
        <w:rPr>
          <w:rFonts w:hint="eastAsia" w:ascii="宋体" w:hAnsi="宋体" w:cs="宋体"/>
          <w:bCs/>
          <w:sz w:val="24"/>
          <w:shd w:val="clear" w:color="auto" w:fill="FFFFFF"/>
        </w:rPr>
        <w:t>不填写视同完全响应采购文件要求，</w:t>
      </w:r>
      <w:r>
        <w:rPr>
          <w:rFonts w:hint="eastAsia" w:ascii="宋体" w:hAnsi="宋体" w:cs="宋体"/>
          <w:sz w:val="24"/>
          <w:shd w:val="clear" w:color="auto" w:fill="FFFFFF"/>
        </w:rPr>
        <w:t>此表可在不改变格式的情况下自行制作。</w:t>
      </w:r>
    </w:p>
    <w:p>
      <w:pPr>
        <w:spacing w:line="480" w:lineRule="exact"/>
        <w:rPr>
          <w:rFonts w:ascii="宋体" w:hAnsi="宋体"/>
          <w:sz w:val="24"/>
        </w:rPr>
      </w:pPr>
    </w:p>
    <w:p>
      <w:pPr>
        <w:spacing w:line="480" w:lineRule="exact"/>
        <w:jc w:val="center"/>
        <w:rPr>
          <w:rFonts w:ascii="宋体" w:hAnsi="宋体"/>
          <w:b/>
          <w:bCs/>
          <w:szCs w:val="28"/>
        </w:rPr>
      </w:pPr>
    </w:p>
    <w:p>
      <w:pPr>
        <w:spacing w:line="360" w:lineRule="auto"/>
        <w:jc w:val="center"/>
        <w:rPr>
          <w:rFonts w:ascii="宋体" w:hAnsi="宋体"/>
          <w:b/>
          <w:bCs/>
          <w:szCs w:val="28"/>
        </w:rPr>
      </w:pPr>
    </w:p>
    <w:p>
      <w:pPr>
        <w:spacing w:line="360" w:lineRule="auto"/>
        <w:jc w:val="center"/>
        <w:rPr>
          <w:rFonts w:ascii="宋体" w:hAnsi="宋体"/>
          <w:b/>
          <w:bCs/>
          <w:szCs w:val="28"/>
        </w:rPr>
      </w:pPr>
    </w:p>
    <w:p>
      <w:pPr>
        <w:spacing w:line="360" w:lineRule="auto"/>
        <w:jc w:val="center"/>
        <w:rPr>
          <w:rFonts w:ascii="宋体" w:hAnsi="宋体"/>
          <w:b/>
          <w:bCs/>
          <w:szCs w:val="28"/>
        </w:rPr>
      </w:pPr>
    </w:p>
    <w:p>
      <w:pPr>
        <w:pStyle w:val="21"/>
        <w:ind w:firstLine="0" w:firstLineChars="0"/>
      </w:pPr>
      <w:r>
        <w:rPr>
          <w:rFonts w:hint="eastAsia"/>
          <w:b/>
          <w:bCs/>
        </w:rPr>
        <w:t>6、技术偏离表格式</w:t>
      </w:r>
    </w:p>
    <w:p>
      <w:pPr>
        <w:spacing w:line="360" w:lineRule="auto"/>
        <w:rPr>
          <w:rFonts w:ascii="宋体" w:hAnsi="宋体"/>
          <w:b/>
          <w:bCs/>
          <w:szCs w:val="28"/>
        </w:rPr>
      </w:pPr>
    </w:p>
    <w:p>
      <w:pPr>
        <w:pStyle w:val="21"/>
        <w:ind w:firstLine="280"/>
      </w:pPr>
    </w:p>
    <w:p>
      <w:pPr>
        <w:spacing w:line="360" w:lineRule="auto"/>
        <w:jc w:val="center"/>
        <w:rPr>
          <w:rFonts w:ascii="宋体" w:hAnsi="宋体"/>
          <w:b/>
          <w:bCs/>
          <w:szCs w:val="28"/>
        </w:rPr>
      </w:pPr>
      <w:r>
        <w:rPr>
          <w:rFonts w:hint="eastAsia" w:ascii="宋体" w:hAnsi="宋体"/>
          <w:b/>
          <w:bCs/>
          <w:szCs w:val="28"/>
        </w:rPr>
        <w:t>技术偏离表</w:t>
      </w:r>
    </w:p>
    <w:p>
      <w:pPr>
        <w:spacing w:line="360" w:lineRule="auto"/>
        <w:rPr>
          <w:rFonts w:ascii="宋体" w:hAnsi="宋体"/>
          <w:sz w:val="24"/>
        </w:rPr>
      </w:pPr>
      <w:r>
        <w:rPr>
          <w:rFonts w:hint="eastAsia" w:ascii="宋体" w:hAnsi="宋体"/>
          <w:sz w:val="24"/>
        </w:rPr>
        <w:t>项目名称：                                          项目</w:t>
      </w:r>
      <w:r>
        <w:rPr>
          <w:rFonts w:ascii="宋体" w:hAnsi="宋体"/>
          <w:sz w:val="24"/>
        </w:rPr>
        <w:t>编号：</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299"/>
        <w:gridCol w:w="2108"/>
        <w:gridCol w:w="191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73" w:type="dxa"/>
            <w:vAlign w:val="center"/>
          </w:tcPr>
          <w:p>
            <w:pPr>
              <w:spacing w:line="400" w:lineRule="exact"/>
              <w:jc w:val="center"/>
              <w:rPr>
                <w:rFonts w:ascii="宋体" w:hAnsi="宋体"/>
                <w:sz w:val="24"/>
              </w:rPr>
            </w:pPr>
            <w:r>
              <w:rPr>
                <w:rFonts w:hint="eastAsia" w:ascii="宋体" w:hAnsi="宋体"/>
                <w:sz w:val="24"/>
              </w:rPr>
              <w:t>序号</w:t>
            </w:r>
          </w:p>
        </w:tc>
        <w:tc>
          <w:tcPr>
            <w:tcW w:w="2299" w:type="dxa"/>
            <w:vAlign w:val="center"/>
          </w:tcPr>
          <w:p>
            <w:pPr>
              <w:spacing w:line="400" w:lineRule="exact"/>
              <w:jc w:val="center"/>
              <w:rPr>
                <w:rFonts w:ascii="宋体" w:hAnsi="宋体"/>
                <w:sz w:val="24"/>
              </w:rPr>
            </w:pPr>
            <w:r>
              <w:rPr>
                <w:rFonts w:hint="eastAsia" w:ascii="宋体" w:hAnsi="宋体"/>
                <w:sz w:val="24"/>
              </w:rPr>
              <w:t>招标文件要求</w:t>
            </w:r>
            <w:r>
              <w:rPr>
                <w:rFonts w:hint="eastAsia" w:ascii="宋体" w:hAnsi="宋体"/>
                <w:bCs/>
                <w:sz w:val="24"/>
              </w:rPr>
              <w:t>指标</w:t>
            </w:r>
            <w:r>
              <w:rPr>
                <w:rFonts w:hint="eastAsia" w:ascii="宋体" w:hAnsi="宋体"/>
                <w:sz w:val="24"/>
              </w:rPr>
              <w:t>参数</w:t>
            </w:r>
          </w:p>
        </w:tc>
        <w:tc>
          <w:tcPr>
            <w:tcW w:w="2108" w:type="dxa"/>
            <w:vAlign w:val="center"/>
          </w:tcPr>
          <w:p>
            <w:pPr>
              <w:spacing w:line="400" w:lineRule="exact"/>
              <w:rPr>
                <w:rFonts w:ascii="宋体" w:hAnsi="宋体"/>
                <w:sz w:val="24"/>
              </w:rPr>
            </w:pPr>
            <w:r>
              <w:rPr>
                <w:rFonts w:hint="eastAsia" w:ascii="宋体" w:hAnsi="宋体"/>
                <w:sz w:val="24"/>
              </w:rPr>
              <w:t>实际</w:t>
            </w:r>
            <w:r>
              <w:rPr>
                <w:rFonts w:hint="eastAsia" w:ascii="宋体" w:hAnsi="宋体"/>
                <w:bCs/>
                <w:sz w:val="24"/>
              </w:rPr>
              <w:t>指标</w:t>
            </w:r>
            <w:r>
              <w:rPr>
                <w:rFonts w:hint="eastAsia" w:ascii="宋体" w:hAnsi="宋体"/>
                <w:sz w:val="24"/>
              </w:rPr>
              <w:t>参数</w:t>
            </w:r>
          </w:p>
        </w:tc>
        <w:tc>
          <w:tcPr>
            <w:tcW w:w="1916" w:type="dxa"/>
            <w:vAlign w:val="center"/>
          </w:tcPr>
          <w:p>
            <w:pPr>
              <w:spacing w:line="400" w:lineRule="exact"/>
              <w:jc w:val="center"/>
              <w:rPr>
                <w:rFonts w:ascii="宋体" w:hAnsi="宋体"/>
                <w:sz w:val="24"/>
              </w:rPr>
            </w:pPr>
            <w:r>
              <w:rPr>
                <w:rFonts w:hint="eastAsia" w:ascii="宋体" w:hAnsi="宋体"/>
                <w:sz w:val="24"/>
              </w:rPr>
              <w:t>偏离情况</w:t>
            </w:r>
          </w:p>
        </w:tc>
        <w:tc>
          <w:tcPr>
            <w:tcW w:w="1725" w:type="dxa"/>
            <w:vAlign w:val="center"/>
          </w:tcPr>
          <w:p>
            <w:pPr>
              <w:spacing w:line="400" w:lineRule="exact"/>
              <w:jc w:val="center"/>
              <w:rPr>
                <w:rFonts w:ascii="宋体" w:hAnsi="宋体"/>
                <w:sz w:val="24"/>
              </w:rPr>
            </w:pPr>
            <w:r>
              <w:rPr>
                <w:rFonts w:hint="eastAsia" w:ascii="宋体" w:hAnsi="宋体"/>
                <w:sz w:val="24"/>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ascii="宋体" w:hAnsi="宋体"/>
                <w:b/>
                <w:bCs/>
                <w:sz w:val="24"/>
              </w:rPr>
            </w:pPr>
          </w:p>
        </w:tc>
        <w:tc>
          <w:tcPr>
            <w:tcW w:w="2299" w:type="dxa"/>
          </w:tcPr>
          <w:p>
            <w:pPr>
              <w:spacing w:line="360" w:lineRule="auto"/>
              <w:jc w:val="center"/>
              <w:rPr>
                <w:rFonts w:ascii="宋体" w:hAnsi="宋体"/>
                <w:b/>
                <w:bCs/>
                <w:sz w:val="24"/>
              </w:rPr>
            </w:pPr>
          </w:p>
        </w:tc>
        <w:tc>
          <w:tcPr>
            <w:tcW w:w="2108" w:type="dxa"/>
          </w:tcPr>
          <w:p>
            <w:pPr>
              <w:spacing w:line="360" w:lineRule="auto"/>
              <w:jc w:val="center"/>
              <w:rPr>
                <w:rFonts w:ascii="宋体" w:hAnsi="宋体"/>
                <w:b/>
                <w:bCs/>
                <w:sz w:val="24"/>
              </w:rPr>
            </w:pPr>
          </w:p>
        </w:tc>
        <w:tc>
          <w:tcPr>
            <w:tcW w:w="1916" w:type="dxa"/>
          </w:tcPr>
          <w:p>
            <w:pPr>
              <w:spacing w:line="360" w:lineRule="auto"/>
              <w:jc w:val="center"/>
              <w:rPr>
                <w:rFonts w:ascii="宋体" w:hAnsi="宋体"/>
                <w:b/>
                <w:bCs/>
                <w:sz w:val="24"/>
              </w:rPr>
            </w:pPr>
          </w:p>
        </w:tc>
        <w:tc>
          <w:tcPr>
            <w:tcW w:w="1725" w:type="dxa"/>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宋体" w:hAnsi="宋体"/>
                <w:b/>
                <w:bCs/>
                <w:sz w:val="24"/>
              </w:rPr>
            </w:pPr>
          </w:p>
        </w:tc>
        <w:tc>
          <w:tcPr>
            <w:tcW w:w="2299" w:type="dxa"/>
          </w:tcPr>
          <w:p>
            <w:pPr>
              <w:spacing w:line="360" w:lineRule="auto"/>
              <w:jc w:val="center"/>
              <w:rPr>
                <w:rFonts w:ascii="宋体" w:hAnsi="宋体"/>
                <w:b/>
                <w:bCs/>
                <w:sz w:val="24"/>
              </w:rPr>
            </w:pPr>
          </w:p>
        </w:tc>
        <w:tc>
          <w:tcPr>
            <w:tcW w:w="2108" w:type="dxa"/>
          </w:tcPr>
          <w:p>
            <w:pPr>
              <w:spacing w:line="360" w:lineRule="auto"/>
              <w:jc w:val="center"/>
              <w:rPr>
                <w:rFonts w:ascii="宋体" w:hAnsi="宋体"/>
                <w:b/>
                <w:bCs/>
                <w:sz w:val="24"/>
              </w:rPr>
            </w:pPr>
          </w:p>
        </w:tc>
        <w:tc>
          <w:tcPr>
            <w:tcW w:w="1916" w:type="dxa"/>
          </w:tcPr>
          <w:p>
            <w:pPr>
              <w:spacing w:line="360" w:lineRule="auto"/>
              <w:jc w:val="center"/>
              <w:rPr>
                <w:rFonts w:ascii="宋体" w:hAnsi="宋体"/>
                <w:b/>
                <w:bCs/>
                <w:sz w:val="24"/>
              </w:rPr>
            </w:pPr>
          </w:p>
        </w:tc>
        <w:tc>
          <w:tcPr>
            <w:tcW w:w="1725" w:type="dxa"/>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ascii="宋体" w:hAnsi="宋体"/>
                <w:b/>
                <w:bCs/>
                <w:sz w:val="24"/>
              </w:rPr>
            </w:pPr>
          </w:p>
        </w:tc>
        <w:tc>
          <w:tcPr>
            <w:tcW w:w="2299" w:type="dxa"/>
          </w:tcPr>
          <w:p>
            <w:pPr>
              <w:spacing w:line="360" w:lineRule="auto"/>
              <w:jc w:val="center"/>
              <w:rPr>
                <w:rFonts w:ascii="宋体" w:hAnsi="宋体"/>
                <w:b/>
                <w:bCs/>
                <w:sz w:val="24"/>
              </w:rPr>
            </w:pPr>
          </w:p>
        </w:tc>
        <w:tc>
          <w:tcPr>
            <w:tcW w:w="2108" w:type="dxa"/>
          </w:tcPr>
          <w:p>
            <w:pPr>
              <w:spacing w:line="360" w:lineRule="auto"/>
              <w:jc w:val="center"/>
              <w:rPr>
                <w:rFonts w:ascii="宋体" w:hAnsi="宋体"/>
                <w:b/>
                <w:bCs/>
                <w:sz w:val="24"/>
              </w:rPr>
            </w:pPr>
          </w:p>
        </w:tc>
        <w:tc>
          <w:tcPr>
            <w:tcW w:w="1916" w:type="dxa"/>
          </w:tcPr>
          <w:p>
            <w:pPr>
              <w:spacing w:line="360" w:lineRule="auto"/>
              <w:jc w:val="center"/>
              <w:rPr>
                <w:rFonts w:ascii="宋体" w:hAnsi="宋体"/>
                <w:b/>
                <w:bCs/>
                <w:sz w:val="24"/>
              </w:rPr>
            </w:pPr>
          </w:p>
        </w:tc>
        <w:tc>
          <w:tcPr>
            <w:tcW w:w="1725" w:type="dxa"/>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宋体" w:hAnsi="宋体"/>
                <w:b/>
                <w:bCs/>
                <w:sz w:val="24"/>
              </w:rPr>
            </w:pPr>
          </w:p>
        </w:tc>
        <w:tc>
          <w:tcPr>
            <w:tcW w:w="2299" w:type="dxa"/>
          </w:tcPr>
          <w:p>
            <w:pPr>
              <w:spacing w:line="360" w:lineRule="auto"/>
              <w:jc w:val="center"/>
              <w:rPr>
                <w:rFonts w:ascii="宋体" w:hAnsi="宋体"/>
                <w:b/>
                <w:bCs/>
                <w:sz w:val="24"/>
              </w:rPr>
            </w:pPr>
          </w:p>
        </w:tc>
        <w:tc>
          <w:tcPr>
            <w:tcW w:w="2108" w:type="dxa"/>
          </w:tcPr>
          <w:p>
            <w:pPr>
              <w:spacing w:line="360" w:lineRule="auto"/>
              <w:jc w:val="center"/>
              <w:rPr>
                <w:rFonts w:ascii="宋体" w:hAnsi="宋体"/>
                <w:b/>
                <w:bCs/>
                <w:sz w:val="24"/>
              </w:rPr>
            </w:pPr>
          </w:p>
        </w:tc>
        <w:tc>
          <w:tcPr>
            <w:tcW w:w="1916" w:type="dxa"/>
          </w:tcPr>
          <w:p>
            <w:pPr>
              <w:spacing w:line="360" w:lineRule="auto"/>
              <w:jc w:val="center"/>
              <w:rPr>
                <w:rFonts w:ascii="宋体" w:hAnsi="宋体"/>
                <w:b/>
                <w:bCs/>
                <w:sz w:val="24"/>
              </w:rPr>
            </w:pPr>
          </w:p>
        </w:tc>
        <w:tc>
          <w:tcPr>
            <w:tcW w:w="1725" w:type="dxa"/>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ascii="宋体" w:hAnsi="宋体"/>
                <w:b/>
                <w:bCs/>
                <w:sz w:val="24"/>
              </w:rPr>
            </w:pPr>
          </w:p>
        </w:tc>
        <w:tc>
          <w:tcPr>
            <w:tcW w:w="2299" w:type="dxa"/>
          </w:tcPr>
          <w:p>
            <w:pPr>
              <w:spacing w:line="360" w:lineRule="auto"/>
              <w:jc w:val="center"/>
              <w:rPr>
                <w:rFonts w:ascii="宋体" w:hAnsi="宋体"/>
                <w:b/>
                <w:bCs/>
                <w:sz w:val="24"/>
              </w:rPr>
            </w:pPr>
          </w:p>
        </w:tc>
        <w:tc>
          <w:tcPr>
            <w:tcW w:w="2108" w:type="dxa"/>
          </w:tcPr>
          <w:p>
            <w:pPr>
              <w:spacing w:line="360" w:lineRule="auto"/>
              <w:jc w:val="center"/>
              <w:rPr>
                <w:rFonts w:ascii="宋体" w:hAnsi="宋体"/>
                <w:b/>
                <w:bCs/>
                <w:sz w:val="24"/>
              </w:rPr>
            </w:pPr>
          </w:p>
        </w:tc>
        <w:tc>
          <w:tcPr>
            <w:tcW w:w="1916" w:type="dxa"/>
          </w:tcPr>
          <w:p>
            <w:pPr>
              <w:spacing w:line="360" w:lineRule="auto"/>
              <w:jc w:val="center"/>
              <w:rPr>
                <w:rFonts w:ascii="宋体" w:hAnsi="宋体"/>
                <w:b/>
                <w:bCs/>
                <w:sz w:val="24"/>
              </w:rPr>
            </w:pPr>
          </w:p>
        </w:tc>
        <w:tc>
          <w:tcPr>
            <w:tcW w:w="1725" w:type="dxa"/>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宋体" w:hAnsi="宋体"/>
                <w:b/>
                <w:bCs/>
                <w:sz w:val="24"/>
              </w:rPr>
            </w:pPr>
          </w:p>
        </w:tc>
        <w:tc>
          <w:tcPr>
            <w:tcW w:w="2299" w:type="dxa"/>
          </w:tcPr>
          <w:p>
            <w:pPr>
              <w:spacing w:line="360" w:lineRule="auto"/>
              <w:jc w:val="center"/>
              <w:rPr>
                <w:rFonts w:ascii="宋体" w:hAnsi="宋体"/>
                <w:b/>
                <w:bCs/>
                <w:sz w:val="24"/>
              </w:rPr>
            </w:pPr>
          </w:p>
        </w:tc>
        <w:tc>
          <w:tcPr>
            <w:tcW w:w="2108" w:type="dxa"/>
          </w:tcPr>
          <w:p>
            <w:pPr>
              <w:spacing w:line="360" w:lineRule="auto"/>
              <w:jc w:val="center"/>
              <w:rPr>
                <w:rFonts w:ascii="宋体" w:hAnsi="宋体"/>
                <w:b/>
                <w:bCs/>
                <w:sz w:val="24"/>
              </w:rPr>
            </w:pPr>
          </w:p>
        </w:tc>
        <w:tc>
          <w:tcPr>
            <w:tcW w:w="1916" w:type="dxa"/>
          </w:tcPr>
          <w:p>
            <w:pPr>
              <w:spacing w:line="360" w:lineRule="auto"/>
              <w:jc w:val="center"/>
              <w:rPr>
                <w:rFonts w:ascii="宋体" w:hAnsi="宋体"/>
                <w:b/>
                <w:bCs/>
                <w:sz w:val="24"/>
              </w:rPr>
            </w:pPr>
          </w:p>
        </w:tc>
        <w:tc>
          <w:tcPr>
            <w:tcW w:w="1725" w:type="dxa"/>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宋体" w:hAnsi="宋体"/>
                <w:b/>
                <w:bCs/>
                <w:sz w:val="24"/>
              </w:rPr>
            </w:pPr>
          </w:p>
        </w:tc>
        <w:tc>
          <w:tcPr>
            <w:tcW w:w="2299" w:type="dxa"/>
          </w:tcPr>
          <w:p>
            <w:pPr>
              <w:spacing w:line="360" w:lineRule="auto"/>
              <w:jc w:val="center"/>
              <w:rPr>
                <w:rFonts w:ascii="宋体" w:hAnsi="宋体"/>
                <w:b/>
                <w:bCs/>
                <w:sz w:val="24"/>
              </w:rPr>
            </w:pPr>
          </w:p>
        </w:tc>
        <w:tc>
          <w:tcPr>
            <w:tcW w:w="2108" w:type="dxa"/>
          </w:tcPr>
          <w:p>
            <w:pPr>
              <w:spacing w:line="360" w:lineRule="auto"/>
              <w:jc w:val="center"/>
              <w:rPr>
                <w:rFonts w:ascii="宋体" w:hAnsi="宋体"/>
                <w:b/>
                <w:bCs/>
                <w:sz w:val="24"/>
              </w:rPr>
            </w:pPr>
          </w:p>
        </w:tc>
        <w:tc>
          <w:tcPr>
            <w:tcW w:w="1916" w:type="dxa"/>
          </w:tcPr>
          <w:p>
            <w:pPr>
              <w:spacing w:line="360" w:lineRule="auto"/>
              <w:jc w:val="center"/>
              <w:rPr>
                <w:rFonts w:ascii="宋体" w:hAnsi="宋体"/>
                <w:b/>
                <w:bCs/>
                <w:sz w:val="24"/>
              </w:rPr>
            </w:pPr>
          </w:p>
        </w:tc>
        <w:tc>
          <w:tcPr>
            <w:tcW w:w="1725" w:type="dxa"/>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ascii="宋体" w:hAnsi="宋体"/>
                <w:b/>
                <w:bCs/>
                <w:sz w:val="24"/>
              </w:rPr>
            </w:pPr>
          </w:p>
        </w:tc>
        <w:tc>
          <w:tcPr>
            <w:tcW w:w="2299" w:type="dxa"/>
          </w:tcPr>
          <w:p>
            <w:pPr>
              <w:spacing w:line="360" w:lineRule="auto"/>
              <w:jc w:val="center"/>
              <w:rPr>
                <w:rFonts w:ascii="宋体" w:hAnsi="宋体"/>
                <w:b/>
                <w:bCs/>
                <w:sz w:val="24"/>
              </w:rPr>
            </w:pPr>
          </w:p>
        </w:tc>
        <w:tc>
          <w:tcPr>
            <w:tcW w:w="2108" w:type="dxa"/>
          </w:tcPr>
          <w:p>
            <w:pPr>
              <w:spacing w:line="360" w:lineRule="auto"/>
              <w:jc w:val="center"/>
              <w:rPr>
                <w:rFonts w:ascii="宋体" w:hAnsi="宋体"/>
                <w:b/>
                <w:bCs/>
                <w:sz w:val="24"/>
              </w:rPr>
            </w:pPr>
          </w:p>
        </w:tc>
        <w:tc>
          <w:tcPr>
            <w:tcW w:w="1916" w:type="dxa"/>
          </w:tcPr>
          <w:p>
            <w:pPr>
              <w:spacing w:line="360" w:lineRule="auto"/>
              <w:jc w:val="center"/>
              <w:rPr>
                <w:rFonts w:ascii="宋体" w:hAnsi="宋体"/>
                <w:b/>
                <w:bCs/>
                <w:sz w:val="24"/>
              </w:rPr>
            </w:pPr>
          </w:p>
        </w:tc>
        <w:tc>
          <w:tcPr>
            <w:tcW w:w="1725" w:type="dxa"/>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宋体" w:hAnsi="宋体"/>
                <w:b/>
                <w:bCs/>
                <w:sz w:val="24"/>
              </w:rPr>
            </w:pPr>
          </w:p>
        </w:tc>
        <w:tc>
          <w:tcPr>
            <w:tcW w:w="2299" w:type="dxa"/>
          </w:tcPr>
          <w:p>
            <w:pPr>
              <w:spacing w:line="360" w:lineRule="auto"/>
              <w:jc w:val="center"/>
              <w:rPr>
                <w:rFonts w:ascii="宋体" w:hAnsi="宋体"/>
                <w:b/>
                <w:bCs/>
                <w:sz w:val="24"/>
              </w:rPr>
            </w:pPr>
          </w:p>
        </w:tc>
        <w:tc>
          <w:tcPr>
            <w:tcW w:w="2108" w:type="dxa"/>
          </w:tcPr>
          <w:p>
            <w:pPr>
              <w:spacing w:line="360" w:lineRule="auto"/>
              <w:jc w:val="center"/>
              <w:rPr>
                <w:rFonts w:ascii="宋体" w:hAnsi="宋体"/>
                <w:b/>
                <w:bCs/>
                <w:sz w:val="24"/>
              </w:rPr>
            </w:pPr>
          </w:p>
        </w:tc>
        <w:tc>
          <w:tcPr>
            <w:tcW w:w="1916" w:type="dxa"/>
          </w:tcPr>
          <w:p>
            <w:pPr>
              <w:spacing w:line="360" w:lineRule="auto"/>
              <w:jc w:val="center"/>
              <w:rPr>
                <w:rFonts w:ascii="宋体" w:hAnsi="宋体"/>
                <w:b/>
                <w:bCs/>
                <w:sz w:val="24"/>
              </w:rPr>
            </w:pPr>
          </w:p>
        </w:tc>
        <w:tc>
          <w:tcPr>
            <w:tcW w:w="1725" w:type="dxa"/>
          </w:tcPr>
          <w:p>
            <w:pPr>
              <w:spacing w:line="360" w:lineRule="auto"/>
              <w:jc w:val="center"/>
              <w:rPr>
                <w:rFonts w:ascii="宋体" w:hAnsi="宋体"/>
                <w:b/>
                <w:bCs/>
                <w:sz w:val="24"/>
              </w:rPr>
            </w:pPr>
          </w:p>
        </w:tc>
      </w:tr>
    </w:tbl>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cs="宋体"/>
          <w:kern w:val="0"/>
          <w:sz w:val="24"/>
        </w:rPr>
      </w:pPr>
      <w:r>
        <w:rPr>
          <w:rFonts w:hint="eastAsia" w:ascii="宋体" w:hAnsi="宋体"/>
          <w:sz w:val="24"/>
        </w:rPr>
        <w:t>投标人全称（签章）：</w:t>
      </w:r>
    </w:p>
    <w:p>
      <w:pPr>
        <w:spacing w:line="500" w:lineRule="exact"/>
        <w:jc w:val="left"/>
        <w:rPr>
          <w:rFonts w:ascii="宋体" w:hAnsi="宋体" w:cs="宋体"/>
          <w:kern w:val="0"/>
          <w:sz w:val="24"/>
        </w:rPr>
      </w:pPr>
      <w:r>
        <w:rPr>
          <w:rFonts w:hint="eastAsia" w:ascii="宋体" w:hAnsi="宋体" w:cs="宋体"/>
          <w:kern w:val="0"/>
          <w:sz w:val="24"/>
        </w:rPr>
        <w:t>法定代表人或其授权代理人（签名或盖章）：</w:t>
      </w:r>
    </w:p>
    <w:p>
      <w:pPr>
        <w:spacing w:line="500" w:lineRule="exact"/>
        <w:jc w:val="left"/>
        <w:rPr>
          <w:rFonts w:ascii="宋体" w:hAnsi="宋体" w:cs="宋体"/>
          <w:kern w:val="0"/>
          <w:sz w:val="24"/>
        </w:rPr>
      </w:pPr>
      <w:r>
        <w:rPr>
          <w:rFonts w:hint="eastAsia" w:ascii="宋体" w:hAnsi="宋体" w:cs="宋体"/>
          <w:kern w:val="0"/>
          <w:sz w:val="24"/>
        </w:rPr>
        <w:t>日期：      年   月   日</w:t>
      </w:r>
    </w:p>
    <w:p>
      <w:pPr>
        <w:spacing w:line="360" w:lineRule="auto"/>
        <w:jc w:val="right"/>
        <w:rPr>
          <w:rFonts w:ascii="宋体" w:hAnsi="宋体"/>
          <w:sz w:val="24"/>
        </w:rPr>
      </w:pPr>
    </w:p>
    <w:p>
      <w:pPr>
        <w:spacing w:line="360" w:lineRule="auto"/>
        <w:rPr>
          <w:rFonts w:ascii="宋体" w:hAnsi="宋体"/>
          <w:sz w:val="24"/>
        </w:rPr>
      </w:pPr>
      <w:r>
        <w:rPr>
          <w:rFonts w:hint="eastAsia" w:ascii="宋体" w:hAnsi="宋体"/>
          <w:sz w:val="24"/>
        </w:rPr>
        <w:t>注：1.此表仅提供了表格形式，投标供应商应根据需要准备足够数量的表格来填写。</w:t>
      </w:r>
    </w:p>
    <w:p>
      <w:pPr>
        <w:spacing w:line="360" w:lineRule="auto"/>
        <w:rPr>
          <w:rFonts w:ascii="宋体" w:hAnsi="宋体"/>
          <w:sz w:val="24"/>
        </w:rPr>
      </w:pPr>
      <w:r>
        <w:rPr>
          <w:rFonts w:hint="eastAsia" w:ascii="宋体" w:hAnsi="宋体"/>
          <w:sz w:val="24"/>
        </w:rPr>
        <w:t>2.投标人应对照招标文件要求在“偏离情况”栏注明“正偏离”、“负偏离”或“无偏离”。行数可视情况自行添加。不填写视同完全响应招标文件要求。</w:t>
      </w:r>
    </w:p>
    <w:p>
      <w:pPr>
        <w:spacing w:line="360" w:lineRule="auto"/>
        <w:rPr>
          <w:rFonts w:ascii="宋体" w:hAnsi="宋体"/>
          <w:b/>
          <w:bCs/>
          <w:szCs w:val="28"/>
        </w:rPr>
      </w:pPr>
    </w:p>
    <w:p>
      <w:pPr>
        <w:pStyle w:val="21"/>
        <w:ind w:firstLine="281"/>
        <w:rPr>
          <w:rFonts w:ascii="宋体" w:hAnsi="宋体"/>
          <w:b/>
          <w:bCs/>
          <w:szCs w:val="28"/>
        </w:rPr>
      </w:pPr>
    </w:p>
    <w:p>
      <w:pPr>
        <w:pStyle w:val="22"/>
        <w:ind w:left="0" w:leftChars="0"/>
        <w:rPr>
          <w:rFonts w:ascii="宋体" w:hAnsi="宋体"/>
          <w:b/>
          <w:bCs/>
          <w:szCs w:val="28"/>
        </w:rPr>
      </w:pPr>
      <w:r>
        <w:rPr>
          <w:rFonts w:hint="eastAsia" w:ascii="宋体" w:hAnsi="宋体"/>
          <w:b/>
          <w:bCs/>
          <w:szCs w:val="28"/>
        </w:rPr>
        <w:t>7、企业业绩格式</w:t>
      </w:r>
    </w:p>
    <w:p>
      <w:pPr>
        <w:rPr>
          <w:rFonts w:ascii="宋体" w:hAnsi="宋体"/>
          <w:b/>
          <w:bCs/>
          <w:szCs w:val="28"/>
        </w:rPr>
      </w:pPr>
    </w:p>
    <w:p>
      <w:pPr>
        <w:ind w:firstLine="3765" w:firstLineChars="1250"/>
        <w:jc w:val="left"/>
        <w:rPr>
          <w:rFonts w:ascii="宋体" w:hAnsi="宋体" w:cs="宋体"/>
          <w:b/>
          <w:sz w:val="30"/>
          <w:szCs w:val="30"/>
        </w:rPr>
      </w:pPr>
      <w:r>
        <w:rPr>
          <w:rFonts w:hint="eastAsia" w:ascii="宋体" w:hAnsi="宋体" w:cs="宋体"/>
          <w:b/>
          <w:sz w:val="30"/>
          <w:szCs w:val="30"/>
        </w:rPr>
        <w:t>企业业绩</w:t>
      </w:r>
    </w:p>
    <w:p>
      <w:pPr>
        <w:jc w:val="left"/>
        <w:rPr>
          <w:rFonts w:ascii="宋体" w:hAnsi="宋体" w:cs="宋体"/>
          <w:sz w:val="24"/>
        </w:rPr>
      </w:pPr>
      <w:r>
        <w:rPr>
          <w:rFonts w:hint="eastAsia" w:ascii="宋体" w:hAnsi="宋体" w:cs="宋体"/>
          <w:sz w:val="24"/>
        </w:rPr>
        <w:t>项目名称：                                    项目编号：</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32"/>
        <w:gridCol w:w="1161"/>
        <w:gridCol w:w="1418"/>
        <w:gridCol w:w="1159"/>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Lines="50" w:after="50"/>
              <w:jc w:val="center"/>
              <w:rPr>
                <w:rFonts w:ascii="宋体" w:hAnsi="宋体" w:cs="宋体"/>
                <w:sz w:val="24"/>
              </w:rPr>
            </w:pPr>
            <w:r>
              <w:rPr>
                <w:rFonts w:hint="eastAsia" w:ascii="宋体" w:hAnsi="宋体" w:cs="宋体"/>
                <w:sz w:val="24"/>
              </w:rPr>
              <w:t>序号</w:t>
            </w:r>
          </w:p>
        </w:tc>
        <w:tc>
          <w:tcPr>
            <w:tcW w:w="1532" w:type="dxa"/>
            <w:vAlign w:val="center"/>
          </w:tcPr>
          <w:p>
            <w:pPr>
              <w:snapToGrid w:val="0"/>
              <w:spacing w:beforeLines="50" w:after="50"/>
              <w:jc w:val="center"/>
              <w:rPr>
                <w:rFonts w:ascii="宋体" w:hAnsi="宋体" w:cs="宋体"/>
                <w:sz w:val="24"/>
              </w:rPr>
            </w:pPr>
            <w:r>
              <w:rPr>
                <w:rFonts w:hint="eastAsia" w:ascii="宋体" w:hAnsi="宋体" w:cs="宋体"/>
                <w:sz w:val="24"/>
              </w:rPr>
              <w:t>项目名称</w:t>
            </w:r>
          </w:p>
        </w:tc>
        <w:tc>
          <w:tcPr>
            <w:tcW w:w="1161" w:type="dxa"/>
            <w:vAlign w:val="center"/>
          </w:tcPr>
          <w:p>
            <w:pPr>
              <w:snapToGrid w:val="0"/>
              <w:spacing w:beforeLines="50" w:after="50"/>
              <w:jc w:val="center"/>
              <w:rPr>
                <w:rFonts w:ascii="宋体" w:hAnsi="宋体" w:cs="宋体"/>
                <w:sz w:val="24"/>
              </w:rPr>
            </w:pPr>
            <w:r>
              <w:rPr>
                <w:rFonts w:hint="eastAsia" w:ascii="宋体" w:hAnsi="宋体" w:cs="宋体"/>
                <w:sz w:val="24"/>
              </w:rPr>
              <w:t>使用方</w:t>
            </w:r>
          </w:p>
        </w:tc>
        <w:tc>
          <w:tcPr>
            <w:tcW w:w="1418" w:type="dxa"/>
            <w:vAlign w:val="center"/>
          </w:tcPr>
          <w:p>
            <w:pPr>
              <w:snapToGrid w:val="0"/>
              <w:spacing w:beforeLines="50" w:after="50"/>
              <w:jc w:val="center"/>
              <w:rPr>
                <w:rFonts w:ascii="宋体" w:hAnsi="宋体" w:cs="宋体"/>
                <w:sz w:val="24"/>
              </w:rPr>
            </w:pPr>
            <w:r>
              <w:rPr>
                <w:rFonts w:hint="eastAsia" w:ascii="宋体" w:hAnsi="宋体" w:cs="宋体"/>
                <w:sz w:val="24"/>
              </w:rPr>
              <w:t>合同金额（元）</w:t>
            </w:r>
          </w:p>
        </w:tc>
        <w:tc>
          <w:tcPr>
            <w:tcW w:w="1159" w:type="dxa"/>
            <w:vAlign w:val="center"/>
          </w:tcPr>
          <w:p>
            <w:pPr>
              <w:snapToGrid w:val="0"/>
              <w:spacing w:beforeLines="50" w:after="50"/>
              <w:jc w:val="center"/>
              <w:rPr>
                <w:rFonts w:ascii="宋体" w:hAnsi="宋体" w:cs="宋体"/>
                <w:sz w:val="24"/>
              </w:rPr>
            </w:pPr>
            <w:r>
              <w:rPr>
                <w:rFonts w:hint="eastAsia" w:ascii="宋体" w:hAnsi="宋体" w:cs="宋体"/>
                <w:sz w:val="24"/>
              </w:rPr>
              <w:t>签订</w:t>
            </w:r>
          </w:p>
          <w:p>
            <w:pPr>
              <w:snapToGrid w:val="0"/>
              <w:spacing w:beforeLines="50" w:after="50"/>
              <w:jc w:val="center"/>
              <w:rPr>
                <w:rFonts w:ascii="宋体" w:hAnsi="宋体" w:cs="宋体"/>
                <w:sz w:val="24"/>
              </w:rPr>
            </w:pPr>
            <w:r>
              <w:rPr>
                <w:rFonts w:hint="eastAsia" w:ascii="宋体" w:hAnsi="宋体" w:cs="宋体"/>
                <w:sz w:val="24"/>
              </w:rPr>
              <w:t>时间</w:t>
            </w:r>
          </w:p>
        </w:tc>
        <w:tc>
          <w:tcPr>
            <w:tcW w:w="1246" w:type="dxa"/>
            <w:vAlign w:val="center"/>
          </w:tcPr>
          <w:p>
            <w:pPr>
              <w:snapToGrid w:val="0"/>
              <w:spacing w:beforeLines="50" w:after="50"/>
              <w:jc w:val="center"/>
              <w:rPr>
                <w:rFonts w:ascii="宋体" w:hAnsi="宋体" w:cs="宋体"/>
                <w:sz w:val="24"/>
              </w:rPr>
            </w:pPr>
            <w:r>
              <w:rPr>
                <w:rFonts w:hint="eastAsia" w:ascii="宋体" w:hAnsi="宋体" w:cs="宋体"/>
                <w:sz w:val="24"/>
              </w:rPr>
              <w:t>使用方联系人</w:t>
            </w:r>
          </w:p>
        </w:tc>
        <w:tc>
          <w:tcPr>
            <w:tcW w:w="1246" w:type="dxa"/>
            <w:vAlign w:val="center"/>
          </w:tcPr>
          <w:p>
            <w:pPr>
              <w:snapToGrid w:val="0"/>
              <w:spacing w:beforeLines="50" w:after="50"/>
              <w:jc w:val="center"/>
              <w:rPr>
                <w:rFonts w:ascii="宋体" w:hAnsi="宋体" w:cs="宋体"/>
                <w:sz w:val="24"/>
              </w:rPr>
            </w:pPr>
            <w:r>
              <w:rPr>
                <w:rFonts w:hint="eastAsia" w:ascii="宋体" w:hAnsi="宋体" w:cs="宋体"/>
                <w:sz w:val="24"/>
              </w:rPr>
              <w:t>联系</w:t>
            </w:r>
          </w:p>
          <w:p>
            <w:pPr>
              <w:snapToGrid w:val="0"/>
              <w:spacing w:beforeLines="50" w:after="50"/>
              <w:jc w:val="center"/>
              <w:rPr>
                <w:rFonts w:ascii="宋体" w:hAnsi="宋体" w:cs="宋体"/>
                <w:sz w:val="24"/>
              </w:rPr>
            </w:pPr>
            <w:r>
              <w:rPr>
                <w:rFonts w:hint="eastAsia" w:ascii="宋体" w:hAnsi="宋体" w:cs="宋体"/>
                <w:sz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Lines="50" w:after="50"/>
              <w:jc w:val="center"/>
              <w:rPr>
                <w:rFonts w:ascii="宋体" w:hAnsi="宋体" w:cs="宋体"/>
                <w:sz w:val="24"/>
              </w:rPr>
            </w:pPr>
          </w:p>
        </w:tc>
        <w:tc>
          <w:tcPr>
            <w:tcW w:w="1532" w:type="dxa"/>
            <w:vAlign w:val="center"/>
          </w:tcPr>
          <w:p>
            <w:pPr>
              <w:snapToGrid w:val="0"/>
              <w:spacing w:beforeLines="50" w:after="50"/>
              <w:jc w:val="center"/>
              <w:rPr>
                <w:rFonts w:ascii="宋体" w:hAnsi="宋体" w:cs="宋体"/>
                <w:sz w:val="24"/>
              </w:rPr>
            </w:pPr>
          </w:p>
        </w:tc>
        <w:tc>
          <w:tcPr>
            <w:tcW w:w="1161" w:type="dxa"/>
            <w:vAlign w:val="center"/>
          </w:tcPr>
          <w:p>
            <w:pPr>
              <w:snapToGrid w:val="0"/>
              <w:spacing w:beforeLines="50" w:after="50"/>
              <w:jc w:val="center"/>
              <w:rPr>
                <w:rFonts w:ascii="宋体" w:hAnsi="宋体" w:cs="宋体"/>
                <w:sz w:val="24"/>
              </w:rPr>
            </w:pPr>
          </w:p>
        </w:tc>
        <w:tc>
          <w:tcPr>
            <w:tcW w:w="1418" w:type="dxa"/>
            <w:vAlign w:val="center"/>
          </w:tcPr>
          <w:p>
            <w:pPr>
              <w:snapToGrid w:val="0"/>
              <w:spacing w:beforeLines="50" w:after="50"/>
              <w:jc w:val="center"/>
              <w:rPr>
                <w:rFonts w:ascii="宋体" w:hAnsi="宋体" w:cs="宋体"/>
                <w:sz w:val="24"/>
              </w:rPr>
            </w:pPr>
          </w:p>
        </w:tc>
        <w:tc>
          <w:tcPr>
            <w:tcW w:w="1159"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Lines="50" w:after="50"/>
              <w:jc w:val="center"/>
              <w:rPr>
                <w:rFonts w:ascii="宋体" w:hAnsi="宋体" w:cs="宋体"/>
                <w:sz w:val="24"/>
              </w:rPr>
            </w:pPr>
          </w:p>
        </w:tc>
        <w:tc>
          <w:tcPr>
            <w:tcW w:w="1532" w:type="dxa"/>
            <w:vAlign w:val="center"/>
          </w:tcPr>
          <w:p>
            <w:pPr>
              <w:snapToGrid w:val="0"/>
              <w:spacing w:beforeLines="50" w:after="50"/>
              <w:jc w:val="center"/>
              <w:rPr>
                <w:rFonts w:ascii="宋体" w:hAnsi="宋体" w:cs="宋体"/>
                <w:sz w:val="24"/>
              </w:rPr>
            </w:pPr>
          </w:p>
        </w:tc>
        <w:tc>
          <w:tcPr>
            <w:tcW w:w="1161" w:type="dxa"/>
            <w:vAlign w:val="center"/>
          </w:tcPr>
          <w:p>
            <w:pPr>
              <w:snapToGrid w:val="0"/>
              <w:spacing w:beforeLines="50" w:after="50"/>
              <w:jc w:val="center"/>
              <w:rPr>
                <w:rFonts w:ascii="宋体" w:hAnsi="宋体" w:cs="宋体"/>
                <w:sz w:val="24"/>
              </w:rPr>
            </w:pPr>
          </w:p>
        </w:tc>
        <w:tc>
          <w:tcPr>
            <w:tcW w:w="1418" w:type="dxa"/>
            <w:vAlign w:val="center"/>
          </w:tcPr>
          <w:p>
            <w:pPr>
              <w:snapToGrid w:val="0"/>
              <w:spacing w:beforeLines="50" w:after="50"/>
              <w:jc w:val="center"/>
              <w:rPr>
                <w:rFonts w:ascii="宋体" w:hAnsi="宋体" w:cs="宋体"/>
                <w:sz w:val="24"/>
              </w:rPr>
            </w:pPr>
          </w:p>
        </w:tc>
        <w:tc>
          <w:tcPr>
            <w:tcW w:w="1159"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Lines="50" w:after="50"/>
              <w:jc w:val="center"/>
              <w:rPr>
                <w:rFonts w:ascii="宋体" w:hAnsi="宋体" w:cs="宋体"/>
                <w:sz w:val="24"/>
              </w:rPr>
            </w:pPr>
          </w:p>
        </w:tc>
        <w:tc>
          <w:tcPr>
            <w:tcW w:w="1532" w:type="dxa"/>
            <w:vAlign w:val="center"/>
          </w:tcPr>
          <w:p>
            <w:pPr>
              <w:snapToGrid w:val="0"/>
              <w:spacing w:beforeLines="50" w:after="50"/>
              <w:jc w:val="center"/>
              <w:rPr>
                <w:rFonts w:ascii="宋体" w:hAnsi="宋体" w:cs="宋体"/>
                <w:sz w:val="24"/>
              </w:rPr>
            </w:pPr>
          </w:p>
        </w:tc>
        <w:tc>
          <w:tcPr>
            <w:tcW w:w="1161" w:type="dxa"/>
            <w:vAlign w:val="center"/>
          </w:tcPr>
          <w:p>
            <w:pPr>
              <w:snapToGrid w:val="0"/>
              <w:spacing w:beforeLines="50" w:after="50"/>
              <w:jc w:val="center"/>
              <w:rPr>
                <w:rFonts w:ascii="宋体" w:hAnsi="宋体" w:cs="宋体"/>
                <w:sz w:val="24"/>
              </w:rPr>
            </w:pPr>
          </w:p>
        </w:tc>
        <w:tc>
          <w:tcPr>
            <w:tcW w:w="1418" w:type="dxa"/>
            <w:vAlign w:val="center"/>
          </w:tcPr>
          <w:p>
            <w:pPr>
              <w:snapToGrid w:val="0"/>
              <w:spacing w:beforeLines="50" w:after="50"/>
              <w:jc w:val="center"/>
              <w:rPr>
                <w:rFonts w:ascii="宋体" w:hAnsi="宋体" w:cs="宋体"/>
                <w:sz w:val="24"/>
              </w:rPr>
            </w:pPr>
          </w:p>
        </w:tc>
        <w:tc>
          <w:tcPr>
            <w:tcW w:w="1159"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Lines="50" w:after="50"/>
              <w:jc w:val="center"/>
              <w:rPr>
                <w:rFonts w:ascii="宋体" w:hAnsi="宋体" w:cs="宋体"/>
                <w:sz w:val="24"/>
              </w:rPr>
            </w:pPr>
          </w:p>
        </w:tc>
        <w:tc>
          <w:tcPr>
            <w:tcW w:w="1532" w:type="dxa"/>
            <w:vAlign w:val="center"/>
          </w:tcPr>
          <w:p>
            <w:pPr>
              <w:snapToGrid w:val="0"/>
              <w:spacing w:beforeLines="50" w:after="50"/>
              <w:jc w:val="center"/>
              <w:rPr>
                <w:rFonts w:ascii="宋体" w:hAnsi="宋体" w:cs="宋体"/>
                <w:sz w:val="24"/>
              </w:rPr>
            </w:pPr>
          </w:p>
        </w:tc>
        <w:tc>
          <w:tcPr>
            <w:tcW w:w="1161" w:type="dxa"/>
            <w:vAlign w:val="center"/>
          </w:tcPr>
          <w:p>
            <w:pPr>
              <w:snapToGrid w:val="0"/>
              <w:spacing w:beforeLines="50" w:after="50"/>
              <w:jc w:val="center"/>
              <w:rPr>
                <w:rFonts w:ascii="宋体" w:hAnsi="宋体" w:cs="宋体"/>
                <w:sz w:val="24"/>
              </w:rPr>
            </w:pPr>
          </w:p>
        </w:tc>
        <w:tc>
          <w:tcPr>
            <w:tcW w:w="1418" w:type="dxa"/>
            <w:vAlign w:val="center"/>
          </w:tcPr>
          <w:p>
            <w:pPr>
              <w:snapToGrid w:val="0"/>
              <w:spacing w:beforeLines="50" w:after="50"/>
              <w:jc w:val="center"/>
              <w:rPr>
                <w:rFonts w:ascii="宋体" w:hAnsi="宋体" w:cs="宋体"/>
                <w:sz w:val="24"/>
              </w:rPr>
            </w:pPr>
          </w:p>
        </w:tc>
        <w:tc>
          <w:tcPr>
            <w:tcW w:w="1159"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Lines="50" w:after="50"/>
              <w:jc w:val="center"/>
              <w:rPr>
                <w:rFonts w:ascii="宋体" w:hAnsi="宋体" w:cs="宋体"/>
                <w:sz w:val="24"/>
              </w:rPr>
            </w:pPr>
          </w:p>
        </w:tc>
        <w:tc>
          <w:tcPr>
            <w:tcW w:w="1532" w:type="dxa"/>
            <w:vAlign w:val="center"/>
          </w:tcPr>
          <w:p>
            <w:pPr>
              <w:snapToGrid w:val="0"/>
              <w:spacing w:beforeLines="50" w:after="50"/>
              <w:jc w:val="center"/>
              <w:rPr>
                <w:rFonts w:ascii="宋体" w:hAnsi="宋体" w:cs="宋体"/>
                <w:sz w:val="24"/>
              </w:rPr>
            </w:pPr>
          </w:p>
        </w:tc>
        <w:tc>
          <w:tcPr>
            <w:tcW w:w="1161" w:type="dxa"/>
            <w:vAlign w:val="center"/>
          </w:tcPr>
          <w:p>
            <w:pPr>
              <w:snapToGrid w:val="0"/>
              <w:spacing w:beforeLines="50" w:after="50"/>
              <w:jc w:val="center"/>
              <w:rPr>
                <w:rFonts w:ascii="宋体" w:hAnsi="宋体" w:cs="宋体"/>
                <w:sz w:val="24"/>
              </w:rPr>
            </w:pPr>
          </w:p>
        </w:tc>
        <w:tc>
          <w:tcPr>
            <w:tcW w:w="1418" w:type="dxa"/>
            <w:vAlign w:val="center"/>
          </w:tcPr>
          <w:p>
            <w:pPr>
              <w:snapToGrid w:val="0"/>
              <w:spacing w:beforeLines="50" w:after="50"/>
              <w:jc w:val="center"/>
              <w:rPr>
                <w:rFonts w:ascii="宋体" w:hAnsi="宋体" w:cs="宋体"/>
                <w:sz w:val="24"/>
              </w:rPr>
            </w:pPr>
          </w:p>
        </w:tc>
        <w:tc>
          <w:tcPr>
            <w:tcW w:w="1159"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Lines="50" w:after="50"/>
              <w:jc w:val="center"/>
              <w:rPr>
                <w:rFonts w:ascii="宋体" w:hAnsi="宋体" w:cs="宋体"/>
                <w:sz w:val="24"/>
              </w:rPr>
            </w:pPr>
          </w:p>
        </w:tc>
        <w:tc>
          <w:tcPr>
            <w:tcW w:w="1532" w:type="dxa"/>
            <w:vAlign w:val="center"/>
          </w:tcPr>
          <w:p>
            <w:pPr>
              <w:snapToGrid w:val="0"/>
              <w:spacing w:beforeLines="50" w:after="50"/>
              <w:jc w:val="center"/>
              <w:rPr>
                <w:rFonts w:ascii="宋体" w:hAnsi="宋体" w:cs="宋体"/>
                <w:sz w:val="24"/>
              </w:rPr>
            </w:pPr>
          </w:p>
        </w:tc>
        <w:tc>
          <w:tcPr>
            <w:tcW w:w="1161" w:type="dxa"/>
            <w:vAlign w:val="center"/>
          </w:tcPr>
          <w:p>
            <w:pPr>
              <w:snapToGrid w:val="0"/>
              <w:spacing w:beforeLines="50" w:after="50"/>
              <w:jc w:val="center"/>
              <w:rPr>
                <w:rFonts w:ascii="宋体" w:hAnsi="宋体" w:cs="宋体"/>
                <w:sz w:val="24"/>
              </w:rPr>
            </w:pPr>
          </w:p>
        </w:tc>
        <w:tc>
          <w:tcPr>
            <w:tcW w:w="1418" w:type="dxa"/>
            <w:vAlign w:val="center"/>
          </w:tcPr>
          <w:p>
            <w:pPr>
              <w:snapToGrid w:val="0"/>
              <w:spacing w:beforeLines="50" w:after="50"/>
              <w:jc w:val="center"/>
              <w:rPr>
                <w:rFonts w:ascii="宋体" w:hAnsi="宋体" w:cs="宋体"/>
                <w:sz w:val="24"/>
              </w:rPr>
            </w:pPr>
          </w:p>
        </w:tc>
        <w:tc>
          <w:tcPr>
            <w:tcW w:w="1159"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Lines="50" w:after="50"/>
              <w:jc w:val="center"/>
              <w:rPr>
                <w:rFonts w:ascii="宋体" w:hAnsi="宋体" w:cs="宋体"/>
                <w:sz w:val="24"/>
              </w:rPr>
            </w:pPr>
          </w:p>
        </w:tc>
        <w:tc>
          <w:tcPr>
            <w:tcW w:w="1532" w:type="dxa"/>
            <w:vAlign w:val="center"/>
          </w:tcPr>
          <w:p>
            <w:pPr>
              <w:snapToGrid w:val="0"/>
              <w:spacing w:beforeLines="50" w:after="50"/>
              <w:jc w:val="center"/>
              <w:rPr>
                <w:rFonts w:ascii="宋体" w:hAnsi="宋体" w:cs="宋体"/>
                <w:sz w:val="24"/>
              </w:rPr>
            </w:pPr>
          </w:p>
        </w:tc>
        <w:tc>
          <w:tcPr>
            <w:tcW w:w="1161" w:type="dxa"/>
            <w:vAlign w:val="center"/>
          </w:tcPr>
          <w:p>
            <w:pPr>
              <w:snapToGrid w:val="0"/>
              <w:spacing w:beforeLines="50" w:after="50"/>
              <w:jc w:val="center"/>
              <w:rPr>
                <w:rFonts w:ascii="宋体" w:hAnsi="宋体" w:cs="宋体"/>
                <w:sz w:val="24"/>
              </w:rPr>
            </w:pPr>
          </w:p>
        </w:tc>
        <w:tc>
          <w:tcPr>
            <w:tcW w:w="1418" w:type="dxa"/>
            <w:vAlign w:val="center"/>
          </w:tcPr>
          <w:p>
            <w:pPr>
              <w:snapToGrid w:val="0"/>
              <w:spacing w:beforeLines="50" w:after="50"/>
              <w:jc w:val="center"/>
              <w:rPr>
                <w:rFonts w:ascii="宋体" w:hAnsi="宋体" w:cs="宋体"/>
                <w:sz w:val="24"/>
              </w:rPr>
            </w:pPr>
          </w:p>
        </w:tc>
        <w:tc>
          <w:tcPr>
            <w:tcW w:w="1159"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Lines="50" w:after="50"/>
              <w:jc w:val="center"/>
              <w:rPr>
                <w:rFonts w:ascii="宋体" w:hAnsi="宋体" w:cs="宋体"/>
                <w:sz w:val="24"/>
              </w:rPr>
            </w:pPr>
          </w:p>
        </w:tc>
        <w:tc>
          <w:tcPr>
            <w:tcW w:w="1532" w:type="dxa"/>
            <w:vAlign w:val="center"/>
          </w:tcPr>
          <w:p>
            <w:pPr>
              <w:snapToGrid w:val="0"/>
              <w:spacing w:beforeLines="50" w:after="50"/>
              <w:jc w:val="center"/>
              <w:rPr>
                <w:rFonts w:ascii="宋体" w:hAnsi="宋体" w:cs="宋体"/>
                <w:sz w:val="24"/>
              </w:rPr>
            </w:pPr>
          </w:p>
        </w:tc>
        <w:tc>
          <w:tcPr>
            <w:tcW w:w="1161" w:type="dxa"/>
            <w:vAlign w:val="center"/>
          </w:tcPr>
          <w:p>
            <w:pPr>
              <w:snapToGrid w:val="0"/>
              <w:spacing w:beforeLines="50" w:after="50"/>
              <w:jc w:val="center"/>
              <w:rPr>
                <w:rFonts w:ascii="宋体" w:hAnsi="宋体" w:cs="宋体"/>
                <w:sz w:val="24"/>
              </w:rPr>
            </w:pPr>
          </w:p>
        </w:tc>
        <w:tc>
          <w:tcPr>
            <w:tcW w:w="1418" w:type="dxa"/>
            <w:vAlign w:val="center"/>
          </w:tcPr>
          <w:p>
            <w:pPr>
              <w:snapToGrid w:val="0"/>
              <w:spacing w:beforeLines="50" w:after="50"/>
              <w:jc w:val="center"/>
              <w:rPr>
                <w:rFonts w:ascii="宋体" w:hAnsi="宋体" w:cs="宋体"/>
                <w:sz w:val="24"/>
              </w:rPr>
            </w:pPr>
          </w:p>
        </w:tc>
        <w:tc>
          <w:tcPr>
            <w:tcW w:w="1159"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c>
          <w:tcPr>
            <w:tcW w:w="1246" w:type="dxa"/>
            <w:vAlign w:val="center"/>
          </w:tcPr>
          <w:p>
            <w:pPr>
              <w:snapToGrid w:val="0"/>
              <w:spacing w:beforeLines="50" w:after="50"/>
              <w:jc w:val="center"/>
              <w:rPr>
                <w:rFonts w:ascii="宋体" w:hAnsi="宋体" w:cs="宋体"/>
                <w:sz w:val="24"/>
              </w:rPr>
            </w:pPr>
          </w:p>
        </w:tc>
      </w:tr>
    </w:tbl>
    <w:p>
      <w:pPr>
        <w:snapToGrid w:val="0"/>
        <w:spacing w:beforeLines="50" w:after="50"/>
        <w:jc w:val="left"/>
        <w:rPr>
          <w:rFonts w:ascii="宋体" w:hAnsi="宋体" w:cs="宋体"/>
          <w:sz w:val="24"/>
        </w:rPr>
      </w:pPr>
      <w:r>
        <w:rPr>
          <w:rFonts w:hint="eastAsia" w:ascii="宋体" w:hAnsi="宋体" w:cs="宋体"/>
          <w:sz w:val="24"/>
        </w:rPr>
        <w:t>注：1.业绩是指投标人2018年1月1日至今，同类项目已签署的项目合同(提供合同及中标通知书，以原件的扫描件形式提供并加盖供应商公章）；</w:t>
      </w:r>
    </w:p>
    <w:p>
      <w:pPr>
        <w:snapToGrid w:val="0"/>
        <w:spacing w:beforeLines="50" w:after="50"/>
        <w:jc w:val="left"/>
        <w:rPr>
          <w:rFonts w:ascii="宋体" w:hAnsi="宋体" w:cs="宋体"/>
          <w:sz w:val="24"/>
        </w:rPr>
      </w:pPr>
      <w:r>
        <w:rPr>
          <w:rFonts w:hint="eastAsia" w:ascii="宋体" w:hAnsi="宋体" w:cs="宋体"/>
          <w:sz w:val="24"/>
        </w:rPr>
        <w:t>2.此表仅提供了表格形式，供应商应根据需要准备足够数量的表格来填写。</w:t>
      </w:r>
    </w:p>
    <w:p>
      <w:pPr>
        <w:snapToGrid w:val="0"/>
        <w:spacing w:beforeLines="50" w:after="50"/>
        <w:jc w:val="left"/>
        <w:rPr>
          <w:rFonts w:ascii="宋体" w:hAnsi="宋体" w:cs="宋体"/>
          <w:b/>
          <w:sz w:val="24"/>
        </w:rPr>
      </w:pPr>
    </w:p>
    <w:p>
      <w:pPr>
        <w:snapToGrid w:val="0"/>
        <w:spacing w:beforeLines="50" w:after="50"/>
        <w:jc w:val="left"/>
        <w:rPr>
          <w:rFonts w:ascii="宋体" w:hAnsi="宋体" w:cs="宋体"/>
          <w:b/>
          <w:sz w:val="24"/>
        </w:rPr>
      </w:pPr>
    </w:p>
    <w:p>
      <w:pPr>
        <w:spacing w:line="500" w:lineRule="exact"/>
        <w:jc w:val="left"/>
        <w:rPr>
          <w:rFonts w:ascii="宋体" w:hAnsi="宋体" w:cs="宋体"/>
          <w:kern w:val="0"/>
          <w:sz w:val="24"/>
        </w:rPr>
      </w:pPr>
      <w:r>
        <w:rPr>
          <w:rFonts w:hint="eastAsia" w:ascii="宋体" w:hAnsi="宋体" w:cs="宋体"/>
          <w:kern w:val="0"/>
          <w:sz w:val="24"/>
        </w:rPr>
        <w:t>投标人全称（签章）：</w:t>
      </w:r>
    </w:p>
    <w:p>
      <w:pPr>
        <w:spacing w:line="500" w:lineRule="exact"/>
        <w:jc w:val="left"/>
        <w:rPr>
          <w:rFonts w:ascii="宋体" w:hAnsi="宋体" w:cs="宋体"/>
          <w:kern w:val="0"/>
          <w:sz w:val="24"/>
        </w:rPr>
      </w:pPr>
      <w:r>
        <w:rPr>
          <w:rFonts w:hint="eastAsia" w:ascii="宋体" w:hAnsi="宋体" w:cs="宋体"/>
          <w:kern w:val="0"/>
          <w:sz w:val="24"/>
        </w:rPr>
        <w:t>法定代表人或其授权代理人（签名或盖章）</w:t>
      </w: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r>
        <w:rPr>
          <w:rFonts w:hint="eastAsia" w:ascii="宋体" w:hAnsi="宋体" w:cs="宋体"/>
          <w:kern w:val="0"/>
          <w:sz w:val="24"/>
        </w:rPr>
        <w:t>日期：      年   月   日</w:t>
      </w:r>
    </w:p>
    <w:p>
      <w:pPr>
        <w:pStyle w:val="21"/>
        <w:ind w:firstLine="280"/>
      </w:pPr>
    </w:p>
    <w:p>
      <w:pPr>
        <w:spacing w:line="360" w:lineRule="auto"/>
        <w:jc w:val="center"/>
        <w:rPr>
          <w:rFonts w:ascii="宋体" w:hAnsi="宋体"/>
          <w:b/>
          <w:bCs/>
          <w:szCs w:val="28"/>
        </w:rPr>
      </w:pPr>
    </w:p>
    <w:p>
      <w:pPr>
        <w:pStyle w:val="21"/>
        <w:ind w:firstLine="281"/>
        <w:rPr>
          <w:rFonts w:ascii="宋体" w:hAnsi="宋体"/>
          <w:b/>
          <w:bCs/>
          <w:szCs w:val="28"/>
        </w:rPr>
      </w:pPr>
    </w:p>
    <w:p>
      <w:pPr>
        <w:pStyle w:val="22"/>
        <w:ind w:left="2800"/>
        <w:rPr>
          <w:rFonts w:ascii="宋体" w:hAnsi="宋体"/>
          <w:b/>
          <w:bCs/>
          <w:szCs w:val="28"/>
        </w:rPr>
      </w:pPr>
    </w:p>
    <w:p>
      <w:pPr>
        <w:rPr>
          <w:rFonts w:ascii="宋体" w:hAnsi="宋体"/>
          <w:b/>
          <w:bCs/>
          <w:szCs w:val="28"/>
        </w:rPr>
      </w:pPr>
    </w:p>
    <w:p>
      <w:pPr>
        <w:pStyle w:val="21"/>
        <w:ind w:firstLine="280"/>
      </w:pPr>
    </w:p>
    <w:p>
      <w:pPr>
        <w:rPr>
          <w:rFonts w:ascii="宋体" w:hAnsi="宋体"/>
          <w:b/>
          <w:bCs/>
          <w:szCs w:val="28"/>
        </w:rPr>
      </w:pPr>
    </w:p>
    <w:p>
      <w:pPr>
        <w:pStyle w:val="21"/>
        <w:ind w:firstLine="281"/>
        <w:rPr>
          <w:rFonts w:ascii="宋体" w:hAnsi="宋体"/>
          <w:b/>
          <w:bCs/>
          <w:szCs w:val="28"/>
        </w:rPr>
      </w:pPr>
    </w:p>
    <w:p>
      <w:pPr>
        <w:pStyle w:val="22"/>
        <w:ind w:left="2800"/>
        <w:rPr>
          <w:rFonts w:ascii="宋体" w:hAnsi="宋体"/>
          <w:b/>
          <w:bCs/>
          <w:szCs w:val="28"/>
        </w:rPr>
      </w:pPr>
    </w:p>
    <w:p>
      <w:pPr>
        <w:pStyle w:val="22"/>
        <w:ind w:left="0" w:leftChars="0"/>
        <w:rPr>
          <w:rFonts w:ascii="宋体" w:hAnsi="宋体"/>
          <w:b/>
          <w:bCs/>
          <w:szCs w:val="28"/>
        </w:rPr>
      </w:pPr>
      <w:r>
        <w:rPr>
          <w:rFonts w:hint="eastAsia" w:ascii="宋体" w:hAnsi="宋体"/>
          <w:b/>
          <w:bCs/>
          <w:szCs w:val="28"/>
        </w:rPr>
        <w:t>8、项目实施人员一览表格式</w:t>
      </w:r>
    </w:p>
    <w:p>
      <w:pPr>
        <w:pStyle w:val="21"/>
        <w:ind w:firstLine="280"/>
      </w:pPr>
    </w:p>
    <w:p>
      <w:pPr>
        <w:pStyle w:val="27"/>
        <w:spacing w:line="400" w:lineRule="atLeast"/>
        <w:ind w:left="1"/>
        <w:jc w:val="center"/>
        <w:rPr>
          <w:rFonts w:hAnsi="宋体"/>
          <w:b/>
        </w:rPr>
      </w:pPr>
      <w:r>
        <w:rPr>
          <w:rFonts w:hint="eastAsia" w:hAnsi="宋体"/>
          <w:b/>
        </w:rPr>
        <w:t>项目负责人简历表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49"/>
        <w:gridCol w:w="1838"/>
        <w:gridCol w:w="1601"/>
        <w:gridCol w:w="1742"/>
        <w:gridCol w:w="146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34" w:type="dxa"/>
            <w:gridSpan w:val="7"/>
            <w:noWrap/>
            <w:vAlign w:val="center"/>
          </w:tcPr>
          <w:p>
            <w:pPr>
              <w:spacing w:line="360" w:lineRule="exact"/>
              <w:jc w:val="center"/>
              <w:rPr>
                <w:rFonts w:ascii="宋体" w:hAnsi="宋体"/>
                <w:szCs w:val="21"/>
              </w:rPr>
            </w:pPr>
            <w:r>
              <w:rPr>
                <w:rFonts w:hint="eastAsia" w:ascii="宋体" w:hAnsi="宋体"/>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ign w:val="center"/>
          </w:tcPr>
          <w:p>
            <w:pPr>
              <w:spacing w:line="360" w:lineRule="exact"/>
              <w:jc w:val="center"/>
              <w:rPr>
                <w:rFonts w:ascii="宋体" w:hAnsi="宋体"/>
                <w:szCs w:val="21"/>
              </w:rPr>
            </w:pPr>
            <w:r>
              <w:rPr>
                <w:rFonts w:hint="eastAsia" w:ascii="宋体" w:hAnsi="宋体"/>
                <w:szCs w:val="21"/>
              </w:rPr>
              <w:t>姓   名</w:t>
            </w:r>
          </w:p>
        </w:tc>
        <w:tc>
          <w:tcPr>
            <w:tcW w:w="1838" w:type="dxa"/>
            <w:noWrap/>
            <w:vAlign w:val="center"/>
          </w:tcPr>
          <w:p>
            <w:pPr>
              <w:spacing w:line="360" w:lineRule="exact"/>
              <w:jc w:val="center"/>
              <w:rPr>
                <w:rFonts w:ascii="宋体" w:hAnsi="宋体"/>
                <w:szCs w:val="21"/>
              </w:rPr>
            </w:pPr>
          </w:p>
        </w:tc>
        <w:tc>
          <w:tcPr>
            <w:tcW w:w="1601" w:type="dxa"/>
            <w:noWrap/>
            <w:vAlign w:val="center"/>
          </w:tcPr>
          <w:p>
            <w:pPr>
              <w:spacing w:line="360" w:lineRule="exact"/>
              <w:jc w:val="center"/>
              <w:rPr>
                <w:rFonts w:ascii="宋体" w:hAnsi="宋体"/>
                <w:szCs w:val="21"/>
              </w:rPr>
            </w:pPr>
            <w:r>
              <w:rPr>
                <w:rFonts w:hint="eastAsia" w:ascii="宋体" w:hAnsi="宋体"/>
                <w:szCs w:val="21"/>
              </w:rPr>
              <w:t>年  龄</w:t>
            </w:r>
          </w:p>
        </w:tc>
        <w:tc>
          <w:tcPr>
            <w:tcW w:w="1742" w:type="dxa"/>
            <w:noWrap/>
            <w:vAlign w:val="center"/>
          </w:tcPr>
          <w:p>
            <w:pPr>
              <w:spacing w:line="360" w:lineRule="exact"/>
              <w:jc w:val="center"/>
              <w:rPr>
                <w:rFonts w:ascii="宋体" w:hAnsi="宋体"/>
                <w:szCs w:val="21"/>
              </w:rPr>
            </w:pPr>
          </w:p>
        </w:tc>
        <w:tc>
          <w:tcPr>
            <w:tcW w:w="1462" w:type="dxa"/>
            <w:noWrap/>
            <w:vAlign w:val="center"/>
          </w:tcPr>
          <w:p>
            <w:pPr>
              <w:spacing w:line="360" w:lineRule="exact"/>
              <w:jc w:val="center"/>
              <w:rPr>
                <w:rFonts w:ascii="宋体" w:hAnsi="宋体"/>
                <w:szCs w:val="21"/>
              </w:rPr>
            </w:pPr>
            <w:r>
              <w:rPr>
                <w:rFonts w:hint="eastAsia" w:ascii="宋体" w:hAnsi="宋体"/>
                <w:szCs w:val="21"/>
              </w:rPr>
              <w:t>学  历</w:t>
            </w:r>
          </w:p>
        </w:tc>
        <w:tc>
          <w:tcPr>
            <w:tcW w:w="1602" w:type="dxa"/>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ign w:val="center"/>
          </w:tcPr>
          <w:p>
            <w:pPr>
              <w:spacing w:line="360" w:lineRule="exact"/>
              <w:jc w:val="center"/>
              <w:rPr>
                <w:rFonts w:ascii="宋体" w:hAnsi="宋体"/>
                <w:szCs w:val="21"/>
              </w:rPr>
            </w:pPr>
            <w:r>
              <w:rPr>
                <w:rFonts w:hint="eastAsia" w:ascii="宋体" w:hAnsi="宋体"/>
                <w:szCs w:val="21"/>
              </w:rPr>
              <w:t>毕业学校</w:t>
            </w:r>
          </w:p>
        </w:tc>
        <w:tc>
          <w:tcPr>
            <w:tcW w:w="1838" w:type="dxa"/>
            <w:noWrap/>
            <w:vAlign w:val="center"/>
          </w:tcPr>
          <w:p>
            <w:pPr>
              <w:spacing w:line="360" w:lineRule="exact"/>
              <w:rPr>
                <w:rFonts w:ascii="宋体" w:hAnsi="宋体"/>
                <w:szCs w:val="21"/>
              </w:rPr>
            </w:pPr>
          </w:p>
        </w:tc>
        <w:tc>
          <w:tcPr>
            <w:tcW w:w="1601" w:type="dxa"/>
            <w:noWrap/>
            <w:vAlign w:val="center"/>
          </w:tcPr>
          <w:p>
            <w:pPr>
              <w:spacing w:line="360" w:lineRule="exact"/>
              <w:jc w:val="center"/>
              <w:rPr>
                <w:rFonts w:ascii="宋体" w:hAnsi="宋体"/>
                <w:szCs w:val="21"/>
              </w:rPr>
            </w:pPr>
            <w:r>
              <w:rPr>
                <w:rFonts w:hint="eastAsia" w:ascii="宋体" w:hAnsi="宋体"/>
                <w:szCs w:val="21"/>
              </w:rPr>
              <w:t>专  业</w:t>
            </w:r>
          </w:p>
        </w:tc>
        <w:tc>
          <w:tcPr>
            <w:tcW w:w="1742" w:type="dxa"/>
            <w:noWrap/>
            <w:vAlign w:val="center"/>
          </w:tcPr>
          <w:p>
            <w:pPr>
              <w:spacing w:line="360" w:lineRule="exact"/>
              <w:jc w:val="center"/>
              <w:rPr>
                <w:rFonts w:ascii="宋体" w:hAnsi="宋体"/>
                <w:szCs w:val="21"/>
              </w:rPr>
            </w:pPr>
          </w:p>
        </w:tc>
        <w:tc>
          <w:tcPr>
            <w:tcW w:w="1462" w:type="dxa"/>
            <w:noWrap/>
            <w:vAlign w:val="center"/>
          </w:tcPr>
          <w:p>
            <w:pPr>
              <w:spacing w:line="360" w:lineRule="exact"/>
              <w:jc w:val="center"/>
              <w:rPr>
                <w:rFonts w:ascii="宋体" w:hAnsi="宋体"/>
                <w:szCs w:val="21"/>
              </w:rPr>
            </w:pPr>
            <w:r>
              <w:rPr>
                <w:rFonts w:hint="eastAsia" w:ascii="宋体" w:hAnsi="宋体"/>
                <w:szCs w:val="21"/>
              </w:rPr>
              <w:t>职  务</w:t>
            </w:r>
          </w:p>
        </w:tc>
        <w:tc>
          <w:tcPr>
            <w:tcW w:w="1602" w:type="dxa"/>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89" w:type="dxa"/>
            <w:gridSpan w:val="2"/>
            <w:noWrap/>
            <w:vAlign w:val="center"/>
          </w:tcPr>
          <w:p>
            <w:pPr>
              <w:spacing w:line="360" w:lineRule="exact"/>
              <w:jc w:val="center"/>
              <w:rPr>
                <w:rFonts w:ascii="宋体" w:hAnsi="宋体"/>
                <w:szCs w:val="21"/>
              </w:rPr>
            </w:pPr>
            <w:r>
              <w:rPr>
                <w:rFonts w:hint="eastAsia" w:ascii="宋体" w:hAnsi="宋体"/>
                <w:szCs w:val="21"/>
              </w:rPr>
              <w:t>职  称</w:t>
            </w:r>
          </w:p>
        </w:tc>
        <w:tc>
          <w:tcPr>
            <w:tcW w:w="1838" w:type="dxa"/>
            <w:noWrap/>
            <w:vAlign w:val="center"/>
          </w:tcPr>
          <w:p>
            <w:pPr>
              <w:spacing w:line="360" w:lineRule="exact"/>
              <w:rPr>
                <w:rFonts w:ascii="宋体" w:hAnsi="宋体"/>
                <w:szCs w:val="21"/>
              </w:rPr>
            </w:pPr>
          </w:p>
        </w:tc>
        <w:tc>
          <w:tcPr>
            <w:tcW w:w="1601" w:type="dxa"/>
            <w:noWrap/>
            <w:vAlign w:val="center"/>
          </w:tcPr>
          <w:p>
            <w:pPr>
              <w:spacing w:line="360" w:lineRule="exact"/>
              <w:jc w:val="center"/>
              <w:rPr>
                <w:rFonts w:ascii="宋体" w:hAnsi="宋体"/>
                <w:szCs w:val="21"/>
              </w:rPr>
            </w:pPr>
            <w:r>
              <w:rPr>
                <w:rFonts w:hint="eastAsia" w:ascii="宋体" w:hAnsi="宋体"/>
                <w:szCs w:val="21"/>
              </w:rPr>
              <w:t>拟任何职</w:t>
            </w:r>
          </w:p>
        </w:tc>
        <w:tc>
          <w:tcPr>
            <w:tcW w:w="1742" w:type="dxa"/>
            <w:noWrap/>
            <w:vAlign w:val="center"/>
          </w:tcPr>
          <w:p>
            <w:pPr>
              <w:spacing w:line="360" w:lineRule="exact"/>
              <w:jc w:val="center"/>
              <w:rPr>
                <w:rFonts w:ascii="宋体" w:hAnsi="宋体"/>
                <w:szCs w:val="21"/>
              </w:rPr>
            </w:pPr>
          </w:p>
        </w:tc>
        <w:tc>
          <w:tcPr>
            <w:tcW w:w="1462" w:type="dxa"/>
            <w:noWrap/>
            <w:vAlign w:val="center"/>
          </w:tcPr>
          <w:p>
            <w:pPr>
              <w:spacing w:line="360" w:lineRule="exact"/>
              <w:jc w:val="center"/>
              <w:rPr>
                <w:rFonts w:ascii="宋体" w:hAnsi="宋体"/>
                <w:szCs w:val="21"/>
              </w:rPr>
            </w:pPr>
            <w:r>
              <w:rPr>
                <w:rFonts w:hint="eastAsia" w:ascii="宋体" w:hAnsi="宋体"/>
                <w:szCs w:val="21"/>
              </w:rPr>
              <w:t>参加工作</w:t>
            </w:r>
          </w:p>
          <w:p>
            <w:pPr>
              <w:spacing w:line="360" w:lineRule="exact"/>
              <w:jc w:val="center"/>
              <w:rPr>
                <w:rFonts w:ascii="宋体" w:hAnsi="宋体"/>
                <w:szCs w:val="21"/>
              </w:rPr>
            </w:pPr>
            <w:r>
              <w:rPr>
                <w:rFonts w:hint="eastAsia" w:ascii="宋体" w:hAnsi="宋体"/>
                <w:szCs w:val="21"/>
              </w:rPr>
              <w:t>时间</w:t>
            </w:r>
          </w:p>
        </w:tc>
        <w:tc>
          <w:tcPr>
            <w:tcW w:w="1602" w:type="dxa"/>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noWrap/>
            <w:vAlign w:val="center"/>
          </w:tcPr>
          <w:p>
            <w:pPr>
              <w:spacing w:line="360" w:lineRule="exact"/>
              <w:jc w:val="center"/>
              <w:rPr>
                <w:rFonts w:ascii="宋体" w:hAnsi="宋体"/>
                <w:szCs w:val="21"/>
              </w:rPr>
            </w:pPr>
            <w:r>
              <w:rPr>
                <w:rFonts w:hint="eastAsia" w:ascii="宋体" w:hAnsi="宋体"/>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ign w:val="center"/>
          </w:tcPr>
          <w:p>
            <w:pPr>
              <w:spacing w:line="360" w:lineRule="exact"/>
              <w:jc w:val="center"/>
              <w:rPr>
                <w:rFonts w:ascii="宋体" w:hAnsi="宋体"/>
                <w:szCs w:val="21"/>
              </w:rPr>
            </w:pPr>
            <w:r>
              <w:rPr>
                <w:rFonts w:hint="eastAsia" w:ascii="宋体" w:hAnsi="宋体"/>
                <w:szCs w:val="21"/>
              </w:rPr>
              <w:t>时  间</w:t>
            </w:r>
          </w:p>
        </w:tc>
        <w:tc>
          <w:tcPr>
            <w:tcW w:w="8245" w:type="dxa"/>
            <w:gridSpan w:val="5"/>
            <w:noWrap/>
            <w:vAlign w:val="center"/>
          </w:tcPr>
          <w:p>
            <w:pPr>
              <w:spacing w:line="360" w:lineRule="exact"/>
              <w:jc w:val="center"/>
              <w:rPr>
                <w:rFonts w:ascii="宋体" w:hAnsi="宋体"/>
                <w:szCs w:val="21"/>
              </w:rPr>
            </w:pPr>
            <w:r>
              <w:rPr>
                <w:rFonts w:hint="eastAsia" w:ascii="宋体" w:hAnsi="宋体"/>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ign w:val="center"/>
          </w:tcPr>
          <w:p>
            <w:pPr>
              <w:spacing w:line="360" w:lineRule="exact"/>
              <w:rPr>
                <w:rFonts w:ascii="宋体" w:hAnsi="宋体"/>
                <w:szCs w:val="21"/>
              </w:rPr>
            </w:pPr>
          </w:p>
        </w:tc>
        <w:tc>
          <w:tcPr>
            <w:tcW w:w="8245" w:type="dxa"/>
            <w:gridSpan w:val="5"/>
            <w:noWrap/>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ign w:val="center"/>
          </w:tcPr>
          <w:p>
            <w:pPr>
              <w:spacing w:line="360" w:lineRule="exact"/>
              <w:rPr>
                <w:rFonts w:ascii="宋体" w:hAnsi="宋体"/>
                <w:szCs w:val="21"/>
              </w:rPr>
            </w:pPr>
          </w:p>
        </w:tc>
        <w:tc>
          <w:tcPr>
            <w:tcW w:w="8245" w:type="dxa"/>
            <w:gridSpan w:val="5"/>
            <w:noWrap/>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noWrap/>
            <w:vAlign w:val="center"/>
          </w:tcPr>
          <w:p>
            <w:pPr>
              <w:spacing w:line="360" w:lineRule="exact"/>
              <w:jc w:val="center"/>
              <w:rPr>
                <w:rFonts w:ascii="宋体" w:hAnsi="宋体"/>
                <w:szCs w:val="21"/>
              </w:rPr>
            </w:pPr>
            <w:r>
              <w:rPr>
                <w:rFonts w:hint="eastAsia" w:ascii="宋体" w:hAnsi="宋体"/>
                <w:szCs w:val="21"/>
              </w:rPr>
              <w:t>3、</w:t>
            </w:r>
            <w:r>
              <w:rPr>
                <w:rFonts w:hint="eastAsia" w:ascii="宋体" w:hAnsi="宋体" w:cs="Arial"/>
                <w:szCs w:val="21"/>
              </w:rPr>
              <w:t>负责人相关项目业绩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jc w:val="center"/>
              <w:rPr>
                <w:rFonts w:ascii="宋体" w:hAnsi="宋体"/>
                <w:szCs w:val="21"/>
              </w:rPr>
            </w:pPr>
            <w:r>
              <w:rPr>
                <w:rFonts w:hint="eastAsia" w:ascii="宋体" w:hAnsi="宋体"/>
                <w:szCs w:val="21"/>
              </w:rPr>
              <w:t>序号</w:t>
            </w:r>
          </w:p>
        </w:tc>
        <w:tc>
          <w:tcPr>
            <w:tcW w:w="5630" w:type="dxa"/>
            <w:gridSpan w:val="4"/>
            <w:noWrap/>
            <w:vAlign w:val="center"/>
          </w:tcPr>
          <w:p>
            <w:pPr>
              <w:spacing w:line="360" w:lineRule="exact"/>
              <w:jc w:val="center"/>
              <w:rPr>
                <w:rFonts w:ascii="宋体" w:hAnsi="宋体"/>
                <w:szCs w:val="21"/>
              </w:rPr>
            </w:pPr>
            <w:r>
              <w:rPr>
                <w:rFonts w:hint="eastAsia" w:ascii="宋体" w:hAnsi="宋体"/>
                <w:szCs w:val="21"/>
              </w:rPr>
              <w:t>项  目  名  称</w:t>
            </w:r>
          </w:p>
        </w:tc>
        <w:tc>
          <w:tcPr>
            <w:tcW w:w="3064" w:type="dxa"/>
            <w:gridSpan w:val="2"/>
            <w:noWrap/>
            <w:vAlign w:val="center"/>
          </w:tcPr>
          <w:p>
            <w:pPr>
              <w:spacing w:line="360" w:lineRule="exact"/>
              <w:jc w:val="center"/>
              <w:rPr>
                <w:rFonts w:ascii="宋体" w:hAnsi="宋体"/>
                <w:szCs w:val="21"/>
              </w:rPr>
            </w:pPr>
            <w:r>
              <w:rPr>
                <w:rFonts w:hint="eastAsia" w:ascii="宋体" w:hAnsi="宋体"/>
                <w:szCs w:val="21"/>
              </w:rPr>
              <w:t>完成年份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宋体" w:hAnsi="宋体"/>
                <w:szCs w:val="21"/>
              </w:rPr>
            </w:pPr>
          </w:p>
        </w:tc>
        <w:tc>
          <w:tcPr>
            <w:tcW w:w="5630" w:type="dxa"/>
            <w:gridSpan w:val="4"/>
            <w:noWrap/>
            <w:vAlign w:val="center"/>
          </w:tcPr>
          <w:p>
            <w:pPr>
              <w:spacing w:line="360" w:lineRule="exact"/>
              <w:rPr>
                <w:rFonts w:ascii="宋体" w:hAnsi="宋体"/>
                <w:szCs w:val="21"/>
              </w:rPr>
            </w:pPr>
          </w:p>
        </w:tc>
        <w:tc>
          <w:tcPr>
            <w:tcW w:w="3064" w:type="dxa"/>
            <w:gridSpan w:val="2"/>
            <w:noWrap/>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宋体" w:hAnsi="宋体"/>
                <w:szCs w:val="21"/>
              </w:rPr>
            </w:pPr>
          </w:p>
        </w:tc>
        <w:tc>
          <w:tcPr>
            <w:tcW w:w="5630" w:type="dxa"/>
            <w:gridSpan w:val="4"/>
            <w:noWrap/>
            <w:vAlign w:val="center"/>
          </w:tcPr>
          <w:p>
            <w:pPr>
              <w:spacing w:line="360" w:lineRule="exact"/>
              <w:rPr>
                <w:rFonts w:ascii="宋体" w:hAnsi="宋体"/>
                <w:szCs w:val="21"/>
              </w:rPr>
            </w:pPr>
          </w:p>
        </w:tc>
        <w:tc>
          <w:tcPr>
            <w:tcW w:w="3064" w:type="dxa"/>
            <w:gridSpan w:val="2"/>
            <w:noWrap/>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宋体" w:hAnsi="宋体"/>
                <w:szCs w:val="21"/>
              </w:rPr>
            </w:pPr>
          </w:p>
        </w:tc>
        <w:tc>
          <w:tcPr>
            <w:tcW w:w="5630" w:type="dxa"/>
            <w:gridSpan w:val="4"/>
            <w:noWrap/>
            <w:vAlign w:val="center"/>
          </w:tcPr>
          <w:p>
            <w:pPr>
              <w:spacing w:line="360" w:lineRule="exact"/>
              <w:rPr>
                <w:rFonts w:ascii="宋体" w:hAnsi="宋体"/>
                <w:szCs w:val="21"/>
              </w:rPr>
            </w:pPr>
          </w:p>
        </w:tc>
        <w:tc>
          <w:tcPr>
            <w:tcW w:w="3064" w:type="dxa"/>
            <w:gridSpan w:val="2"/>
            <w:noWrap/>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宋体" w:hAnsi="宋体"/>
                <w:szCs w:val="21"/>
              </w:rPr>
            </w:pPr>
          </w:p>
        </w:tc>
        <w:tc>
          <w:tcPr>
            <w:tcW w:w="5630" w:type="dxa"/>
            <w:gridSpan w:val="4"/>
            <w:noWrap/>
            <w:vAlign w:val="center"/>
          </w:tcPr>
          <w:p>
            <w:pPr>
              <w:spacing w:line="360" w:lineRule="exact"/>
              <w:rPr>
                <w:rFonts w:ascii="宋体" w:hAnsi="宋体"/>
                <w:szCs w:val="21"/>
              </w:rPr>
            </w:pPr>
          </w:p>
        </w:tc>
        <w:tc>
          <w:tcPr>
            <w:tcW w:w="3064" w:type="dxa"/>
            <w:gridSpan w:val="2"/>
            <w:noWrap/>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宋体" w:hAnsi="宋体"/>
                <w:szCs w:val="21"/>
              </w:rPr>
            </w:pPr>
          </w:p>
        </w:tc>
        <w:tc>
          <w:tcPr>
            <w:tcW w:w="5630" w:type="dxa"/>
            <w:gridSpan w:val="4"/>
            <w:noWrap/>
            <w:vAlign w:val="center"/>
          </w:tcPr>
          <w:p>
            <w:pPr>
              <w:spacing w:line="360" w:lineRule="exact"/>
              <w:rPr>
                <w:rFonts w:ascii="宋体" w:hAnsi="宋体"/>
                <w:szCs w:val="21"/>
              </w:rPr>
            </w:pPr>
          </w:p>
        </w:tc>
        <w:tc>
          <w:tcPr>
            <w:tcW w:w="3064" w:type="dxa"/>
            <w:gridSpan w:val="2"/>
            <w:noWrap/>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宋体" w:hAnsi="宋体"/>
                <w:szCs w:val="21"/>
              </w:rPr>
            </w:pPr>
          </w:p>
        </w:tc>
        <w:tc>
          <w:tcPr>
            <w:tcW w:w="5630" w:type="dxa"/>
            <w:gridSpan w:val="4"/>
            <w:noWrap/>
            <w:vAlign w:val="center"/>
          </w:tcPr>
          <w:p>
            <w:pPr>
              <w:spacing w:line="360" w:lineRule="exact"/>
              <w:rPr>
                <w:rFonts w:ascii="宋体" w:hAnsi="宋体"/>
                <w:szCs w:val="21"/>
              </w:rPr>
            </w:pPr>
          </w:p>
        </w:tc>
        <w:tc>
          <w:tcPr>
            <w:tcW w:w="3064" w:type="dxa"/>
            <w:gridSpan w:val="2"/>
            <w:noWrap/>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宋体" w:hAnsi="宋体"/>
                <w:szCs w:val="21"/>
              </w:rPr>
            </w:pPr>
          </w:p>
        </w:tc>
        <w:tc>
          <w:tcPr>
            <w:tcW w:w="5630" w:type="dxa"/>
            <w:gridSpan w:val="4"/>
            <w:noWrap/>
            <w:vAlign w:val="center"/>
          </w:tcPr>
          <w:p>
            <w:pPr>
              <w:spacing w:line="360" w:lineRule="exact"/>
              <w:rPr>
                <w:rFonts w:ascii="宋体" w:hAnsi="宋体"/>
                <w:szCs w:val="21"/>
              </w:rPr>
            </w:pPr>
          </w:p>
        </w:tc>
        <w:tc>
          <w:tcPr>
            <w:tcW w:w="3064" w:type="dxa"/>
            <w:gridSpan w:val="2"/>
            <w:noWrap/>
            <w:vAlign w:val="center"/>
          </w:tcPr>
          <w:p>
            <w:pPr>
              <w:spacing w:line="360" w:lineRule="exact"/>
              <w:rPr>
                <w:rFonts w:ascii="宋体" w:hAnsi="宋体"/>
                <w:szCs w:val="21"/>
              </w:rPr>
            </w:pPr>
          </w:p>
        </w:tc>
      </w:tr>
    </w:tbl>
    <w:p>
      <w:pPr>
        <w:spacing w:line="380" w:lineRule="exact"/>
        <w:rPr>
          <w:rFonts w:ascii="宋体" w:hAnsi="宋体"/>
          <w:sz w:val="24"/>
        </w:rPr>
      </w:pPr>
      <w:r>
        <w:rPr>
          <w:rFonts w:hint="eastAsia" w:ascii="宋体" w:hAnsi="宋体"/>
          <w:sz w:val="24"/>
        </w:rPr>
        <w:t>注：1、按照招标文件要求随表提交相应的证书、社保证明、业绩证明材料（加盖签章）。</w:t>
      </w:r>
    </w:p>
    <w:p>
      <w:pPr>
        <w:spacing w:line="380" w:lineRule="exact"/>
        <w:rPr>
          <w:rFonts w:ascii="宋体" w:hAnsi="宋体"/>
          <w:sz w:val="24"/>
        </w:rPr>
      </w:pPr>
      <w:r>
        <w:rPr>
          <w:rFonts w:hint="eastAsia" w:ascii="宋体" w:hAnsi="宋体"/>
          <w:sz w:val="24"/>
        </w:rPr>
        <w:t>2、本表可在不改变格式的情况下根据具体需要自行增减。</w:t>
      </w:r>
    </w:p>
    <w:p>
      <w:pPr>
        <w:pStyle w:val="27"/>
        <w:spacing w:line="400" w:lineRule="atLeast"/>
        <w:ind w:left="1"/>
        <w:jc w:val="center"/>
        <w:rPr>
          <w:rFonts w:hAnsi="宋体"/>
          <w:b/>
        </w:rPr>
      </w:pPr>
    </w:p>
    <w:p>
      <w:pPr>
        <w:spacing w:line="380" w:lineRule="exact"/>
        <w:ind w:firstLine="5600" w:firstLineChars="2000"/>
        <w:rPr>
          <w:rFonts w:ascii="宋体" w:hAnsi="宋体"/>
          <w:szCs w:val="21"/>
        </w:rPr>
      </w:pPr>
      <w:r>
        <w:rPr>
          <w:rFonts w:hint="eastAsia" w:ascii="宋体" w:hAnsi="宋体"/>
          <w:szCs w:val="21"/>
        </w:rPr>
        <w:t xml:space="preserve">投标人全称（签章）：    </w:t>
      </w:r>
    </w:p>
    <w:p>
      <w:pPr>
        <w:spacing w:line="380" w:lineRule="exact"/>
        <w:ind w:firstLine="5600" w:firstLineChars="2000"/>
        <w:rPr>
          <w:rFonts w:ascii="宋体" w:hAnsi="宋体"/>
          <w:szCs w:val="21"/>
        </w:rPr>
      </w:pPr>
      <w:r>
        <w:rPr>
          <w:rFonts w:hint="eastAsia" w:ascii="宋体" w:hAnsi="宋体"/>
          <w:szCs w:val="21"/>
        </w:rPr>
        <w:t>法定代表人或授权代表（签字）：</w:t>
      </w:r>
    </w:p>
    <w:p>
      <w:pPr>
        <w:spacing w:line="380" w:lineRule="exact"/>
        <w:ind w:firstLine="5600" w:firstLineChars="2000"/>
      </w:pPr>
      <w:r>
        <w:rPr>
          <w:rFonts w:hint="eastAsia" w:ascii="宋体" w:hAnsi="宋体"/>
          <w:szCs w:val="21"/>
        </w:rPr>
        <w:t>日期：  年   月  日</w:t>
      </w:r>
    </w:p>
    <w:p>
      <w:pPr>
        <w:rPr>
          <w:rFonts w:ascii="宋体" w:hAnsi="宋体"/>
          <w:b/>
          <w:bCs/>
          <w:spacing w:val="14"/>
          <w:szCs w:val="28"/>
        </w:rPr>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投标项目实施人员情况一览表</w:t>
      </w:r>
    </w:p>
    <w:p>
      <w:pPr>
        <w:spacing w:line="360" w:lineRule="auto"/>
        <w:rPr>
          <w:rFonts w:ascii="仿宋" w:hAnsi="仿宋" w:eastAsia="仿宋"/>
          <w:szCs w:val="28"/>
        </w:rPr>
      </w:pPr>
    </w:p>
    <w:p>
      <w:pPr>
        <w:spacing w:line="360" w:lineRule="auto"/>
        <w:rPr>
          <w:rFonts w:ascii="仿宋" w:hAnsi="仿宋" w:eastAsia="仿宋"/>
          <w:szCs w:val="28"/>
        </w:rPr>
      </w:pPr>
      <w:r>
        <w:rPr>
          <w:rFonts w:hint="eastAsia" w:ascii="仿宋" w:hAnsi="仿宋" w:eastAsia="仿宋"/>
          <w:szCs w:val="28"/>
        </w:rPr>
        <w:t xml:space="preserve">投标人全称（签章）：               </w:t>
      </w:r>
      <w:r>
        <w:rPr>
          <w:rFonts w:ascii="仿宋" w:hAnsi="仿宋" w:eastAsia="仿宋"/>
          <w:szCs w:val="28"/>
        </w:rPr>
        <w:t>招标</w:t>
      </w:r>
      <w:r>
        <w:rPr>
          <w:rFonts w:hint="eastAsia" w:ascii="仿宋" w:hAnsi="仿宋" w:eastAsia="仿宋"/>
          <w:szCs w:val="28"/>
        </w:rPr>
        <w:t>文件</w:t>
      </w:r>
      <w:r>
        <w:rPr>
          <w:rFonts w:ascii="仿宋" w:hAnsi="仿宋" w:eastAsia="仿宋"/>
          <w:szCs w:val="28"/>
        </w:rPr>
        <w:t>编号：</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539"/>
        <w:gridCol w:w="1785"/>
        <w:gridCol w:w="1106"/>
        <w:gridCol w:w="950"/>
        <w:gridCol w:w="941"/>
        <w:gridCol w:w="165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543" w:type="dxa"/>
            <w:vAlign w:val="center"/>
          </w:tcPr>
          <w:p>
            <w:pPr>
              <w:spacing w:line="360" w:lineRule="auto"/>
              <w:jc w:val="center"/>
              <w:rPr>
                <w:rFonts w:ascii="仿宋" w:hAnsi="仿宋" w:eastAsia="仿宋"/>
                <w:szCs w:val="28"/>
              </w:rPr>
            </w:pPr>
            <w:r>
              <w:rPr>
                <w:rFonts w:hint="eastAsia" w:ascii="仿宋" w:hAnsi="仿宋" w:eastAsia="仿宋"/>
                <w:szCs w:val="28"/>
              </w:rPr>
              <w:t>序号</w:t>
            </w:r>
          </w:p>
        </w:tc>
        <w:tc>
          <w:tcPr>
            <w:tcW w:w="1539" w:type="dxa"/>
            <w:vAlign w:val="center"/>
          </w:tcPr>
          <w:p>
            <w:pPr>
              <w:spacing w:line="360" w:lineRule="auto"/>
              <w:jc w:val="center"/>
              <w:rPr>
                <w:rFonts w:ascii="仿宋" w:hAnsi="仿宋" w:eastAsia="仿宋"/>
                <w:szCs w:val="28"/>
              </w:rPr>
            </w:pPr>
            <w:r>
              <w:rPr>
                <w:rFonts w:hint="eastAsia" w:ascii="仿宋" w:hAnsi="仿宋" w:eastAsia="仿宋"/>
                <w:szCs w:val="28"/>
              </w:rPr>
              <w:t>姓名</w:t>
            </w:r>
          </w:p>
        </w:tc>
        <w:tc>
          <w:tcPr>
            <w:tcW w:w="1785" w:type="dxa"/>
            <w:vAlign w:val="center"/>
          </w:tcPr>
          <w:p>
            <w:pPr>
              <w:spacing w:line="360" w:lineRule="auto"/>
              <w:jc w:val="center"/>
              <w:rPr>
                <w:rFonts w:ascii="仿宋" w:hAnsi="仿宋" w:eastAsia="仿宋"/>
                <w:szCs w:val="28"/>
              </w:rPr>
            </w:pPr>
            <w:r>
              <w:rPr>
                <w:rFonts w:hint="eastAsia" w:ascii="仿宋" w:hAnsi="仿宋" w:eastAsia="仿宋"/>
                <w:szCs w:val="28"/>
              </w:rPr>
              <w:t>本项目中的职务</w:t>
            </w:r>
          </w:p>
        </w:tc>
        <w:tc>
          <w:tcPr>
            <w:tcW w:w="1106" w:type="dxa"/>
            <w:vAlign w:val="center"/>
          </w:tcPr>
          <w:p>
            <w:pPr>
              <w:spacing w:line="360" w:lineRule="auto"/>
              <w:jc w:val="center"/>
              <w:rPr>
                <w:rFonts w:ascii="仿宋" w:hAnsi="仿宋" w:eastAsia="仿宋"/>
                <w:szCs w:val="28"/>
              </w:rPr>
            </w:pPr>
            <w:r>
              <w:rPr>
                <w:rFonts w:hint="eastAsia" w:ascii="仿宋" w:hAnsi="仿宋" w:eastAsia="仿宋"/>
                <w:szCs w:val="28"/>
              </w:rPr>
              <w:t>持何种资格证件</w:t>
            </w:r>
          </w:p>
        </w:tc>
        <w:tc>
          <w:tcPr>
            <w:tcW w:w="950" w:type="dxa"/>
            <w:vAlign w:val="center"/>
          </w:tcPr>
          <w:p>
            <w:pPr>
              <w:spacing w:line="360" w:lineRule="auto"/>
              <w:jc w:val="center"/>
              <w:rPr>
                <w:rFonts w:ascii="仿宋" w:hAnsi="仿宋" w:eastAsia="仿宋"/>
                <w:szCs w:val="28"/>
              </w:rPr>
            </w:pPr>
            <w:r>
              <w:rPr>
                <w:rFonts w:hint="eastAsia" w:ascii="仿宋" w:hAnsi="仿宋" w:eastAsia="仿宋"/>
                <w:szCs w:val="28"/>
              </w:rPr>
              <w:t>职称</w:t>
            </w:r>
          </w:p>
        </w:tc>
        <w:tc>
          <w:tcPr>
            <w:tcW w:w="941" w:type="dxa"/>
            <w:vAlign w:val="center"/>
          </w:tcPr>
          <w:p>
            <w:pPr>
              <w:spacing w:line="360" w:lineRule="auto"/>
              <w:jc w:val="center"/>
              <w:rPr>
                <w:rFonts w:ascii="仿宋" w:hAnsi="仿宋" w:eastAsia="仿宋"/>
                <w:szCs w:val="28"/>
              </w:rPr>
            </w:pPr>
            <w:r>
              <w:rPr>
                <w:rFonts w:hint="eastAsia" w:ascii="仿宋" w:hAnsi="仿宋" w:eastAsia="仿宋"/>
                <w:szCs w:val="28"/>
              </w:rPr>
              <w:t>从事本工作时间</w:t>
            </w:r>
          </w:p>
        </w:tc>
        <w:tc>
          <w:tcPr>
            <w:tcW w:w="1657" w:type="dxa"/>
            <w:vAlign w:val="center"/>
          </w:tcPr>
          <w:p>
            <w:pPr>
              <w:spacing w:line="360" w:lineRule="auto"/>
              <w:jc w:val="center"/>
              <w:rPr>
                <w:rFonts w:ascii="仿宋" w:hAnsi="仿宋" w:eastAsia="仿宋"/>
                <w:szCs w:val="28"/>
              </w:rPr>
            </w:pPr>
            <w:r>
              <w:rPr>
                <w:rFonts w:hint="eastAsia" w:ascii="仿宋" w:hAnsi="仿宋" w:eastAsia="仿宋"/>
                <w:szCs w:val="28"/>
              </w:rPr>
              <w:t>期间有无出现重大事故</w:t>
            </w:r>
          </w:p>
        </w:tc>
        <w:tc>
          <w:tcPr>
            <w:tcW w:w="1016" w:type="dxa"/>
            <w:vAlign w:val="center"/>
          </w:tcPr>
          <w:p>
            <w:pPr>
              <w:spacing w:line="360" w:lineRule="auto"/>
              <w:jc w:val="center"/>
              <w:rPr>
                <w:rFonts w:ascii="仿宋" w:hAnsi="仿宋" w:eastAsia="仿宋"/>
                <w:szCs w:val="28"/>
              </w:rPr>
            </w:pPr>
            <w:r>
              <w:rPr>
                <w:rFonts w:hint="eastAsia" w:ascii="仿宋" w:hAnsi="仿宋" w:eastAsia="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543" w:type="dxa"/>
            <w:vAlign w:val="center"/>
          </w:tcPr>
          <w:p>
            <w:pPr>
              <w:spacing w:line="480" w:lineRule="exact"/>
              <w:jc w:val="center"/>
              <w:rPr>
                <w:rFonts w:ascii="宋体" w:hAnsi="宋体"/>
                <w:szCs w:val="28"/>
              </w:rPr>
            </w:pPr>
          </w:p>
        </w:tc>
        <w:tc>
          <w:tcPr>
            <w:tcW w:w="1539" w:type="dxa"/>
            <w:vAlign w:val="center"/>
          </w:tcPr>
          <w:p>
            <w:pPr>
              <w:spacing w:line="480" w:lineRule="exact"/>
              <w:jc w:val="center"/>
              <w:rPr>
                <w:rFonts w:ascii="宋体" w:hAnsi="宋体"/>
                <w:szCs w:val="28"/>
              </w:rPr>
            </w:pPr>
          </w:p>
        </w:tc>
        <w:tc>
          <w:tcPr>
            <w:tcW w:w="1785" w:type="dxa"/>
            <w:vAlign w:val="center"/>
          </w:tcPr>
          <w:p>
            <w:pPr>
              <w:spacing w:line="480" w:lineRule="exact"/>
              <w:jc w:val="center"/>
              <w:rPr>
                <w:rFonts w:ascii="宋体" w:hAnsi="宋体"/>
                <w:szCs w:val="28"/>
              </w:rPr>
            </w:pPr>
            <w:r>
              <w:rPr>
                <w:rFonts w:hint="eastAsia" w:ascii="宋体" w:hAnsi="宋体"/>
                <w:szCs w:val="28"/>
              </w:rPr>
              <w:t>项目负责人</w:t>
            </w:r>
          </w:p>
        </w:tc>
        <w:tc>
          <w:tcPr>
            <w:tcW w:w="1106" w:type="dxa"/>
            <w:vAlign w:val="center"/>
          </w:tcPr>
          <w:p>
            <w:pPr>
              <w:spacing w:line="480" w:lineRule="exact"/>
              <w:jc w:val="center"/>
              <w:rPr>
                <w:rFonts w:ascii="宋体" w:hAnsi="宋体"/>
                <w:szCs w:val="28"/>
              </w:rPr>
            </w:pPr>
          </w:p>
        </w:tc>
        <w:tc>
          <w:tcPr>
            <w:tcW w:w="950" w:type="dxa"/>
            <w:vAlign w:val="center"/>
          </w:tcPr>
          <w:p>
            <w:pPr>
              <w:spacing w:line="480" w:lineRule="exact"/>
              <w:jc w:val="center"/>
              <w:rPr>
                <w:rFonts w:ascii="宋体" w:hAnsi="宋体"/>
                <w:szCs w:val="28"/>
              </w:rPr>
            </w:pPr>
          </w:p>
        </w:tc>
        <w:tc>
          <w:tcPr>
            <w:tcW w:w="941" w:type="dxa"/>
            <w:vAlign w:val="center"/>
          </w:tcPr>
          <w:p>
            <w:pPr>
              <w:spacing w:line="480" w:lineRule="exact"/>
              <w:jc w:val="center"/>
              <w:rPr>
                <w:rFonts w:ascii="宋体" w:hAnsi="宋体"/>
                <w:szCs w:val="28"/>
              </w:rPr>
            </w:pPr>
          </w:p>
        </w:tc>
        <w:tc>
          <w:tcPr>
            <w:tcW w:w="1657" w:type="dxa"/>
            <w:vAlign w:val="center"/>
          </w:tcPr>
          <w:p>
            <w:pPr>
              <w:spacing w:line="480" w:lineRule="exact"/>
              <w:jc w:val="center"/>
              <w:rPr>
                <w:rFonts w:ascii="宋体" w:hAnsi="宋体"/>
                <w:szCs w:val="28"/>
              </w:rPr>
            </w:pPr>
          </w:p>
        </w:tc>
        <w:tc>
          <w:tcPr>
            <w:tcW w:w="1016" w:type="dxa"/>
            <w:vAlign w:val="center"/>
          </w:tcPr>
          <w:p>
            <w:pPr>
              <w:spacing w:line="48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543" w:type="dxa"/>
            <w:vAlign w:val="center"/>
          </w:tcPr>
          <w:p>
            <w:pPr>
              <w:spacing w:line="480" w:lineRule="exact"/>
              <w:jc w:val="center"/>
              <w:rPr>
                <w:rFonts w:ascii="宋体" w:hAnsi="宋体"/>
                <w:szCs w:val="28"/>
              </w:rPr>
            </w:pPr>
          </w:p>
        </w:tc>
        <w:tc>
          <w:tcPr>
            <w:tcW w:w="1539" w:type="dxa"/>
            <w:vAlign w:val="center"/>
          </w:tcPr>
          <w:p>
            <w:pPr>
              <w:spacing w:line="480" w:lineRule="exact"/>
              <w:jc w:val="center"/>
              <w:rPr>
                <w:rFonts w:ascii="宋体" w:hAnsi="宋体"/>
                <w:szCs w:val="28"/>
              </w:rPr>
            </w:pPr>
          </w:p>
        </w:tc>
        <w:tc>
          <w:tcPr>
            <w:tcW w:w="1785" w:type="dxa"/>
            <w:vAlign w:val="center"/>
          </w:tcPr>
          <w:p>
            <w:pPr>
              <w:spacing w:line="480" w:lineRule="exact"/>
              <w:jc w:val="center"/>
              <w:rPr>
                <w:rFonts w:ascii="宋体" w:hAnsi="宋体"/>
                <w:szCs w:val="28"/>
              </w:rPr>
            </w:pPr>
            <w:r>
              <w:rPr>
                <w:rFonts w:hint="eastAsia" w:ascii="宋体" w:hAnsi="宋体"/>
                <w:szCs w:val="28"/>
              </w:rPr>
              <w:t>技术负责人</w:t>
            </w:r>
          </w:p>
        </w:tc>
        <w:tc>
          <w:tcPr>
            <w:tcW w:w="1106" w:type="dxa"/>
            <w:vAlign w:val="center"/>
          </w:tcPr>
          <w:p>
            <w:pPr>
              <w:spacing w:line="480" w:lineRule="exact"/>
              <w:jc w:val="center"/>
              <w:rPr>
                <w:rFonts w:ascii="宋体" w:hAnsi="宋体"/>
                <w:szCs w:val="28"/>
              </w:rPr>
            </w:pPr>
          </w:p>
        </w:tc>
        <w:tc>
          <w:tcPr>
            <w:tcW w:w="950" w:type="dxa"/>
            <w:vAlign w:val="center"/>
          </w:tcPr>
          <w:p>
            <w:pPr>
              <w:spacing w:line="480" w:lineRule="exact"/>
              <w:jc w:val="center"/>
              <w:rPr>
                <w:rFonts w:ascii="宋体" w:hAnsi="宋体"/>
                <w:szCs w:val="28"/>
              </w:rPr>
            </w:pPr>
          </w:p>
        </w:tc>
        <w:tc>
          <w:tcPr>
            <w:tcW w:w="941" w:type="dxa"/>
            <w:vAlign w:val="center"/>
          </w:tcPr>
          <w:p>
            <w:pPr>
              <w:spacing w:line="480" w:lineRule="exact"/>
              <w:jc w:val="center"/>
              <w:rPr>
                <w:rFonts w:ascii="宋体" w:hAnsi="宋体"/>
                <w:szCs w:val="28"/>
              </w:rPr>
            </w:pPr>
          </w:p>
        </w:tc>
        <w:tc>
          <w:tcPr>
            <w:tcW w:w="1657" w:type="dxa"/>
            <w:vAlign w:val="center"/>
          </w:tcPr>
          <w:p>
            <w:pPr>
              <w:spacing w:line="480" w:lineRule="exact"/>
              <w:jc w:val="center"/>
              <w:rPr>
                <w:rFonts w:ascii="宋体" w:hAnsi="宋体"/>
                <w:szCs w:val="28"/>
              </w:rPr>
            </w:pPr>
          </w:p>
        </w:tc>
        <w:tc>
          <w:tcPr>
            <w:tcW w:w="1016" w:type="dxa"/>
            <w:vAlign w:val="center"/>
          </w:tcPr>
          <w:p>
            <w:pPr>
              <w:spacing w:line="48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543" w:type="dxa"/>
            <w:vAlign w:val="center"/>
          </w:tcPr>
          <w:p>
            <w:pPr>
              <w:spacing w:line="480" w:lineRule="exact"/>
              <w:jc w:val="center"/>
              <w:rPr>
                <w:rFonts w:ascii="宋体" w:hAnsi="宋体"/>
                <w:szCs w:val="28"/>
              </w:rPr>
            </w:pPr>
          </w:p>
        </w:tc>
        <w:tc>
          <w:tcPr>
            <w:tcW w:w="1539" w:type="dxa"/>
            <w:vAlign w:val="center"/>
          </w:tcPr>
          <w:p>
            <w:pPr>
              <w:spacing w:line="480" w:lineRule="exact"/>
              <w:jc w:val="center"/>
              <w:rPr>
                <w:rFonts w:ascii="宋体" w:hAnsi="宋体"/>
                <w:szCs w:val="28"/>
              </w:rPr>
            </w:pPr>
          </w:p>
        </w:tc>
        <w:tc>
          <w:tcPr>
            <w:tcW w:w="1785" w:type="dxa"/>
            <w:vAlign w:val="center"/>
          </w:tcPr>
          <w:p>
            <w:pPr>
              <w:spacing w:line="480" w:lineRule="exact"/>
              <w:jc w:val="center"/>
              <w:rPr>
                <w:rFonts w:ascii="宋体" w:hAnsi="宋体"/>
                <w:szCs w:val="28"/>
              </w:rPr>
            </w:pPr>
            <w:r>
              <w:rPr>
                <w:rFonts w:hint="eastAsia" w:ascii="宋体" w:hAnsi="宋体"/>
                <w:szCs w:val="28"/>
              </w:rPr>
              <w:t>……</w:t>
            </w:r>
          </w:p>
        </w:tc>
        <w:tc>
          <w:tcPr>
            <w:tcW w:w="1106" w:type="dxa"/>
            <w:vAlign w:val="center"/>
          </w:tcPr>
          <w:p>
            <w:pPr>
              <w:spacing w:line="480" w:lineRule="exact"/>
              <w:jc w:val="center"/>
              <w:rPr>
                <w:rFonts w:ascii="宋体" w:hAnsi="宋体"/>
                <w:szCs w:val="28"/>
              </w:rPr>
            </w:pPr>
          </w:p>
        </w:tc>
        <w:tc>
          <w:tcPr>
            <w:tcW w:w="950" w:type="dxa"/>
            <w:vAlign w:val="center"/>
          </w:tcPr>
          <w:p>
            <w:pPr>
              <w:spacing w:line="480" w:lineRule="exact"/>
              <w:jc w:val="center"/>
              <w:rPr>
                <w:rFonts w:ascii="宋体" w:hAnsi="宋体"/>
                <w:szCs w:val="28"/>
              </w:rPr>
            </w:pPr>
          </w:p>
        </w:tc>
        <w:tc>
          <w:tcPr>
            <w:tcW w:w="941" w:type="dxa"/>
            <w:vAlign w:val="center"/>
          </w:tcPr>
          <w:p>
            <w:pPr>
              <w:spacing w:line="480" w:lineRule="exact"/>
              <w:jc w:val="center"/>
              <w:rPr>
                <w:rFonts w:ascii="宋体" w:hAnsi="宋体"/>
                <w:szCs w:val="28"/>
              </w:rPr>
            </w:pPr>
          </w:p>
        </w:tc>
        <w:tc>
          <w:tcPr>
            <w:tcW w:w="1657" w:type="dxa"/>
            <w:vAlign w:val="center"/>
          </w:tcPr>
          <w:p>
            <w:pPr>
              <w:spacing w:line="480" w:lineRule="exact"/>
              <w:jc w:val="center"/>
              <w:rPr>
                <w:rFonts w:ascii="宋体" w:hAnsi="宋体"/>
                <w:szCs w:val="28"/>
              </w:rPr>
            </w:pPr>
          </w:p>
        </w:tc>
        <w:tc>
          <w:tcPr>
            <w:tcW w:w="1016" w:type="dxa"/>
            <w:vAlign w:val="center"/>
          </w:tcPr>
          <w:p>
            <w:pPr>
              <w:spacing w:line="48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0" w:hRule="atLeast"/>
        </w:trPr>
        <w:tc>
          <w:tcPr>
            <w:tcW w:w="543" w:type="dxa"/>
            <w:vAlign w:val="center"/>
          </w:tcPr>
          <w:p>
            <w:pPr>
              <w:spacing w:line="480" w:lineRule="exact"/>
              <w:jc w:val="center"/>
              <w:rPr>
                <w:rFonts w:ascii="宋体" w:hAnsi="宋体"/>
                <w:szCs w:val="28"/>
              </w:rPr>
            </w:pPr>
          </w:p>
        </w:tc>
        <w:tc>
          <w:tcPr>
            <w:tcW w:w="1539" w:type="dxa"/>
            <w:vAlign w:val="center"/>
          </w:tcPr>
          <w:p>
            <w:pPr>
              <w:spacing w:line="480" w:lineRule="exact"/>
              <w:jc w:val="center"/>
              <w:rPr>
                <w:rFonts w:ascii="宋体" w:hAnsi="宋体"/>
                <w:szCs w:val="28"/>
              </w:rPr>
            </w:pPr>
          </w:p>
        </w:tc>
        <w:tc>
          <w:tcPr>
            <w:tcW w:w="1785" w:type="dxa"/>
            <w:vAlign w:val="center"/>
          </w:tcPr>
          <w:p>
            <w:pPr>
              <w:spacing w:line="480" w:lineRule="exact"/>
              <w:jc w:val="center"/>
              <w:rPr>
                <w:rFonts w:ascii="宋体" w:hAnsi="宋体"/>
                <w:szCs w:val="28"/>
              </w:rPr>
            </w:pPr>
            <w:r>
              <w:rPr>
                <w:rFonts w:hint="eastAsia" w:ascii="宋体" w:hAnsi="宋体"/>
                <w:szCs w:val="28"/>
              </w:rPr>
              <w:t>……</w:t>
            </w:r>
          </w:p>
        </w:tc>
        <w:tc>
          <w:tcPr>
            <w:tcW w:w="1106" w:type="dxa"/>
            <w:vAlign w:val="center"/>
          </w:tcPr>
          <w:p>
            <w:pPr>
              <w:spacing w:line="480" w:lineRule="exact"/>
              <w:jc w:val="center"/>
              <w:rPr>
                <w:rFonts w:ascii="宋体" w:hAnsi="宋体"/>
                <w:szCs w:val="28"/>
              </w:rPr>
            </w:pPr>
          </w:p>
        </w:tc>
        <w:tc>
          <w:tcPr>
            <w:tcW w:w="950" w:type="dxa"/>
            <w:vAlign w:val="center"/>
          </w:tcPr>
          <w:p>
            <w:pPr>
              <w:spacing w:line="480" w:lineRule="exact"/>
              <w:jc w:val="center"/>
              <w:rPr>
                <w:rFonts w:ascii="宋体" w:hAnsi="宋体"/>
                <w:szCs w:val="28"/>
              </w:rPr>
            </w:pPr>
          </w:p>
        </w:tc>
        <w:tc>
          <w:tcPr>
            <w:tcW w:w="941" w:type="dxa"/>
            <w:vAlign w:val="center"/>
          </w:tcPr>
          <w:p>
            <w:pPr>
              <w:spacing w:line="480" w:lineRule="exact"/>
              <w:jc w:val="center"/>
              <w:rPr>
                <w:rFonts w:ascii="宋体" w:hAnsi="宋体"/>
                <w:szCs w:val="28"/>
              </w:rPr>
            </w:pPr>
          </w:p>
        </w:tc>
        <w:tc>
          <w:tcPr>
            <w:tcW w:w="1657" w:type="dxa"/>
            <w:vAlign w:val="center"/>
          </w:tcPr>
          <w:p>
            <w:pPr>
              <w:spacing w:line="480" w:lineRule="exact"/>
              <w:jc w:val="center"/>
              <w:rPr>
                <w:rFonts w:ascii="宋体" w:hAnsi="宋体"/>
                <w:szCs w:val="28"/>
              </w:rPr>
            </w:pPr>
          </w:p>
        </w:tc>
        <w:tc>
          <w:tcPr>
            <w:tcW w:w="1016" w:type="dxa"/>
            <w:vAlign w:val="center"/>
          </w:tcPr>
          <w:p>
            <w:pPr>
              <w:spacing w:line="48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543" w:type="dxa"/>
            <w:vAlign w:val="center"/>
          </w:tcPr>
          <w:p>
            <w:pPr>
              <w:spacing w:line="480" w:lineRule="exact"/>
              <w:jc w:val="center"/>
              <w:rPr>
                <w:rFonts w:ascii="宋体" w:hAnsi="宋体"/>
                <w:szCs w:val="28"/>
              </w:rPr>
            </w:pPr>
          </w:p>
        </w:tc>
        <w:tc>
          <w:tcPr>
            <w:tcW w:w="1539" w:type="dxa"/>
            <w:vAlign w:val="center"/>
          </w:tcPr>
          <w:p>
            <w:pPr>
              <w:spacing w:line="480" w:lineRule="exact"/>
              <w:jc w:val="center"/>
              <w:rPr>
                <w:rFonts w:ascii="宋体" w:hAnsi="宋体"/>
                <w:szCs w:val="28"/>
              </w:rPr>
            </w:pPr>
          </w:p>
        </w:tc>
        <w:tc>
          <w:tcPr>
            <w:tcW w:w="1785" w:type="dxa"/>
            <w:vAlign w:val="center"/>
          </w:tcPr>
          <w:p>
            <w:pPr>
              <w:spacing w:line="480" w:lineRule="exact"/>
              <w:jc w:val="center"/>
              <w:rPr>
                <w:rFonts w:ascii="宋体" w:hAnsi="宋体"/>
                <w:szCs w:val="28"/>
              </w:rPr>
            </w:pPr>
          </w:p>
        </w:tc>
        <w:tc>
          <w:tcPr>
            <w:tcW w:w="1106" w:type="dxa"/>
            <w:vAlign w:val="center"/>
          </w:tcPr>
          <w:p>
            <w:pPr>
              <w:spacing w:line="480" w:lineRule="exact"/>
              <w:jc w:val="center"/>
              <w:rPr>
                <w:rFonts w:ascii="宋体" w:hAnsi="宋体"/>
                <w:szCs w:val="28"/>
              </w:rPr>
            </w:pPr>
          </w:p>
        </w:tc>
        <w:tc>
          <w:tcPr>
            <w:tcW w:w="950" w:type="dxa"/>
            <w:vAlign w:val="center"/>
          </w:tcPr>
          <w:p>
            <w:pPr>
              <w:spacing w:line="480" w:lineRule="exact"/>
              <w:jc w:val="center"/>
              <w:rPr>
                <w:rFonts w:ascii="宋体" w:hAnsi="宋体"/>
                <w:szCs w:val="28"/>
              </w:rPr>
            </w:pPr>
          </w:p>
        </w:tc>
        <w:tc>
          <w:tcPr>
            <w:tcW w:w="941" w:type="dxa"/>
            <w:vAlign w:val="center"/>
          </w:tcPr>
          <w:p>
            <w:pPr>
              <w:spacing w:line="480" w:lineRule="exact"/>
              <w:jc w:val="center"/>
              <w:rPr>
                <w:rFonts w:ascii="宋体" w:hAnsi="宋体"/>
                <w:szCs w:val="28"/>
              </w:rPr>
            </w:pPr>
          </w:p>
        </w:tc>
        <w:tc>
          <w:tcPr>
            <w:tcW w:w="1657" w:type="dxa"/>
            <w:vAlign w:val="center"/>
          </w:tcPr>
          <w:p>
            <w:pPr>
              <w:spacing w:line="480" w:lineRule="exact"/>
              <w:jc w:val="center"/>
              <w:rPr>
                <w:rFonts w:ascii="宋体" w:hAnsi="宋体"/>
                <w:szCs w:val="28"/>
              </w:rPr>
            </w:pPr>
          </w:p>
        </w:tc>
        <w:tc>
          <w:tcPr>
            <w:tcW w:w="1016" w:type="dxa"/>
            <w:vAlign w:val="center"/>
          </w:tcPr>
          <w:p>
            <w:pPr>
              <w:spacing w:line="48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543" w:type="dxa"/>
            <w:vAlign w:val="center"/>
          </w:tcPr>
          <w:p>
            <w:pPr>
              <w:spacing w:line="480" w:lineRule="exact"/>
              <w:jc w:val="center"/>
              <w:rPr>
                <w:rFonts w:ascii="宋体" w:hAnsi="宋体"/>
                <w:szCs w:val="28"/>
              </w:rPr>
            </w:pPr>
          </w:p>
        </w:tc>
        <w:tc>
          <w:tcPr>
            <w:tcW w:w="1539" w:type="dxa"/>
            <w:vAlign w:val="center"/>
          </w:tcPr>
          <w:p>
            <w:pPr>
              <w:spacing w:line="480" w:lineRule="exact"/>
              <w:jc w:val="center"/>
              <w:rPr>
                <w:rFonts w:ascii="宋体" w:hAnsi="宋体"/>
                <w:szCs w:val="28"/>
              </w:rPr>
            </w:pPr>
          </w:p>
        </w:tc>
        <w:tc>
          <w:tcPr>
            <w:tcW w:w="1785" w:type="dxa"/>
            <w:vAlign w:val="center"/>
          </w:tcPr>
          <w:p>
            <w:pPr>
              <w:spacing w:line="480" w:lineRule="exact"/>
              <w:jc w:val="center"/>
              <w:rPr>
                <w:rFonts w:ascii="宋体" w:hAnsi="宋体"/>
                <w:szCs w:val="28"/>
              </w:rPr>
            </w:pPr>
          </w:p>
        </w:tc>
        <w:tc>
          <w:tcPr>
            <w:tcW w:w="1106" w:type="dxa"/>
            <w:vAlign w:val="center"/>
          </w:tcPr>
          <w:p>
            <w:pPr>
              <w:spacing w:line="480" w:lineRule="exact"/>
              <w:jc w:val="center"/>
              <w:rPr>
                <w:rFonts w:ascii="宋体" w:hAnsi="宋体"/>
                <w:szCs w:val="28"/>
              </w:rPr>
            </w:pPr>
          </w:p>
        </w:tc>
        <w:tc>
          <w:tcPr>
            <w:tcW w:w="950" w:type="dxa"/>
            <w:vAlign w:val="center"/>
          </w:tcPr>
          <w:p>
            <w:pPr>
              <w:spacing w:line="480" w:lineRule="exact"/>
              <w:jc w:val="center"/>
              <w:rPr>
                <w:rFonts w:ascii="宋体" w:hAnsi="宋体"/>
                <w:szCs w:val="28"/>
              </w:rPr>
            </w:pPr>
          </w:p>
        </w:tc>
        <w:tc>
          <w:tcPr>
            <w:tcW w:w="941" w:type="dxa"/>
            <w:vAlign w:val="center"/>
          </w:tcPr>
          <w:p>
            <w:pPr>
              <w:spacing w:line="480" w:lineRule="exact"/>
              <w:jc w:val="center"/>
              <w:rPr>
                <w:rFonts w:ascii="宋体" w:hAnsi="宋体"/>
                <w:szCs w:val="28"/>
              </w:rPr>
            </w:pPr>
          </w:p>
        </w:tc>
        <w:tc>
          <w:tcPr>
            <w:tcW w:w="1657" w:type="dxa"/>
            <w:vAlign w:val="center"/>
          </w:tcPr>
          <w:p>
            <w:pPr>
              <w:spacing w:line="480" w:lineRule="exact"/>
              <w:jc w:val="center"/>
              <w:rPr>
                <w:rFonts w:ascii="宋体" w:hAnsi="宋体"/>
                <w:szCs w:val="28"/>
              </w:rPr>
            </w:pPr>
          </w:p>
        </w:tc>
        <w:tc>
          <w:tcPr>
            <w:tcW w:w="1016" w:type="dxa"/>
            <w:vAlign w:val="center"/>
          </w:tcPr>
          <w:p>
            <w:pPr>
              <w:spacing w:line="48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543" w:type="dxa"/>
            <w:vAlign w:val="center"/>
          </w:tcPr>
          <w:p>
            <w:pPr>
              <w:spacing w:line="480" w:lineRule="exact"/>
              <w:jc w:val="center"/>
              <w:rPr>
                <w:rFonts w:ascii="宋体" w:hAnsi="宋体"/>
                <w:szCs w:val="28"/>
              </w:rPr>
            </w:pPr>
          </w:p>
        </w:tc>
        <w:tc>
          <w:tcPr>
            <w:tcW w:w="1539" w:type="dxa"/>
            <w:vAlign w:val="center"/>
          </w:tcPr>
          <w:p>
            <w:pPr>
              <w:spacing w:line="480" w:lineRule="exact"/>
              <w:jc w:val="center"/>
              <w:rPr>
                <w:rFonts w:ascii="宋体" w:hAnsi="宋体"/>
                <w:szCs w:val="28"/>
              </w:rPr>
            </w:pPr>
          </w:p>
        </w:tc>
        <w:tc>
          <w:tcPr>
            <w:tcW w:w="1785" w:type="dxa"/>
            <w:vAlign w:val="center"/>
          </w:tcPr>
          <w:p>
            <w:pPr>
              <w:spacing w:line="480" w:lineRule="exact"/>
              <w:jc w:val="center"/>
              <w:rPr>
                <w:rFonts w:ascii="宋体" w:hAnsi="宋体"/>
                <w:szCs w:val="28"/>
              </w:rPr>
            </w:pPr>
          </w:p>
        </w:tc>
        <w:tc>
          <w:tcPr>
            <w:tcW w:w="1106" w:type="dxa"/>
            <w:vAlign w:val="center"/>
          </w:tcPr>
          <w:p>
            <w:pPr>
              <w:spacing w:line="480" w:lineRule="exact"/>
              <w:jc w:val="center"/>
              <w:rPr>
                <w:rFonts w:ascii="宋体" w:hAnsi="宋体"/>
                <w:szCs w:val="28"/>
              </w:rPr>
            </w:pPr>
          </w:p>
        </w:tc>
        <w:tc>
          <w:tcPr>
            <w:tcW w:w="950" w:type="dxa"/>
            <w:vAlign w:val="center"/>
          </w:tcPr>
          <w:p>
            <w:pPr>
              <w:spacing w:line="480" w:lineRule="exact"/>
              <w:jc w:val="center"/>
              <w:rPr>
                <w:rFonts w:ascii="宋体" w:hAnsi="宋体"/>
                <w:szCs w:val="28"/>
              </w:rPr>
            </w:pPr>
          </w:p>
        </w:tc>
        <w:tc>
          <w:tcPr>
            <w:tcW w:w="941" w:type="dxa"/>
            <w:vAlign w:val="center"/>
          </w:tcPr>
          <w:p>
            <w:pPr>
              <w:spacing w:line="480" w:lineRule="exact"/>
              <w:jc w:val="center"/>
              <w:rPr>
                <w:rFonts w:ascii="宋体" w:hAnsi="宋体"/>
                <w:szCs w:val="28"/>
              </w:rPr>
            </w:pPr>
          </w:p>
        </w:tc>
        <w:tc>
          <w:tcPr>
            <w:tcW w:w="1657" w:type="dxa"/>
            <w:vAlign w:val="center"/>
          </w:tcPr>
          <w:p>
            <w:pPr>
              <w:spacing w:line="480" w:lineRule="exact"/>
              <w:jc w:val="center"/>
              <w:rPr>
                <w:rFonts w:ascii="宋体" w:hAnsi="宋体"/>
                <w:szCs w:val="28"/>
              </w:rPr>
            </w:pPr>
          </w:p>
        </w:tc>
        <w:tc>
          <w:tcPr>
            <w:tcW w:w="1016" w:type="dxa"/>
            <w:vAlign w:val="center"/>
          </w:tcPr>
          <w:p>
            <w:pPr>
              <w:spacing w:line="48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43" w:type="dxa"/>
            <w:vAlign w:val="center"/>
          </w:tcPr>
          <w:p>
            <w:pPr>
              <w:spacing w:line="480" w:lineRule="exact"/>
              <w:jc w:val="center"/>
              <w:rPr>
                <w:rFonts w:ascii="宋体" w:hAnsi="宋体"/>
                <w:szCs w:val="28"/>
              </w:rPr>
            </w:pPr>
          </w:p>
        </w:tc>
        <w:tc>
          <w:tcPr>
            <w:tcW w:w="1539" w:type="dxa"/>
            <w:vAlign w:val="center"/>
          </w:tcPr>
          <w:p>
            <w:pPr>
              <w:spacing w:line="480" w:lineRule="exact"/>
              <w:jc w:val="center"/>
              <w:rPr>
                <w:rFonts w:ascii="宋体" w:hAnsi="宋体"/>
                <w:szCs w:val="28"/>
              </w:rPr>
            </w:pPr>
          </w:p>
        </w:tc>
        <w:tc>
          <w:tcPr>
            <w:tcW w:w="1785" w:type="dxa"/>
            <w:vAlign w:val="center"/>
          </w:tcPr>
          <w:p>
            <w:pPr>
              <w:spacing w:line="480" w:lineRule="exact"/>
              <w:jc w:val="center"/>
              <w:rPr>
                <w:rFonts w:ascii="宋体" w:hAnsi="宋体"/>
                <w:szCs w:val="28"/>
              </w:rPr>
            </w:pPr>
          </w:p>
        </w:tc>
        <w:tc>
          <w:tcPr>
            <w:tcW w:w="1106" w:type="dxa"/>
            <w:vAlign w:val="center"/>
          </w:tcPr>
          <w:p>
            <w:pPr>
              <w:spacing w:line="480" w:lineRule="exact"/>
              <w:jc w:val="center"/>
              <w:rPr>
                <w:rFonts w:ascii="宋体" w:hAnsi="宋体"/>
                <w:szCs w:val="28"/>
              </w:rPr>
            </w:pPr>
          </w:p>
        </w:tc>
        <w:tc>
          <w:tcPr>
            <w:tcW w:w="950" w:type="dxa"/>
            <w:vAlign w:val="center"/>
          </w:tcPr>
          <w:p>
            <w:pPr>
              <w:spacing w:line="480" w:lineRule="exact"/>
              <w:jc w:val="center"/>
              <w:rPr>
                <w:rFonts w:ascii="宋体" w:hAnsi="宋体"/>
                <w:szCs w:val="28"/>
              </w:rPr>
            </w:pPr>
          </w:p>
        </w:tc>
        <w:tc>
          <w:tcPr>
            <w:tcW w:w="941" w:type="dxa"/>
            <w:vAlign w:val="center"/>
          </w:tcPr>
          <w:p>
            <w:pPr>
              <w:spacing w:line="480" w:lineRule="exact"/>
              <w:jc w:val="center"/>
              <w:rPr>
                <w:rFonts w:ascii="宋体" w:hAnsi="宋体"/>
                <w:szCs w:val="28"/>
              </w:rPr>
            </w:pPr>
          </w:p>
        </w:tc>
        <w:tc>
          <w:tcPr>
            <w:tcW w:w="1657" w:type="dxa"/>
            <w:vAlign w:val="center"/>
          </w:tcPr>
          <w:p>
            <w:pPr>
              <w:spacing w:line="480" w:lineRule="exact"/>
              <w:jc w:val="center"/>
              <w:rPr>
                <w:rFonts w:ascii="宋体" w:hAnsi="宋体"/>
                <w:szCs w:val="28"/>
              </w:rPr>
            </w:pPr>
          </w:p>
        </w:tc>
        <w:tc>
          <w:tcPr>
            <w:tcW w:w="1016" w:type="dxa"/>
            <w:vAlign w:val="center"/>
          </w:tcPr>
          <w:p>
            <w:pPr>
              <w:spacing w:line="480" w:lineRule="exact"/>
              <w:jc w:val="center"/>
              <w:rPr>
                <w:rFonts w:ascii="宋体" w:hAnsi="宋体"/>
                <w:szCs w:val="28"/>
              </w:rPr>
            </w:pPr>
          </w:p>
        </w:tc>
      </w:tr>
    </w:tbl>
    <w:p>
      <w:pPr>
        <w:pStyle w:val="21"/>
        <w:ind w:firstLine="280"/>
      </w:pPr>
    </w:p>
    <w:p>
      <w:pPr>
        <w:pStyle w:val="21"/>
        <w:ind w:firstLine="240"/>
        <w:rPr>
          <w:rFonts w:ascii="宋体" w:hAnsi="宋体" w:cs="宋体"/>
          <w:sz w:val="24"/>
          <w:szCs w:val="24"/>
        </w:rPr>
      </w:pPr>
      <w:r>
        <w:rPr>
          <w:rFonts w:hint="eastAsia" w:ascii="宋体" w:hAnsi="宋体" w:cs="宋体"/>
          <w:sz w:val="24"/>
          <w:szCs w:val="24"/>
        </w:rPr>
        <w:t>注：1、按照招标文件要求随表提交相应的证书、社保证明（加盖签章）。</w:t>
      </w:r>
    </w:p>
    <w:p>
      <w:pPr>
        <w:spacing w:line="480" w:lineRule="exact"/>
        <w:jc w:val="center"/>
        <w:rPr>
          <w:rFonts w:ascii="宋体" w:hAnsi="宋体" w:cs="宋体"/>
          <w:b/>
          <w:bCs/>
          <w:sz w:val="24"/>
        </w:rPr>
      </w:pPr>
      <w:r>
        <w:rPr>
          <w:rFonts w:hint="eastAsia" w:ascii="宋体" w:hAnsi="宋体" w:cs="宋体"/>
          <w:sz w:val="24"/>
        </w:rPr>
        <w:t>2、此表仅提供了表格形式，投标供应商应根据需要准备足够数量的表格来填写。</w:t>
      </w:r>
    </w:p>
    <w:p>
      <w:pPr>
        <w:spacing w:line="380" w:lineRule="exact"/>
        <w:jc w:val="left"/>
        <w:rPr>
          <w:rFonts w:ascii="宋体" w:hAnsi="宋体" w:cs="宋体"/>
          <w:szCs w:val="21"/>
        </w:rPr>
      </w:pPr>
    </w:p>
    <w:p>
      <w:pPr>
        <w:spacing w:line="380" w:lineRule="exact"/>
        <w:jc w:val="left"/>
        <w:rPr>
          <w:rFonts w:ascii="宋体" w:hAnsi="宋体" w:cs="宋体"/>
          <w:szCs w:val="21"/>
        </w:rPr>
      </w:pPr>
      <w:r>
        <w:rPr>
          <w:rFonts w:hint="eastAsia" w:ascii="宋体" w:hAnsi="宋体" w:cs="宋体"/>
          <w:szCs w:val="21"/>
        </w:rPr>
        <w:t xml:space="preserve">投标人全称（签章）：    </w:t>
      </w:r>
    </w:p>
    <w:p>
      <w:pPr>
        <w:spacing w:line="380" w:lineRule="exact"/>
        <w:jc w:val="left"/>
        <w:rPr>
          <w:rFonts w:ascii="宋体" w:hAnsi="宋体" w:cs="宋体"/>
          <w:szCs w:val="21"/>
        </w:rPr>
      </w:pPr>
      <w:r>
        <w:rPr>
          <w:rFonts w:hint="eastAsia" w:ascii="宋体" w:hAnsi="宋体" w:cs="宋体"/>
          <w:szCs w:val="21"/>
        </w:rPr>
        <w:t>法定代表人或授权代表（签字）：</w:t>
      </w:r>
    </w:p>
    <w:p>
      <w:pPr>
        <w:spacing w:line="380" w:lineRule="exact"/>
        <w:jc w:val="left"/>
        <w:rPr>
          <w:rFonts w:ascii="宋体" w:hAnsi="宋体" w:cs="宋体"/>
        </w:rPr>
      </w:pPr>
      <w:r>
        <w:rPr>
          <w:rFonts w:hint="eastAsia" w:ascii="宋体" w:hAnsi="宋体" w:cs="宋体"/>
          <w:szCs w:val="21"/>
        </w:rPr>
        <w:t>日期：  年   月  日</w:t>
      </w:r>
    </w:p>
    <w:p>
      <w:pPr>
        <w:rPr>
          <w:rFonts w:ascii="宋体" w:hAnsi="宋体" w:cs="宋体"/>
          <w:b/>
          <w:bCs/>
          <w:spacing w:val="14"/>
          <w:szCs w:val="28"/>
        </w:rPr>
      </w:pPr>
    </w:p>
    <w:p>
      <w:pPr>
        <w:pStyle w:val="22"/>
        <w:ind w:left="2800"/>
        <w:rPr>
          <w:rFonts w:ascii="宋体" w:hAnsi="宋体"/>
          <w:b/>
          <w:bCs/>
          <w:szCs w:val="28"/>
        </w:rPr>
      </w:pPr>
    </w:p>
    <w:p/>
    <w:p>
      <w:pPr>
        <w:pStyle w:val="22"/>
        <w:ind w:left="0" w:leftChars="0"/>
        <w:rPr>
          <w:rFonts w:ascii="宋体" w:hAnsi="宋体"/>
          <w:b/>
          <w:bCs/>
          <w:szCs w:val="28"/>
        </w:rPr>
      </w:pPr>
      <w:r>
        <w:rPr>
          <w:rFonts w:hint="eastAsia" w:ascii="宋体" w:hAnsi="宋体"/>
          <w:b/>
          <w:bCs/>
          <w:szCs w:val="28"/>
        </w:rPr>
        <w:t>9、投标人拟投入机械设备情况格式</w:t>
      </w:r>
    </w:p>
    <w:p>
      <w:pPr>
        <w:ind w:right="-10"/>
        <w:jc w:val="center"/>
        <w:rPr>
          <w:rFonts w:ascii="宋体" w:hAnsi="宋体" w:cs="宋体"/>
          <w:b/>
          <w:bCs/>
          <w:sz w:val="32"/>
          <w:szCs w:val="32"/>
        </w:rPr>
      </w:pPr>
    </w:p>
    <w:p>
      <w:pPr>
        <w:ind w:right="-10"/>
        <w:jc w:val="center"/>
        <w:rPr>
          <w:rFonts w:ascii="宋体" w:hAnsi="宋体" w:cs="宋体"/>
          <w:b/>
          <w:bCs/>
          <w:sz w:val="32"/>
          <w:szCs w:val="32"/>
        </w:rPr>
      </w:pPr>
      <w:r>
        <w:rPr>
          <w:rFonts w:hint="eastAsia" w:ascii="宋体" w:hAnsi="宋体" w:cs="宋体"/>
          <w:b/>
          <w:bCs/>
          <w:sz w:val="32"/>
          <w:szCs w:val="32"/>
        </w:rPr>
        <w:t>拟投入机械设备（工具）一览表</w:t>
      </w:r>
    </w:p>
    <w:p>
      <w:pPr>
        <w:spacing w:afterLines="50" w:line="400" w:lineRule="exact"/>
        <w:rPr>
          <w:rFonts w:ascii="宋体" w:hAnsi="宋体" w:cs="宋体"/>
          <w:sz w:val="22"/>
          <w:szCs w:val="22"/>
        </w:rPr>
      </w:pPr>
      <w:r>
        <w:rPr>
          <w:rFonts w:hint="eastAsia" w:ascii="宋体" w:hAnsi="宋体" w:cs="宋体"/>
          <w:sz w:val="22"/>
          <w:szCs w:val="22"/>
        </w:rPr>
        <w:t xml:space="preserve">项目名称：                                                  采购编号： </w:t>
      </w:r>
    </w:p>
    <w:tbl>
      <w:tblPr>
        <w:tblStyle w:val="41"/>
        <w:tblW w:w="9697" w:type="dxa"/>
        <w:tblInd w:w="0" w:type="dxa"/>
        <w:tblLayout w:type="fixed"/>
        <w:tblCellMar>
          <w:top w:w="0" w:type="dxa"/>
          <w:left w:w="108" w:type="dxa"/>
          <w:bottom w:w="0" w:type="dxa"/>
          <w:right w:w="108" w:type="dxa"/>
        </w:tblCellMar>
      </w:tblPr>
      <w:tblGrid>
        <w:gridCol w:w="532"/>
        <w:gridCol w:w="2026"/>
        <w:gridCol w:w="938"/>
        <w:gridCol w:w="1242"/>
        <w:gridCol w:w="1359"/>
        <w:gridCol w:w="1163"/>
        <w:gridCol w:w="1340"/>
        <w:gridCol w:w="1097"/>
      </w:tblGrid>
      <w:tr>
        <w:tblPrEx>
          <w:tblCellMar>
            <w:top w:w="0" w:type="dxa"/>
            <w:left w:w="108" w:type="dxa"/>
            <w:bottom w:w="0" w:type="dxa"/>
            <w:right w:w="108" w:type="dxa"/>
          </w:tblCellMar>
        </w:tblPrEx>
        <w:trPr>
          <w:cantSplit/>
          <w:trHeight w:val="1016" w:hRule="atLeast"/>
        </w:trPr>
        <w:tc>
          <w:tcPr>
            <w:tcW w:w="532"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b/>
                <w:bCs/>
                <w:sz w:val="22"/>
                <w:szCs w:val="22"/>
              </w:rPr>
            </w:pPr>
            <w:r>
              <w:rPr>
                <w:rFonts w:hint="eastAsia" w:ascii="宋体" w:hAnsi="宋体" w:cs="宋体"/>
                <w:b/>
                <w:bCs/>
                <w:sz w:val="22"/>
                <w:szCs w:val="22"/>
              </w:rPr>
              <w:t>序号</w:t>
            </w:r>
          </w:p>
        </w:tc>
        <w:tc>
          <w:tcPr>
            <w:tcW w:w="20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r>
              <w:rPr>
                <w:rFonts w:hint="eastAsia" w:ascii="宋体" w:hAnsi="宋体" w:cs="宋体"/>
                <w:b/>
                <w:bCs/>
                <w:sz w:val="22"/>
                <w:szCs w:val="22"/>
              </w:rPr>
              <w:t>设备名称</w:t>
            </w:r>
          </w:p>
        </w:tc>
        <w:tc>
          <w:tcPr>
            <w:tcW w:w="938" w:type="dxa"/>
            <w:tcBorders>
              <w:top w:val="single" w:color="auto" w:sz="12"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r>
              <w:rPr>
                <w:rFonts w:hint="eastAsia" w:ascii="宋体" w:hAnsi="宋体" w:cs="宋体"/>
                <w:b/>
                <w:bCs/>
                <w:sz w:val="22"/>
                <w:szCs w:val="22"/>
              </w:rPr>
              <w:t>数量</w:t>
            </w:r>
          </w:p>
        </w:tc>
        <w:tc>
          <w:tcPr>
            <w:tcW w:w="1242" w:type="dxa"/>
            <w:tcBorders>
              <w:top w:val="single" w:color="auto" w:sz="12" w:space="0"/>
              <w:left w:val="nil"/>
              <w:bottom w:val="single" w:color="auto" w:sz="6" w:space="0"/>
              <w:right w:val="single" w:color="auto" w:sz="6" w:space="0"/>
            </w:tcBorders>
            <w:vAlign w:val="center"/>
          </w:tcPr>
          <w:p>
            <w:pPr>
              <w:jc w:val="center"/>
              <w:rPr>
                <w:rFonts w:ascii="宋体" w:hAnsi="宋体" w:cs="宋体"/>
                <w:b/>
                <w:bCs/>
                <w:sz w:val="22"/>
                <w:szCs w:val="22"/>
              </w:rPr>
            </w:pPr>
            <w:r>
              <w:rPr>
                <w:rFonts w:hint="eastAsia" w:ascii="宋体" w:hAnsi="宋体" w:cs="宋体"/>
                <w:b/>
                <w:bCs/>
                <w:sz w:val="22"/>
                <w:szCs w:val="22"/>
              </w:rPr>
              <w:t>规格型号</w:t>
            </w:r>
          </w:p>
        </w:tc>
        <w:tc>
          <w:tcPr>
            <w:tcW w:w="1359"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r>
              <w:rPr>
                <w:rFonts w:hint="eastAsia" w:ascii="宋体" w:hAnsi="宋体" w:cs="宋体"/>
                <w:b/>
                <w:bCs/>
                <w:sz w:val="22"/>
                <w:szCs w:val="22"/>
              </w:rPr>
              <w:t>总质量、核定载质量</w:t>
            </w:r>
          </w:p>
        </w:tc>
        <w:tc>
          <w:tcPr>
            <w:tcW w:w="1163"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r>
              <w:rPr>
                <w:rFonts w:hint="eastAsia" w:ascii="宋体" w:hAnsi="宋体" w:cs="宋体"/>
                <w:b/>
                <w:bCs/>
                <w:sz w:val="22"/>
                <w:szCs w:val="22"/>
              </w:rPr>
              <w:t>品牌/产地</w:t>
            </w:r>
          </w:p>
        </w:tc>
        <w:tc>
          <w:tcPr>
            <w:tcW w:w="134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b/>
                <w:bCs/>
                <w:sz w:val="22"/>
                <w:szCs w:val="22"/>
              </w:rPr>
            </w:pPr>
            <w:r>
              <w:rPr>
                <w:rFonts w:hint="eastAsia" w:ascii="宋体" w:hAnsi="宋体" w:cs="宋体"/>
                <w:b/>
                <w:bCs/>
                <w:sz w:val="22"/>
                <w:szCs w:val="22"/>
              </w:rPr>
              <w:t>车牌号</w:t>
            </w:r>
          </w:p>
        </w:tc>
        <w:tc>
          <w:tcPr>
            <w:tcW w:w="109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b/>
                <w:bCs/>
                <w:sz w:val="22"/>
                <w:szCs w:val="22"/>
              </w:rPr>
            </w:pPr>
            <w:r>
              <w:rPr>
                <w:rFonts w:hint="eastAsia" w:ascii="宋体" w:hAnsi="宋体" w:cs="宋体"/>
                <w:b/>
                <w:bCs/>
                <w:sz w:val="22"/>
                <w:szCs w:val="22"/>
              </w:rPr>
              <w:t>备注</w:t>
            </w:r>
          </w:p>
        </w:tc>
      </w:tr>
      <w:tr>
        <w:tblPrEx>
          <w:tblCellMar>
            <w:top w:w="0" w:type="dxa"/>
            <w:left w:w="108" w:type="dxa"/>
            <w:bottom w:w="0" w:type="dxa"/>
            <w:right w:w="108" w:type="dxa"/>
          </w:tblCellMar>
        </w:tblPrEx>
        <w:trPr>
          <w:cantSplit/>
          <w:trHeight w:val="594" w:hRule="atLeast"/>
        </w:trPr>
        <w:tc>
          <w:tcPr>
            <w:tcW w:w="53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sz w:val="22"/>
                <w:szCs w:val="22"/>
              </w:rPr>
            </w:pPr>
            <w:r>
              <w:rPr>
                <w:rFonts w:hint="eastAsia" w:ascii="宋体" w:hAnsi="宋体" w:cs="宋体"/>
                <w:kern w:val="0"/>
                <w:sz w:val="22"/>
                <w:szCs w:val="22"/>
              </w:rPr>
              <w:t>1</w:t>
            </w:r>
          </w:p>
        </w:tc>
        <w:tc>
          <w:tcPr>
            <w:tcW w:w="2026" w:type="dxa"/>
            <w:tcBorders>
              <w:top w:val="single" w:color="auto" w:sz="6" w:space="0"/>
              <w:left w:val="single" w:color="auto" w:sz="6" w:space="0"/>
              <w:bottom w:val="single" w:color="auto" w:sz="6" w:space="0"/>
              <w:right w:val="single" w:color="auto" w:sz="6" w:space="0"/>
            </w:tcBorders>
          </w:tcPr>
          <w:p>
            <w:pPr>
              <w:jc w:val="center"/>
              <w:rPr>
                <w:rFonts w:ascii="宋体" w:hAnsi="宋体" w:cs="宋体"/>
                <w:b/>
                <w:bCs/>
                <w:sz w:val="22"/>
                <w:szCs w:val="22"/>
              </w:rPr>
            </w:pPr>
            <w:r>
              <w:rPr>
                <w:rFonts w:hint="eastAsia" w:ascii="宋体" w:hAnsi="宋体" w:cs="宋体"/>
                <w:b/>
                <w:bCs/>
                <w:sz w:val="22"/>
                <w:szCs w:val="22"/>
              </w:rPr>
              <w:t>运输车</w:t>
            </w:r>
          </w:p>
        </w:tc>
        <w:tc>
          <w:tcPr>
            <w:tcW w:w="93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p>
        </w:tc>
        <w:tc>
          <w:tcPr>
            <w:tcW w:w="1242" w:type="dxa"/>
            <w:tcBorders>
              <w:top w:val="single" w:color="auto" w:sz="6" w:space="0"/>
              <w:left w:val="nil"/>
              <w:bottom w:val="single" w:color="auto" w:sz="6" w:space="0"/>
              <w:right w:val="single" w:color="auto" w:sz="6" w:space="0"/>
            </w:tcBorders>
            <w:vAlign w:val="center"/>
          </w:tcPr>
          <w:p>
            <w:pPr>
              <w:jc w:val="center"/>
              <w:rPr>
                <w:rFonts w:ascii="宋体" w:hAnsi="宋体" w:cs="宋体"/>
                <w:b/>
                <w:bCs/>
                <w:sz w:val="22"/>
                <w:szCs w:val="22"/>
              </w:rPr>
            </w:pP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1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34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c>
          <w:tcPr>
            <w:tcW w:w="109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kern w:val="0"/>
                <w:sz w:val="22"/>
                <w:szCs w:val="22"/>
              </w:rPr>
            </w:pPr>
            <w:r>
              <w:rPr>
                <w:rFonts w:hint="eastAsia" w:ascii="宋体" w:hAnsi="宋体" w:cs="宋体"/>
                <w:kern w:val="0"/>
                <w:sz w:val="22"/>
                <w:szCs w:val="22"/>
              </w:rPr>
              <w:t>自有/租赁</w:t>
            </w:r>
          </w:p>
        </w:tc>
      </w:tr>
      <w:tr>
        <w:tblPrEx>
          <w:tblCellMar>
            <w:top w:w="0" w:type="dxa"/>
            <w:left w:w="108" w:type="dxa"/>
            <w:bottom w:w="0" w:type="dxa"/>
            <w:right w:w="108" w:type="dxa"/>
          </w:tblCellMar>
        </w:tblPrEx>
        <w:trPr>
          <w:cantSplit/>
          <w:trHeight w:val="601" w:hRule="atLeast"/>
        </w:trPr>
        <w:tc>
          <w:tcPr>
            <w:tcW w:w="53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sz w:val="22"/>
                <w:szCs w:val="22"/>
              </w:rPr>
            </w:pPr>
            <w:r>
              <w:rPr>
                <w:rFonts w:hint="eastAsia" w:ascii="宋体" w:hAnsi="宋体" w:cs="宋体"/>
                <w:kern w:val="0"/>
                <w:sz w:val="22"/>
                <w:szCs w:val="22"/>
              </w:rPr>
              <w:t>2</w:t>
            </w:r>
          </w:p>
        </w:tc>
        <w:tc>
          <w:tcPr>
            <w:tcW w:w="2026" w:type="dxa"/>
            <w:tcBorders>
              <w:top w:val="single" w:color="auto" w:sz="6" w:space="0"/>
              <w:left w:val="single" w:color="auto" w:sz="6" w:space="0"/>
              <w:bottom w:val="single" w:color="auto" w:sz="6" w:space="0"/>
              <w:right w:val="single" w:color="auto" w:sz="6" w:space="0"/>
            </w:tcBorders>
          </w:tcPr>
          <w:p>
            <w:pPr>
              <w:jc w:val="center"/>
              <w:rPr>
                <w:rFonts w:ascii="宋体" w:hAnsi="宋体" w:cs="宋体"/>
                <w:b/>
                <w:bCs/>
                <w:sz w:val="22"/>
                <w:szCs w:val="22"/>
              </w:rPr>
            </w:pPr>
            <w:r>
              <w:rPr>
                <w:rFonts w:hint="eastAsia" w:ascii="宋体" w:hAnsi="宋体" w:cs="宋体"/>
                <w:b/>
                <w:bCs/>
                <w:sz w:val="22"/>
                <w:szCs w:val="22"/>
              </w:rPr>
              <w:t>水泵</w:t>
            </w:r>
          </w:p>
        </w:tc>
        <w:tc>
          <w:tcPr>
            <w:tcW w:w="93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p>
        </w:tc>
        <w:tc>
          <w:tcPr>
            <w:tcW w:w="1242" w:type="dxa"/>
            <w:tcBorders>
              <w:top w:val="single" w:color="auto" w:sz="6" w:space="0"/>
              <w:left w:val="nil"/>
              <w:bottom w:val="single" w:color="auto" w:sz="6" w:space="0"/>
              <w:right w:val="single" w:color="auto" w:sz="6" w:space="0"/>
            </w:tcBorders>
            <w:vAlign w:val="center"/>
          </w:tcPr>
          <w:p>
            <w:pPr>
              <w:jc w:val="center"/>
              <w:rPr>
                <w:rFonts w:ascii="宋体" w:hAnsi="宋体" w:cs="宋体"/>
                <w:b/>
                <w:bCs/>
                <w:sz w:val="22"/>
                <w:szCs w:val="22"/>
              </w:rPr>
            </w:pP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1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34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c>
          <w:tcPr>
            <w:tcW w:w="109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cantSplit/>
          <w:trHeight w:val="487" w:hRule="atLeast"/>
        </w:trPr>
        <w:tc>
          <w:tcPr>
            <w:tcW w:w="53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sz w:val="22"/>
                <w:szCs w:val="22"/>
              </w:rPr>
            </w:pPr>
            <w:r>
              <w:rPr>
                <w:rFonts w:hint="eastAsia" w:ascii="宋体" w:hAnsi="宋体" w:cs="宋体"/>
                <w:kern w:val="0"/>
                <w:sz w:val="22"/>
                <w:szCs w:val="22"/>
              </w:rPr>
              <w:t>3</w:t>
            </w:r>
          </w:p>
        </w:tc>
        <w:tc>
          <w:tcPr>
            <w:tcW w:w="2026" w:type="dxa"/>
            <w:tcBorders>
              <w:top w:val="single" w:color="auto" w:sz="6" w:space="0"/>
              <w:left w:val="single" w:color="auto" w:sz="6" w:space="0"/>
              <w:bottom w:val="single" w:color="auto" w:sz="6" w:space="0"/>
              <w:right w:val="single" w:color="auto" w:sz="6" w:space="0"/>
            </w:tcBorders>
          </w:tcPr>
          <w:p>
            <w:pPr>
              <w:jc w:val="center"/>
              <w:rPr>
                <w:rFonts w:ascii="宋体" w:hAnsi="宋体" w:cs="宋体"/>
                <w:b/>
                <w:bCs/>
                <w:sz w:val="22"/>
                <w:szCs w:val="22"/>
              </w:rPr>
            </w:pPr>
            <w:r>
              <w:rPr>
                <w:rFonts w:hint="eastAsia" w:ascii="宋体" w:hAnsi="宋体" w:cs="宋体"/>
                <w:b/>
                <w:bCs/>
                <w:sz w:val="22"/>
                <w:szCs w:val="22"/>
              </w:rPr>
              <w:t>绿篱机</w:t>
            </w:r>
          </w:p>
        </w:tc>
        <w:tc>
          <w:tcPr>
            <w:tcW w:w="93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p>
        </w:tc>
        <w:tc>
          <w:tcPr>
            <w:tcW w:w="1242" w:type="dxa"/>
            <w:tcBorders>
              <w:top w:val="single" w:color="auto" w:sz="6" w:space="0"/>
              <w:left w:val="nil"/>
              <w:bottom w:val="single" w:color="auto" w:sz="6" w:space="0"/>
              <w:right w:val="single" w:color="auto" w:sz="6" w:space="0"/>
            </w:tcBorders>
            <w:vAlign w:val="center"/>
          </w:tcPr>
          <w:p>
            <w:pPr>
              <w:jc w:val="center"/>
              <w:rPr>
                <w:rFonts w:ascii="宋体" w:hAnsi="宋体" w:cs="宋体"/>
                <w:b/>
                <w:bCs/>
                <w:sz w:val="22"/>
                <w:szCs w:val="22"/>
              </w:rPr>
            </w:pP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1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34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c>
          <w:tcPr>
            <w:tcW w:w="109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cantSplit/>
          <w:trHeight w:val="467" w:hRule="atLeast"/>
        </w:trPr>
        <w:tc>
          <w:tcPr>
            <w:tcW w:w="53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sz w:val="22"/>
                <w:szCs w:val="22"/>
              </w:rPr>
            </w:pPr>
            <w:r>
              <w:rPr>
                <w:rFonts w:hint="eastAsia" w:ascii="宋体" w:hAnsi="宋体" w:cs="宋体"/>
                <w:kern w:val="0"/>
                <w:sz w:val="22"/>
                <w:szCs w:val="22"/>
              </w:rPr>
              <w:t>4</w:t>
            </w:r>
          </w:p>
        </w:tc>
        <w:tc>
          <w:tcPr>
            <w:tcW w:w="2026" w:type="dxa"/>
            <w:tcBorders>
              <w:top w:val="single" w:color="auto" w:sz="6" w:space="0"/>
              <w:left w:val="single" w:color="auto" w:sz="6" w:space="0"/>
              <w:bottom w:val="single" w:color="auto" w:sz="6" w:space="0"/>
              <w:right w:val="single" w:color="auto" w:sz="6" w:space="0"/>
            </w:tcBorders>
          </w:tcPr>
          <w:p>
            <w:pPr>
              <w:jc w:val="center"/>
              <w:rPr>
                <w:rFonts w:ascii="宋体" w:hAnsi="宋体" w:cs="宋体"/>
                <w:b/>
                <w:bCs/>
                <w:sz w:val="22"/>
                <w:szCs w:val="22"/>
              </w:rPr>
            </w:pPr>
            <w:r>
              <w:rPr>
                <w:rFonts w:hint="eastAsia" w:ascii="宋体" w:hAnsi="宋体" w:cs="宋体"/>
                <w:b/>
                <w:bCs/>
                <w:sz w:val="22"/>
                <w:szCs w:val="22"/>
              </w:rPr>
              <w:t>草坪机</w:t>
            </w:r>
          </w:p>
        </w:tc>
        <w:tc>
          <w:tcPr>
            <w:tcW w:w="93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p>
        </w:tc>
        <w:tc>
          <w:tcPr>
            <w:tcW w:w="1242" w:type="dxa"/>
            <w:tcBorders>
              <w:top w:val="single" w:color="auto" w:sz="6" w:space="0"/>
              <w:left w:val="nil"/>
              <w:bottom w:val="single" w:color="auto" w:sz="6" w:space="0"/>
              <w:right w:val="single" w:color="auto" w:sz="6" w:space="0"/>
            </w:tcBorders>
            <w:vAlign w:val="center"/>
          </w:tcPr>
          <w:p>
            <w:pPr>
              <w:jc w:val="center"/>
              <w:rPr>
                <w:rFonts w:ascii="宋体" w:hAnsi="宋体" w:cs="宋体"/>
                <w:b/>
                <w:bCs/>
                <w:sz w:val="22"/>
                <w:szCs w:val="22"/>
              </w:rPr>
            </w:pP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1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34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c>
          <w:tcPr>
            <w:tcW w:w="109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cantSplit/>
          <w:trHeight w:val="404" w:hRule="atLeast"/>
        </w:trPr>
        <w:tc>
          <w:tcPr>
            <w:tcW w:w="53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sz w:val="22"/>
                <w:szCs w:val="22"/>
              </w:rPr>
            </w:pPr>
            <w:r>
              <w:rPr>
                <w:rFonts w:hint="eastAsia" w:ascii="宋体" w:hAnsi="宋体" w:cs="宋体"/>
                <w:kern w:val="0"/>
                <w:sz w:val="22"/>
                <w:szCs w:val="22"/>
              </w:rPr>
              <w:t>5</w:t>
            </w:r>
          </w:p>
        </w:tc>
        <w:tc>
          <w:tcPr>
            <w:tcW w:w="2026" w:type="dxa"/>
            <w:tcBorders>
              <w:top w:val="single" w:color="auto" w:sz="6" w:space="0"/>
              <w:left w:val="single" w:color="auto" w:sz="6" w:space="0"/>
              <w:bottom w:val="single" w:color="auto" w:sz="6" w:space="0"/>
              <w:right w:val="single" w:color="auto" w:sz="6" w:space="0"/>
            </w:tcBorders>
          </w:tcPr>
          <w:p>
            <w:pPr>
              <w:jc w:val="center"/>
              <w:rPr>
                <w:rFonts w:ascii="宋体" w:hAnsi="宋体" w:cs="宋体"/>
                <w:b/>
                <w:bCs/>
                <w:sz w:val="22"/>
                <w:szCs w:val="22"/>
              </w:rPr>
            </w:pPr>
            <w:r>
              <w:rPr>
                <w:rFonts w:hint="eastAsia" w:ascii="宋体" w:hAnsi="宋体" w:cs="宋体"/>
                <w:b/>
                <w:bCs/>
                <w:sz w:val="22"/>
                <w:szCs w:val="22"/>
              </w:rPr>
              <w:t>割灌机</w:t>
            </w:r>
          </w:p>
        </w:tc>
        <w:tc>
          <w:tcPr>
            <w:tcW w:w="93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p>
        </w:tc>
        <w:tc>
          <w:tcPr>
            <w:tcW w:w="1242" w:type="dxa"/>
            <w:tcBorders>
              <w:top w:val="single" w:color="auto" w:sz="6" w:space="0"/>
              <w:left w:val="nil"/>
              <w:bottom w:val="single" w:color="auto" w:sz="6" w:space="0"/>
              <w:right w:val="single" w:color="auto" w:sz="6" w:space="0"/>
            </w:tcBorders>
            <w:vAlign w:val="center"/>
          </w:tcPr>
          <w:p>
            <w:pPr>
              <w:jc w:val="center"/>
              <w:rPr>
                <w:rFonts w:ascii="宋体" w:hAnsi="宋体" w:cs="宋体"/>
                <w:b/>
                <w:bCs/>
                <w:sz w:val="22"/>
                <w:szCs w:val="22"/>
              </w:rPr>
            </w:pP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1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34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c>
          <w:tcPr>
            <w:tcW w:w="109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cantSplit/>
          <w:trHeight w:val="404" w:hRule="atLeast"/>
        </w:trPr>
        <w:tc>
          <w:tcPr>
            <w:tcW w:w="53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sz w:val="22"/>
                <w:szCs w:val="22"/>
              </w:rPr>
            </w:pPr>
            <w:r>
              <w:rPr>
                <w:rFonts w:hint="eastAsia" w:ascii="宋体" w:hAnsi="宋体" w:cs="宋体"/>
                <w:kern w:val="0"/>
                <w:sz w:val="22"/>
                <w:szCs w:val="22"/>
              </w:rPr>
              <w:t>6</w:t>
            </w:r>
          </w:p>
        </w:tc>
        <w:tc>
          <w:tcPr>
            <w:tcW w:w="2026" w:type="dxa"/>
            <w:tcBorders>
              <w:top w:val="single" w:color="auto" w:sz="6" w:space="0"/>
              <w:left w:val="single" w:color="auto" w:sz="6" w:space="0"/>
              <w:bottom w:val="single" w:color="auto" w:sz="6" w:space="0"/>
              <w:right w:val="single" w:color="auto" w:sz="6" w:space="0"/>
            </w:tcBorders>
          </w:tcPr>
          <w:p>
            <w:pPr>
              <w:jc w:val="center"/>
              <w:rPr>
                <w:rFonts w:ascii="宋体" w:hAnsi="宋体" w:cs="宋体"/>
                <w:b/>
                <w:bCs/>
                <w:sz w:val="22"/>
                <w:szCs w:val="22"/>
              </w:rPr>
            </w:pPr>
            <w:r>
              <w:rPr>
                <w:rFonts w:hint="eastAsia" w:ascii="宋体" w:hAnsi="宋体" w:cs="宋体"/>
                <w:b/>
                <w:bCs/>
                <w:sz w:val="22"/>
                <w:szCs w:val="22"/>
              </w:rPr>
              <w:t>打药机</w:t>
            </w:r>
          </w:p>
        </w:tc>
        <w:tc>
          <w:tcPr>
            <w:tcW w:w="93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p>
        </w:tc>
        <w:tc>
          <w:tcPr>
            <w:tcW w:w="1242" w:type="dxa"/>
            <w:tcBorders>
              <w:top w:val="single" w:color="auto" w:sz="6" w:space="0"/>
              <w:left w:val="nil"/>
              <w:bottom w:val="single" w:color="auto" w:sz="6" w:space="0"/>
              <w:right w:val="single" w:color="auto" w:sz="6" w:space="0"/>
            </w:tcBorders>
            <w:vAlign w:val="center"/>
          </w:tcPr>
          <w:p>
            <w:pPr>
              <w:jc w:val="center"/>
              <w:rPr>
                <w:rFonts w:ascii="宋体" w:hAnsi="宋体" w:cs="宋体"/>
                <w:b/>
                <w:bCs/>
                <w:sz w:val="22"/>
                <w:szCs w:val="22"/>
              </w:rPr>
            </w:pP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1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34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c>
          <w:tcPr>
            <w:tcW w:w="109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cantSplit/>
          <w:trHeight w:val="419" w:hRule="atLeast"/>
        </w:trPr>
        <w:tc>
          <w:tcPr>
            <w:tcW w:w="53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026" w:type="dxa"/>
            <w:tcBorders>
              <w:top w:val="single" w:color="auto" w:sz="6" w:space="0"/>
              <w:left w:val="single" w:color="auto" w:sz="6" w:space="0"/>
              <w:bottom w:val="single" w:color="auto" w:sz="6" w:space="0"/>
              <w:right w:val="single" w:color="auto" w:sz="6" w:space="0"/>
            </w:tcBorders>
          </w:tcPr>
          <w:p>
            <w:pPr>
              <w:jc w:val="center"/>
              <w:rPr>
                <w:rFonts w:ascii="宋体" w:hAnsi="宋体" w:cs="宋体"/>
                <w:b/>
                <w:bCs/>
                <w:sz w:val="22"/>
                <w:szCs w:val="22"/>
              </w:rPr>
            </w:pPr>
          </w:p>
        </w:tc>
        <w:tc>
          <w:tcPr>
            <w:tcW w:w="93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p>
        </w:tc>
        <w:tc>
          <w:tcPr>
            <w:tcW w:w="1242" w:type="dxa"/>
            <w:tcBorders>
              <w:top w:val="single" w:color="auto" w:sz="6" w:space="0"/>
              <w:left w:val="nil"/>
              <w:bottom w:val="single" w:color="auto" w:sz="6" w:space="0"/>
              <w:right w:val="single" w:color="auto" w:sz="6" w:space="0"/>
            </w:tcBorders>
            <w:vAlign w:val="center"/>
          </w:tcPr>
          <w:p>
            <w:pPr>
              <w:jc w:val="center"/>
              <w:rPr>
                <w:rFonts w:ascii="宋体" w:hAnsi="宋体" w:cs="宋体"/>
                <w:b/>
                <w:bCs/>
                <w:sz w:val="22"/>
                <w:szCs w:val="22"/>
              </w:rPr>
            </w:pP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1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34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c>
          <w:tcPr>
            <w:tcW w:w="109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cantSplit/>
          <w:trHeight w:val="419" w:hRule="atLeast"/>
        </w:trPr>
        <w:tc>
          <w:tcPr>
            <w:tcW w:w="53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026" w:type="dxa"/>
            <w:tcBorders>
              <w:top w:val="single" w:color="auto" w:sz="6" w:space="0"/>
              <w:left w:val="single" w:color="auto" w:sz="6" w:space="0"/>
              <w:bottom w:val="single" w:color="auto" w:sz="6" w:space="0"/>
              <w:right w:val="single" w:color="auto" w:sz="6" w:space="0"/>
            </w:tcBorders>
          </w:tcPr>
          <w:p>
            <w:pPr>
              <w:jc w:val="center"/>
              <w:rPr>
                <w:rFonts w:ascii="宋体" w:hAnsi="宋体" w:cs="宋体"/>
                <w:b/>
                <w:bCs/>
                <w:sz w:val="22"/>
                <w:szCs w:val="22"/>
              </w:rPr>
            </w:pPr>
          </w:p>
        </w:tc>
        <w:tc>
          <w:tcPr>
            <w:tcW w:w="93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p>
        </w:tc>
        <w:tc>
          <w:tcPr>
            <w:tcW w:w="1242" w:type="dxa"/>
            <w:tcBorders>
              <w:top w:val="single" w:color="auto" w:sz="6" w:space="0"/>
              <w:left w:val="nil"/>
              <w:bottom w:val="single" w:color="auto" w:sz="6" w:space="0"/>
              <w:right w:val="single" w:color="auto" w:sz="6" w:space="0"/>
            </w:tcBorders>
            <w:vAlign w:val="center"/>
          </w:tcPr>
          <w:p>
            <w:pPr>
              <w:jc w:val="center"/>
              <w:rPr>
                <w:rFonts w:ascii="宋体" w:hAnsi="宋体" w:cs="宋体"/>
                <w:b/>
                <w:bCs/>
                <w:sz w:val="22"/>
                <w:szCs w:val="22"/>
              </w:rPr>
            </w:pP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1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34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c>
          <w:tcPr>
            <w:tcW w:w="109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cantSplit/>
          <w:trHeight w:val="419" w:hRule="atLeast"/>
        </w:trPr>
        <w:tc>
          <w:tcPr>
            <w:tcW w:w="53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026" w:type="dxa"/>
            <w:tcBorders>
              <w:top w:val="single" w:color="auto" w:sz="6" w:space="0"/>
              <w:left w:val="single" w:color="auto" w:sz="6" w:space="0"/>
              <w:bottom w:val="single" w:color="auto" w:sz="6" w:space="0"/>
              <w:right w:val="single" w:color="auto" w:sz="6" w:space="0"/>
            </w:tcBorders>
          </w:tcPr>
          <w:p>
            <w:pPr>
              <w:jc w:val="center"/>
              <w:rPr>
                <w:rFonts w:ascii="宋体" w:hAnsi="宋体" w:cs="宋体"/>
                <w:b/>
                <w:bCs/>
                <w:sz w:val="22"/>
                <w:szCs w:val="22"/>
              </w:rPr>
            </w:pPr>
          </w:p>
        </w:tc>
        <w:tc>
          <w:tcPr>
            <w:tcW w:w="93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p>
        </w:tc>
        <w:tc>
          <w:tcPr>
            <w:tcW w:w="1242" w:type="dxa"/>
            <w:tcBorders>
              <w:top w:val="single" w:color="auto" w:sz="6" w:space="0"/>
              <w:left w:val="nil"/>
              <w:bottom w:val="single" w:color="auto" w:sz="6" w:space="0"/>
              <w:right w:val="single" w:color="auto" w:sz="6" w:space="0"/>
            </w:tcBorders>
            <w:vAlign w:val="center"/>
          </w:tcPr>
          <w:p>
            <w:pPr>
              <w:jc w:val="center"/>
              <w:rPr>
                <w:rFonts w:ascii="宋体" w:hAnsi="宋体" w:cs="宋体"/>
                <w:b/>
                <w:bCs/>
                <w:sz w:val="22"/>
                <w:szCs w:val="22"/>
              </w:rPr>
            </w:pP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1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34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c>
          <w:tcPr>
            <w:tcW w:w="109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cantSplit/>
          <w:trHeight w:val="434" w:hRule="atLeast"/>
        </w:trPr>
        <w:tc>
          <w:tcPr>
            <w:tcW w:w="53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026" w:type="dxa"/>
            <w:tcBorders>
              <w:top w:val="single" w:color="auto" w:sz="6" w:space="0"/>
              <w:left w:val="single" w:color="auto" w:sz="6" w:space="0"/>
              <w:bottom w:val="single" w:color="auto" w:sz="6" w:space="0"/>
              <w:right w:val="single" w:color="auto" w:sz="6" w:space="0"/>
            </w:tcBorders>
          </w:tcPr>
          <w:p>
            <w:pPr>
              <w:widowControl/>
              <w:jc w:val="center"/>
              <w:rPr>
                <w:rFonts w:ascii="宋体" w:hAnsi="宋体" w:cs="宋体"/>
                <w:kern w:val="0"/>
                <w:sz w:val="22"/>
                <w:szCs w:val="22"/>
              </w:rPr>
            </w:pPr>
          </w:p>
        </w:tc>
        <w:tc>
          <w:tcPr>
            <w:tcW w:w="93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b/>
                <w:bCs/>
                <w:sz w:val="22"/>
                <w:szCs w:val="22"/>
              </w:rPr>
            </w:pPr>
          </w:p>
        </w:tc>
        <w:tc>
          <w:tcPr>
            <w:tcW w:w="1242" w:type="dxa"/>
            <w:tcBorders>
              <w:top w:val="single" w:color="auto" w:sz="6" w:space="0"/>
              <w:left w:val="nil"/>
              <w:bottom w:val="single" w:color="auto" w:sz="6" w:space="0"/>
              <w:right w:val="single" w:color="auto" w:sz="6" w:space="0"/>
            </w:tcBorders>
            <w:vAlign w:val="center"/>
          </w:tcPr>
          <w:p>
            <w:pPr>
              <w:jc w:val="center"/>
              <w:rPr>
                <w:rFonts w:ascii="宋体" w:hAnsi="宋体" w:cs="宋体"/>
                <w:b/>
                <w:bCs/>
                <w:sz w:val="22"/>
                <w:szCs w:val="22"/>
              </w:rPr>
            </w:pPr>
          </w:p>
        </w:tc>
        <w:tc>
          <w:tcPr>
            <w:tcW w:w="13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1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bCs/>
                <w:sz w:val="22"/>
                <w:szCs w:val="22"/>
              </w:rPr>
            </w:pPr>
          </w:p>
        </w:tc>
        <w:tc>
          <w:tcPr>
            <w:tcW w:w="134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c>
          <w:tcPr>
            <w:tcW w:w="109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2"/>
                <w:szCs w:val="22"/>
              </w:rPr>
            </w:pPr>
          </w:p>
        </w:tc>
      </w:tr>
    </w:tbl>
    <w:p>
      <w:pPr>
        <w:pStyle w:val="14"/>
        <w:spacing w:line="334" w:lineRule="exact"/>
        <w:ind w:firstLine="0"/>
        <w:jc w:val="left"/>
        <w:rPr>
          <w:rFonts w:ascii="宋体" w:hAnsi="宋体" w:cs="宋体"/>
          <w:sz w:val="22"/>
          <w:szCs w:val="22"/>
        </w:rPr>
      </w:pPr>
      <w:r>
        <w:rPr>
          <w:rFonts w:hint="eastAsia" w:ascii="宋体" w:hAnsi="宋体" w:cs="宋体"/>
          <w:sz w:val="22"/>
          <w:szCs w:val="22"/>
        </w:rPr>
        <w:t>注： 1、本表所列为投标人拟投入的机械化作业机具，附设备照片、发票、车辆行驶证等证明材料加盖公章）及项目实施所需要的设备及工具。</w:t>
      </w:r>
    </w:p>
    <w:p>
      <w:pPr>
        <w:pStyle w:val="14"/>
        <w:spacing w:line="334" w:lineRule="exact"/>
        <w:ind w:firstLine="0"/>
        <w:jc w:val="left"/>
        <w:rPr>
          <w:rFonts w:ascii="宋体" w:hAnsi="宋体" w:cs="宋体"/>
          <w:sz w:val="22"/>
          <w:szCs w:val="22"/>
        </w:rPr>
      </w:pPr>
      <w:r>
        <w:rPr>
          <w:rFonts w:hint="eastAsia" w:ascii="宋体" w:hAnsi="宋体" w:cs="宋体"/>
          <w:sz w:val="22"/>
          <w:szCs w:val="22"/>
        </w:rPr>
        <w:t>2、中标后如经采购人同意，中标供应商可以用优于投标车辆品牌、参数的车辆以新换旧、以优换次来替代投标时投入的车辆，但最终投入进场的车辆须专车专用，只用于本项目，未经采购人同意不得自行变更或另用他处。</w:t>
      </w:r>
    </w:p>
    <w:p>
      <w:pPr>
        <w:pStyle w:val="14"/>
        <w:spacing w:line="334" w:lineRule="exact"/>
        <w:ind w:firstLine="0"/>
        <w:jc w:val="left"/>
        <w:rPr>
          <w:rFonts w:ascii="宋体" w:hAnsi="宋体" w:cs="宋体"/>
          <w:sz w:val="22"/>
          <w:szCs w:val="22"/>
        </w:rPr>
      </w:pPr>
      <w:r>
        <w:rPr>
          <w:rFonts w:hint="eastAsia" w:ascii="宋体" w:hAnsi="宋体" w:cs="宋体"/>
          <w:sz w:val="22"/>
          <w:szCs w:val="22"/>
        </w:rPr>
        <w:t>3、此表仅提供了表格形式，投标人应根据需要准备足够数量的表格来填写。</w:t>
      </w:r>
    </w:p>
    <w:p>
      <w:pPr>
        <w:pStyle w:val="14"/>
        <w:spacing w:line="334" w:lineRule="exact"/>
        <w:ind w:firstLine="0"/>
        <w:jc w:val="left"/>
        <w:rPr>
          <w:rFonts w:ascii="宋体" w:hAnsi="宋体" w:cs="宋体"/>
          <w:sz w:val="22"/>
          <w:szCs w:val="22"/>
        </w:rPr>
      </w:pPr>
      <w:r>
        <w:rPr>
          <w:rFonts w:hint="eastAsia" w:ascii="宋体" w:hAnsi="宋体" w:cs="宋体"/>
          <w:sz w:val="22"/>
          <w:szCs w:val="22"/>
        </w:rPr>
        <w:t>4、中标后必须按要求时间全部到位。</w:t>
      </w:r>
    </w:p>
    <w:p>
      <w:pPr>
        <w:adjustRightInd w:val="0"/>
        <w:snapToGrid w:val="0"/>
        <w:spacing w:line="360" w:lineRule="auto"/>
        <w:ind w:left="560" w:leftChars="200" w:firstLine="330" w:firstLineChars="150"/>
        <w:jc w:val="right"/>
        <w:rPr>
          <w:rFonts w:ascii="宋体" w:hAnsi="宋体" w:cs="宋体"/>
          <w:sz w:val="22"/>
          <w:szCs w:val="22"/>
        </w:rPr>
      </w:pPr>
    </w:p>
    <w:p>
      <w:pPr>
        <w:adjustRightInd w:val="0"/>
        <w:snapToGrid w:val="0"/>
        <w:spacing w:line="360" w:lineRule="auto"/>
        <w:ind w:left="560" w:leftChars="200" w:firstLine="330" w:firstLineChars="150"/>
        <w:jc w:val="right"/>
        <w:rPr>
          <w:rFonts w:ascii="宋体" w:hAnsi="宋体" w:cs="宋体"/>
          <w:sz w:val="22"/>
          <w:szCs w:val="22"/>
        </w:rPr>
      </w:pPr>
    </w:p>
    <w:p>
      <w:pPr>
        <w:spacing w:line="380" w:lineRule="exact"/>
        <w:jc w:val="left"/>
        <w:rPr>
          <w:rFonts w:ascii="宋体" w:hAnsi="宋体" w:cs="宋体"/>
          <w:szCs w:val="21"/>
        </w:rPr>
      </w:pPr>
      <w:r>
        <w:rPr>
          <w:rFonts w:hint="eastAsia" w:ascii="宋体" w:hAnsi="宋体" w:cs="宋体"/>
          <w:szCs w:val="21"/>
        </w:rPr>
        <w:t xml:space="preserve">投标人全称（签章）：    </w:t>
      </w:r>
    </w:p>
    <w:p>
      <w:pPr>
        <w:spacing w:line="380" w:lineRule="exact"/>
        <w:jc w:val="left"/>
        <w:rPr>
          <w:rFonts w:ascii="宋体" w:hAnsi="宋体" w:cs="宋体"/>
          <w:szCs w:val="21"/>
        </w:rPr>
      </w:pPr>
      <w:r>
        <w:rPr>
          <w:rFonts w:hint="eastAsia" w:ascii="宋体" w:hAnsi="宋体" w:cs="宋体"/>
          <w:szCs w:val="21"/>
        </w:rPr>
        <w:t>法定代表人或授权代表（签字）：</w:t>
      </w:r>
    </w:p>
    <w:p>
      <w:pPr>
        <w:spacing w:line="380" w:lineRule="exact"/>
        <w:jc w:val="left"/>
        <w:rPr>
          <w:rFonts w:ascii="宋体" w:hAnsi="宋体" w:cs="宋体"/>
        </w:rPr>
      </w:pPr>
      <w:r>
        <w:rPr>
          <w:rFonts w:hint="eastAsia" w:ascii="宋体" w:hAnsi="宋体" w:cs="宋体"/>
          <w:szCs w:val="21"/>
        </w:rPr>
        <w:t>日期：  年   月  日</w:t>
      </w:r>
    </w:p>
    <w:p>
      <w:pPr>
        <w:rPr>
          <w:rFonts w:ascii="宋体" w:hAnsi="宋体" w:cs="宋体"/>
          <w:b/>
          <w:bCs/>
          <w:spacing w:val="14"/>
          <w:szCs w:val="28"/>
        </w:rPr>
      </w:pPr>
    </w:p>
    <w:p>
      <w:pPr>
        <w:spacing w:line="380" w:lineRule="exact"/>
        <w:rPr>
          <w:rFonts w:ascii="宋体" w:hAnsi="宋体" w:cs="宋体"/>
          <w:b/>
          <w:bCs/>
          <w:sz w:val="22"/>
          <w:szCs w:val="22"/>
        </w:rPr>
        <w:sectPr>
          <w:headerReference r:id="rId5" w:type="default"/>
          <w:footerReference r:id="rId6" w:type="default"/>
          <w:pgSz w:w="11906" w:h="16838"/>
          <w:pgMar w:top="1531" w:right="779" w:bottom="1134" w:left="1134" w:header="851" w:footer="427" w:gutter="0"/>
          <w:cols w:space="720" w:num="1"/>
          <w:docGrid w:linePitch="312" w:charSpace="0"/>
        </w:sectPr>
      </w:pPr>
    </w:p>
    <w:p>
      <w:pPr>
        <w:pageBreakBefore/>
        <w:snapToGrid w:val="0"/>
        <w:spacing w:line="360" w:lineRule="auto"/>
        <w:jc w:val="center"/>
        <w:rPr>
          <w:rFonts w:ascii="仿宋" w:hAnsi="仿宋" w:eastAsia="仿宋" w:cs="仿宋"/>
          <w:b/>
          <w:bCs/>
          <w:szCs w:val="28"/>
        </w:rPr>
      </w:pPr>
      <w:r>
        <w:rPr>
          <w:rFonts w:hint="eastAsia" w:ascii="宋体" w:hAnsi="宋体" w:cs="宋体"/>
          <w:b/>
          <w:bCs/>
          <w:color w:val="000000"/>
          <w:sz w:val="24"/>
        </w:rPr>
        <w:t>人工及工具材料</w:t>
      </w:r>
      <w:r>
        <w:rPr>
          <w:rFonts w:hint="eastAsia" w:ascii="仿宋" w:hAnsi="仿宋" w:eastAsia="仿宋" w:cs="仿宋"/>
          <w:b/>
          <w:bCs/>
          <w:szCs w:val="28"/>
        </w:rPr>
        <w:t>的选用及配置（格式自拟）</w:t>
      </w:r>
    </w:p>
    <w:p>
      <w:pPr>
        <w:tabs>
          <w:tab w:val="left" w:pos="3780"/>
        </w:tabs>
        <w:jc w:val="center"/>
        <w:rPr>
          <w:rFonts w:ascii="仿宋" w:hAnsi="仿宋" w:eastAsia="仿宋" w:cs="仿宋"/>
          <w:b/>
          <w:szCs w:val="28"/>
        </w:rPr>
      </w:pPr>
      <w:r>
        <w:rPr>
          <w:rFonts w:hint="eastAsia" w:ascii="仿宋" w:hAnsi="仿宋" w:eastAsia="仿宋" w:cs="仿宋"/>
          <w:b/>
          <w:szCs w:val="28"/>
        </w:rPr>
        <w:t>主要机械</w:t>
      </w:r>
    </w:p>
    <w:tbl>
      <w:tblPr>
        <w:tblStyle w:val="4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78"/>
        <w:gridCol w:w="3891"/>
        <w:gridCol w:w="878"/>
        <w:gridCol w:w="1537"/>
        <w:gridCol w:w="16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78"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序号</w:t>
            </w:r>
          </w:p>
        </w:tc>
        <w:tc>
          <w:tcPr>
            <w:tcW w:w="3891"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名称</w:t>
            </w:r>
          </w:p>
        </w:tc>
        <w:tc>
          <w:tcPr>
            <w:tcW w:w="878"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单位</w:t>
            </w:r>
          </w:p>
        </w:tc>
        <w:tc>
          <w:tcPr>
            <w:tcW w:w="1537"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数  量</w:t>
            </w:r>
          </w:p>
        </w:tc>
        <w:tc>
          <w:tcPr>
            <w:tcW w:w="1620"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78"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1</w:t>
            </w:r>
          </w:p>
        </w:tc>
        <w:tc>
          <w:tcPr>
            <w:tcW w:w="3891" w:type="dxa"/>
            <w:noWrap/>
            <w:vAlign w:val="center"/>
          </w:tcPr>
          <w:p>
            <w:pPr>
              <w:tabs>
                <w:tab w:val="left" w:pos="3780"/>
              </w:tabs>
              <w:rPr>
                <w:rFonts w:ascii="仿宋" w:hAnsi="仿宋" w:eastAsia="仿宋" w:cs="仿宋"/>
                <w:b/>
                <w:sz w:val="22"/>
                <w:szCs w:val="22"/>
              </w:rPr>
            </w:pPr>
            <w:r>
              <w:rPr>
                <w:rFonts w:hint="eastAsia" w:ascii="宋体" w:hAnsi="宋体" w:cs="宋体"/>
                <w:b/>
                <w:bCs/>
                <w:color w:val="000000"/>
                <w:sz w:val="24"/>
              </w:rPr>
              <w:t>人工及工具材料</w:t>
            </w:r>
          </w:p>
        </w:tc>
        <w:tc>
          <w:tcPr>
            <w:tcW w:w="878" w:type="dxa"/>
            <w:noWrap/>
            <w:vAlign w:val="center"/>
          </w:tcPr>
          <w:p>
            <w:pPr>
              <w:tabs>
                <w:tab w:val="left" w:pos="3780"/>
              </w:tabs>
              <w:jc w:val="center"/>
              <w:rPr>
                <w:rFonts w:ascii="仿宋" w:hAnsi="仿宋" w:eastAsia="仿宋" w:cs="仿宋"/>
                <w:b/>
                <w:sz w:val="22"/>
                <w:szCs w:val="22"/>
              </w:rPr>
            </w:pPr>
          </w:p>
        </w:tc>
        <w:tc>
          <w:tcPr>
            <w:tcW w:w="1537" w:type="dxa"/>
            <w:noWrap/>
            <w:vAlign w:val="center"/>
          </w:tcPr>
          <w:p>
            <w:pPr>
              <w:tabs>
                <w:tab w:val="left" w:pos="3780"/>
              </w:tabs>
              <w:jc w:val="center"/>
              <w:rPr>
                <w:rFonts w:ascii="仿宋" w:hAnsi="仿宋" w:eastAsia="仿宋" w:cs="仿宋"/>
                <w:b/>
                <w:sz w:val="22"/>
                <w:szCs w:val="22"/>
              </w:rPr>
            </w:pPr>
          </w:p>
        </w:tc>
        <w:tc>
          <w:tcPr>
            <w:tcW w:w="1620" w:type="dxa"/>
            <w:noWrap/>
            <w:vAlign w:val="center"/>
          </w:tcPr>
          <w:p>
            <w:pPr>
              <w:tabs>
                <w:tab w:val="left" w:pos="3780"/>
              </w:tabs>
              <w:jc w:val="center"/>
              <w:rPr>
                <w:rFonts w:ascii="仿宋" w:hAnsi="仿宋" w:eastAsia="仿宋" w:cs="仿宋"/>
                <w:b/>
                <w:color w:val="FF0000"/>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78"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2</w:t>
            </w:r>
          </w:p>
        </w:tc>
        <w:tc>
          <w:tcPr>
            <w:tcW w:w="3891" w:type="dxa"/>
            <w:noWrap/>
            <w:vAlign w:val="center"/>
          </w:tcPr>
          <w:p>
            <w:pPr>
              <w:tabs>
                <w:tab w:val="left" w:pos="3780"/>
              </w:tabs>
              <w:rPr>
                <w:rFonts w:ascii="仿宋" w:hAnsi="仿宋" w:eastAsia="仿宋" w:cs="仿宋"/>
                <w:b/>
                <w:sz w:val="22"/>
                <w:szCs w:val="22"/>
              </w:rPr>
            </w:pPr>
          </w:p>
        </w:tc>
        <w:tc>
          <w:tcPr>
            <w:tcW w:w="878" w:type="dxa"/>
            <w:noWrap/>
            <w:vAlign w:val="center"/>
          </w:tcPr>
          <w:p>
            <w:pPr>
              <w:tabs>
                <w:tab w:val="left" w:pos="3780"/>
              </w:tabs>
              <w:jc w:val="center"/>
              <w:rPr>
                <w:rFonts w:ascii="仿宋" w:hAnsi="仿宋" w:eastAsia="仿宋" w:cs="仿宋"/>
                <w:b/>
                <w:sz w:val="22"/>
                <w:szCs w:val="22"/>
              </w:rPr>
            </w:pPr>
          </w:p>
        </w:tc>
        <w:tc>
          <w:tcPr>
            <w:tcW w:w="1537" w:type="dxa"/>
            <w:noWrap/>
            <w:vAlign w:val="center"/>
          </w:tcPr>
          <w:p>
            <w:pPr>
              <w:tabs>
                <w:tab w:val="left" w:pos="3780"/>
              </w:tabs>
              <w:jc w:val="center"/>
              <w:rPr>
                <w:rFonts w:ascii="仿宋" w:hAnsi="仿宋" w:eastAsia="仿宋" w:cs="仿宋"/>
                <w:b/>
                <w:sz w:val="22"/>
                <w:szCs w:val="22"/>
              </w:rPr>
            </w:pPr>
          </w:p>
        </w:tc>
        <w:tc>
          <w:tcPr>
            <w:tcW w:w="1620" w:type="dxa"/>
            <w:noWrap/>
            <w:vAlign w:val="center"/>
          </w:tcPr>
          <w:p>
            <w:pPr>
              <w:tabs>
                <w:tab w:val="left" w:pos="3780"/>
              </w:tabs>
              <w:jc w:val="center"/>
              <w:rPr>
                <w:rFonts w:ascii="仿宋" w:hAnsi="仿宋" w:eastAsia="仿宋" w:cs="仿宋"/>
                <w:b/>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78"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3</w:t>
            </w:r>
          </w:p>
        </w:tc>
        <w:tc>
          <w:tcPr>
            <w:tcW w:w="3891" w:type="dxa"/>
            <w:noWrap/>
            <w:vAlign w:val="center"/>
          </w:tcPr>
          <w:p>
            <w:pPr>
              <w:tabs>
                <w:tab w:val="left" w:pos="3780"/>
              </w:tabs>
              <w:rPr>
                <w:rFonts w:ascii="仿宋" w:hAnsi="仿宋" w:eastAsia="仿宋" w:cs="仿宋"/>
                <w:b/>
                <w:sz w:val="22"/>
                <w:szCs w:val="22"/>
              </w:rPr>
            </w:pPr>
          </w:p>
        </w:tc>
        <w:tc>
          <w:tcPr>
            <w:tcW w:w="878" w:type="dxa"/>
            <w:noWrap/>
            <w:vAlign w:val="center"/>
          </w:tcPr>
          <w:p>
            <w:pPr>
              <w:tabs>
                <w:tab w:val="left" w:pos="3780"/>
              </w:tabs>
              <w:jc w:val="center"/>
              <w:rPr>
                <w:rFonts w:ascii="仿宋" w:hAnsi="仿宋" w:eastAsia="仿宋" w:cs="仿宋"/>
                <w:b/>
                <w:sz w:val="22"/>
                <w:szCs w:val="22"/>
              </w:rPr>
            </w:pPr>
          </w:p>
        </w:tc>
        <w:tc>
          <w:tcPr>
            <w:tcW w:w="1537" w:type="dxa"/>
            <w:noWrap/>
            <w:vAlign w:val="center"/>
          </w:tcPr>
          <w:p>
            <w:pPr>
              <w:tabs>
                <w:tab w:val="left" w:pos="3780"/>
              </w:tabs>
              <w:jc w:val="center"/>
              <w:rPr>
                <w:rFonts w:ascii="仿宋" w:hAnsi="仿宋" w:eastAsia="仿宋" w:cs="仿宋"/>
                <w:b/>
                <w:sz w:val="22"/>
                <w:szCs w:val="22"/>
              </w:rPr>
            </w:pPr>
          </w:p>
        </w:tc>
        <w:tc>
          <w:tcPr>
            <w:tcW w:w="1620" w:type="dxa"/>
            <w:noWrap/>
            <w:vAlign w:val="center"/>
          </w:tcPr>
          <w:p>
            <w:pPr>
              <w:tabs>
                <w:tab w:val="left" w:pos="3780"/>
              </w:tabs>
              <w:jc w:val="center"/>
              <w:rPr>
                <w:rFonts w:ascii="仿宋" w:hAnsi="仿宋" w:eastAsia="仿宋" w:cs="仿宋"/>
                <w:b/>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78"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4</w:t>
            </w:r>
          </w:p>
        </w:tc>
        <w:tc>
          <w:tcPr>
            <w:tcW w:w="3891" w:type="dxa"/>
            <w:noWrap/>
            <w:vAlign w:val="center"/>
          </w:tcPr>
          <w:p>
            <w:pPr>
              <w:tabs>
                <w:tab w:val="left" w:pos="3780"/>
              </w:tabs>
              <w:rPr>
                <w:rFonts w:ascii="仿宋" w:hAnsi="仿宋" w:eastAsia="仿宋" w:cs="仿宋"/>
                <w:b/>
                <w:sz w:val="22"/>
                <w:szCs w:val="22"/>
              </w:rPr>
            </w:pPr>
          </w:p>
        </w:tc>
        <w:tc>
          <w:tcPr>
            <w:tcW w:w="878" w:type="dxa"/>
            <w:noWrap/>
            <w:vAlign w:val="center"/>
          </w:tcPr>
          <w:p>
            <w:pPr>
              <w:tabs>
                <w:tab w:val="left" w:pos="3780"/>
              </w:tabs>
              <w:jc w:val="center"/>
              <w:rPr>
                <w:rFonts w:ascii="仿宋" w:hAnsi="仿宋" w:eastAsia="仿宋" w:cs="仿宋"/>
                <w:b/>
                <w:sz w:val="22"/>
                <w:szCs w:val="22"/>
              </w:rPr>
            </w:pPr>
          </w:p>
        </w:tc>
        <w:tc>
          <w:tcPr>
            <w:tcW w:w="1537" w:type="dxa"/>
            <w:noWrap/>
            <w:vAlign w:val="center"/>
          </w:tcPr>
          <w:p>
            <w:pPr>
              <w:tabs>
                <w:tab w:val="left" w:pos="3780"/>
              </w:tabs>
              <w:jc w:val="center"/>
              <w:rPr>
                <w:rFonts w:ascii="仿宋" w:hAnsi="仿宋" w:eastAsia="仿宋" w:cs="仿宋"/>
                <w:b/>
                <w:sz w:val="22"/>
                <w:szCs w:val="22"/>
              </w:rPr>
            </w:pPr>
          </w:p>
        </w:tc>
        <w:tc>
          <w:tcPr>
            <w:tcW w:w="1620" w:type="dxa"/>
            <w:noWrap/>
            <w:vAlign w:val="center"/>
          </w:tcPr>
          <w:p>
            <w:pPr>
              <w:tabs>
                <w:tab w:val="left" w:pos="3780"/>
              </w:tabs>
              <w:jc w:val="center"/>
              <w:rPr>
                <w:rFonts w:ascii="仿宋" w:hAnsi="仿宋" w:eastAsia="仿宋" w:cs="仿宋"/>
                <w:b/>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78"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5</w:t>
            </w:r>
          </w:p>
        </w:tc>
        <w:tc>
          <w:tcPr>
            <w:tcW w:w="3891" w:type="dxa"/>
            <w:noWrap/>
            <w:vAlign w:val="center"/>
          </w:tcPr>
          <w:p>
            <w:pPr>
              <w:tabs>
                <w:tab w:val="left" w:pos="3780"/>
              </w:tabs>
              <w:rPr>
                <w:rFonts w:ascii="仿宋" w:hAnsi="仿宋" w:eastAsia="仿宋" w:cs="仿宋"/>
                <w:b/>
                <w:sz w:val="22"/>
                <w:szCs w:val="22"/>
              </w:rPr>
            </w:pPr>
          </w:p>
        </w:tc>
        <w:tc>
          <w:tcPr>
            <w:tcW w:w="878" w:type="dxa"/>
            <w:noWrap/>
            <w:vAlign w:val="center"/>
          </w:tcPr>
          <w:p>
            <w:pPr>
              <w:tabs>
                <w:tab w:val="left" w:pos="3780"/>
              </w:tabs>
              <w:jc w:val="center"/>
              <w:rPr>
                <w:rFonts w:ascii="仿宋" w:hAnsi="仿宋" w:eastAsia="仿宋" w:cs="仿宋"/>
                <w:b/>
                <w:sz w:val="22"/>
                <w:szCs w:val="22"/>
              </w:rPr>
            </w:pPr>
          </w:p>
        </w:tc>
        <w:tc>
          <w:tcPr>
            <w:tcW w:w="1537" w:type="dxa"/>
            <w:noWrap/>
            <w:vAlign w:val="center"/>
          </w:tcPr>
          <w:p>
            <w:pPr>
              <w:tabs>
                <w:tab w:val="left" w:pos="3780"/>
              </w:tabs>
              <w:jc w:val="center"/>
              <w:rPr>
                <w:rFonts w:ascii="仿宋" w:hAnsi="仿宋" w:eastAsia="仿宋" w:cs="仿宋"/>
                <w:b/>
                <w:sz w:val="22"/>
                <w:szCs w:val="22"/>
              </w:rPr>
            </w:pPr>
          </w:p>
        </w:tc>
        <w:tc>
          <w:tcPr>
            <w:tcW w:w="1620" w:type="dxa"/>
            <w:noWrap/>
            <w:vAlign w:val="center"/>
          </w:tcPr>
          <w:p>
            <w:pPr>
              <w:tabs>
                <w:tab w:val="left" w:pos="3780"/>
              </w:tabs>
              <w:jc w:val="center"/>
              <w:rPr>
                <w:rFonts w:ascii="仿宋" w:hAnsi="仿宋" w:eastAsia="仿宋" w:cs="仿宋"/>
                <w:b/>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78"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6</w:t>
            </w:r>
          </w:p>
        </w:tc>
        <w:tc>
          <w:tcPr>
            <w:tcW w:w="3891" w:type="dxa"/>
            <w:noWrap/>
            <w:vAlign w:val="center"/>
          </w:tcPr>
          <w:p>
            <w:pPr>
              <w:tabs>
                <w:tab w:val="left" w:pos="3780"/>
              </w:tabs>
              <w:jc w:val="center"/>
              <w:rPr>
                <w:rFonts w:ascii="仿宋" w:hAnsi="仿宋" w:eastAsia="仿宋" w:cs="仿宋"/>
                <w:b/>
                <w:sz w:val="22"/>
                <w:szCs w:val="22"/>
              </w:rPr>
            </w:pPr>
          </w:p>
        </w:tc>
        <w:tc>
          <w:tcPr>
            <w:tcW w:w="878" w:type="dxa"/>
            <w:noWrap/>
            <w:vAlign w:val="center"/>
          </w:tcPr>
          <w:p>
            <w:pPr>
              <w:tabs>
                <w:tab w:val="left" w:pos="3780"/>
              </w:tabs>
              <w:jc w:val="center"/>
              <w:rPr>
                <w:rFonts w:ascii="仿宋" w:hAnsi="仿宋" w:eastAsia="仿宋" w:cs="仿宋"/>
                <w:b/>
                <w:sz w:val="22"/>
                <w:szCs w:val="22"/>
              </w:rPr>
            </w:pPr>
          </w:p>
        </w:tc>
        <w:tc>
          <w:tcPr>
            <w:tcW w:w="1537" w:type="dxa"/>
            <w:noWrap/>
            <w:vAlign w:val="center"/>
          </w:tcPr>
          <w:p>
            <w:pPr>
              <w:tabs>
                <w:tab w:val="left" w:pos="3780"/>
              </w:tabs>
              <w:jc w:val="center"/>
              <w:rPr>
                <w:rFonts w:ascii="仿宋" w:hAnsi="仿宋" w:eastAsia="仿宋" w:cs="仿宋"/>
                <w:b/>
                <w:sz w:val="22"/>
                <w:szCs w:val="22"/>
              </w:rPr>
            </w:pPr>
          </w:p>
        </w:tc>
        <w:tc>
          <w:tcPr>
            <w:tcW w:w="1620" w:type="dxa"/>
            <w:noWrap/>
            <w:vAlign w:val="center"/>
          </w:tcPr>
          <w:p>
            <w:pPr>
              <w:tabs>
                <w:tab w:val="left" w:pos="3780"/>
              </w:tabs>
              <w:jc w:val="center"/>
              <w:rPr>
                <w:rFonts w:ascii="仿宋" w:hAnsi="仿宋" w:eastAsia="仿宋" w:cs="仿宋"/>
                <w:b/>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78"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7</w:t>
            </w:r>
          </w:p>
        </w:tc>
        <w:tc>
          <w:tcPr>
            <w:tcW w:w="3891" w:type="dxa"/>
            <w:noWrap/>
            <w:vAlign w:val="center"/>
          </w:tcPr>
          <w:p>
            <w:pPr>
              <w:tabs>
                <w:tab w:val="left" w:pos="3780"/>
              </w:tabs>
              <w:jc w:val="center"/>
              <w:rPr>
                <w:rFonts w:ascii="仿宋" w:hAnsi="仿宋" w:eastAsia="仿宋" w:cs="仿宋"/>
                <w:b/>
                <w:sz w:val="22"/>
                <w:szCs w:val="22"/>
              </w:rPr>
            </w:pPr>
          </w:p>
        </w:tc>
        <w:tc>
          <w:tcPr>
            <w:tcW w:w="878" w:type="dxa"/>
            <w:noWrap/>
            <w:vAlign w:val="center"/>
          </w:tcPr>
          <w:p>
            <w:pPr>
              <w:tabs>
                <w:tab w:val="left" w:pos="3780"/>
              </w:tabs>
              <w:jc w:val="center"/>
              <w:rPr>
                <w:rFonts w:ascii="仿宋" w:hAnsi="仿宋" w:eastAsia="仿宋" w:cs="仿宋"/>
                <w:b/>
                <w:sz w:val="22"/>
                <w:szCs w:val="22"/>
              </w:rPr>
            </w:pPr>
          </w:p>
        </w:tc>
        <w:tc>
          <w:tcPr>
            <w:tcW w:w="1537" w:type="dxa"/>
            <w:noWrap/>
            <w:vAlign w:val="center"/>
          </w:tcPr>
          <w:p>
            <w:pPr>
              <w:tabs>
                <w:tab w:val="left" w:pos="3780"/>
              </w:tabs>
              <w:jc w:val="center"/>
              <w:rPr>
                <w:rFonts w:ascii="仿宋" w:hAnsi="仿宋" w:eastAsia="仿宋" w:cs="仿宋"/>
                <w:b/>
                <w:sz w:val="22"/>
                <w:szCs w:val="22"/>
              </w:rPr>
            </w:pPr>
          </w:p>
        </w:tc>
        <w:tc>
          <w:tcPr>
            <w:tcW w:w="1620" w:type="dxa"/>
            <w:noWrap/>
            <w:vAlign w:val="center"/>
          </w:tcPr>
          <w:p>
            <w:pPr>
              <w:tabs>
                <w:tab w:val="left" w:pos="3780"/>
              </w:tabs>
              <w:jc w:val="center"/>
              <w:rPr>
                <w:rFonts w:ascii="仿宋" w:hAnsi="仿宋" w:eastAsia="仿宋" w:cs="仿宋"/>
                <w:b/>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78" w:type="dxa"/>
            <w:noWrap/>
            <w:vAlign w:val="center"/>
          </w:tcPr>
          <w:p>
            <w:pPr>
              <w:tabs>
                <w:tab w:val="left" w:pos="3780"/>
              </w:tabs>
              <w:jc w:val="center"/>
              <w:rPr>
                <w:rFonts w:ascii="仿宋" w:hAnsi="仿宋" w:eastAsia="仿宋" w:cs="仿宋"/>
                <w:b/>
                <w:sz w:val="22"/>
                <w:szCs w:val="22"/>
              </w:rPr>
            </w:pPr>
            <w:r>
              <w:rPr>
                <w:rFonts w:hint="eastAsia" w:ascii="仿宋" w:hAnsi="仿宋" w:eastAsia="仿宋" w:cs="仿宋"/>
                <w:b/>
                <w:sz w:val="22"/>
                <w:szCs w:val="22"/>
              </w:rPr>
              <w:t>8</w:t>
            </w:r>
          </w:p>
        </w:tc>
        <w:tc>
          <w:tcPr>
            <w:tcW w:w="3891" w:type="dxa"/>
            <w:noWrap/>
            <w:vAlign w:val="center"/>
          </w:tcPr>
          <w:p>
            <w:pPr>
              <w:tabs>
                <w:tab w:val="left" w:pos="3780"/>
              </w:tabs>
              <w:jc w:val="center"/>
              <w:rPr>
                <w:rFonts w:ascii="仿宋" w:hAnsi="仿宋" w:eastAsia="仿宋" w:cs="仿宋"/>
                <w:b/>
                <w:sz w:val="22"/>
                <w:szCs w:val="22"/>
              </w:rPr>
            </w:pPr>
          </w:p>
        </w:tc>
        <w:tc>
          <w:tcPr>
            <w:tcW w:w="878" w:type="dxa"/>
            <w:noWrap/>
            <w:vAlign w:val="center"/>
          </w:tcPr>
          <w:p>
            <w:pPr>
              <w:tabs>
                <w:tab w:val="left" w:pos="3780"/>
              </w:tabs>
              <w:jc w:val="center"/>
              <w:rPr>
                <w:rFonts w:ascii="仿宋" w:hAnsi="仿宋" w:eastAsia="仿宋" w:cs="仿宋"/>
                <w:b/>
                <w:sz w:val="22"/>
                <w:szCs w:val="22"/>
              </w:rPr>
            </w:pPr>
          </w:p>
        </w:tc>
        <w:tc>
          <w:tcPr>
            <w:tcW w:w="1537" w:type="dxa"/>
            <w:noWrap/>
            <w:vAlign w:val="center"/>
          </w:tcPr>
          <w:p>
            <w:pPr>
              <w:tabs>
                <w:tab w:val="left" w:pos="3780"/>
              </w:tabs>
              <w:jc w:val="center"/>
              <w:rPr>
                <w:rFonts w:ascii="仿宋" w:hAnsi="仿宋" w:eastAsia="仿宋" w:cs="仿宋"/>
                <w:b/>
                <w:sz w:val="22"/>
                <w:szCs w:val="22"/>
              </w:rPr>
            </w:pPr>
          </w:p>
        </w:tc>
        <w:tc>
          <w:tcPr>
            <w:tcW w:w="1620" w:type="dxa"/>
            <w:noWrap/>
            <w:vAlign w:val="center"/>
          </w:tcPr>
          <w:p>
            <w:pPr>
              <w:tabs>
                <w:tab w:val="left" w:pos="3780"/>
              </w:tabs>
              <w:jc w:val="center"/>
              <w:rPr>
                <w:rFonts w:ascii="仿宋" w:hAnsi="仿宋" w:eastAsia="仿宋" w:cs="仿宋"/>
                <w:b/>
                <w:sz w:val="22"/>
                <w:szCs w:val="22"/>
              </w:rPr>
            </w:pPr>
          </w:p>
        </w:tc>
      </w:tr>
    </w:tbl>
    <w:p>
      <w:pPr>
        <w:snapToGrid w:val="0"/>
        <w:spacing w:line="500" w:lineRule="exact"/>
        <w:ind w:firstLine="433" w:firstLineChars="196"/>
        <w:jc w:val="left"/>
        <w:rPr>
          <w:rFonts w:ascii="宋体" w:hAnsi="宋体" w:cs="宋体"/>
          <w:sz w:val="22"/>
          <w:szCs w:val="22"/>
        </w:rPr>
      </w:pPr>
      <w:r>
        <w:rPr>
          <w:rFonts w:hint="eastAsia" w:ascii="仿宋" w:hAnsi="仿宋" w:eastAsia="仿宋" w:cs="仿宋"/>
          <w:b/>
          <w:sz w:val="22"/>
          <w:szCs w:val="22"/>
        </w:rPr>
        <w:t>注：1.</w:t>
      </w:r>
      <w:r>
        <w:rPr>
          <w:rFonts w:hint="eastAsia" w:ascii="宋体" w:hAnsi="宋体" w:cs="宋体"/>
          <w:sz w:val="22"/>
          <w:szCs w:val="22"/>
        </w:rPr>
        <w:t>此表仅提供了表格形式，投标人应根据需要准备足够数量的表格来填写。</w:t>
      </w:r>
    </w:p>
    <w:p>
      <w:pPr>
        <w:snapToGrid w:val="0"/>
        <w:spacing w:line="500" w:lineRule="exact"/>
        <w:ind w:firstLine="433" w:firstLineChars="196"/>
        <w:jc w:val="left"/>
        <w:rPr>
          <w:rFonts w:ascii="仿宋" w:hAnsi="仿宋" w:eastAsia="仿宋" w:cs="仿宋"/>
          <w:b/>
          <w:sz w:val="22"/>
          <w:szCs w:val="22"/>
        </w:rPr>
      </w:pPr>
      <w:r>
        <w:rPr>
          <w:rFonts w:hint="eastAsia" w:ascii="仿宋" w:hAnsi="仿宋" w:eastAsia="仿宋" w:cs="仿宋"/>
          <w:b/>
          <w:sz w:val="22"/>
          <w:szCs w:val="22"/>
        </w:rPr>
        <w:t>2.设备自列。</w:t>
      </w:r>
    </w:p>
    <w:p>
      <w:pPr>
        <w:spacing w:line="360" w:lineRule="auto"/>
        <w:jc w:val="center"/>
        <w:rPr>
          <w:rFonts w:ascii="宋体" w:hAnsi="宋体"/>
          <w:b/>
          <w:bCs/>
          <w:szCs w:val="28"/>
        </w:rPr>
      </w:pPr>
    </w:p>
    <w:p>
      <w:pPr>
        <w:spacing w:line="360" w:lineRule="auto"/>
        <w:jc w:val="center"/>
        <w:rPr>
          <w:rFonts w:ascii="宋体" w:hAnsi="宋体"/>
          <w:b/>
          <w:bCs/>
          <w:szCs w:val="28"/>
        </w:rPr>
      </w:pPr>
    </w:p>
    <w:p>
      <w:pPr>
        <w:pStyle w:val="21"/>
        <w:ind w:firstLine="281"/>
        <w:rPr>
          <w:rFonts w:ascii="宋体" w:hAnsi="宋体"/>
          <w:b/>
          <w:bCs/>
          <w:szCs w:val="28"/>
        </w:rPr>
      </w:pPr>
    </w:p>
    <w:p>
      <w:pPr>
        <w:rPr>
          <w:rFonts w:ascii="宋体" w:hAnsi="宋体"/>
          <w:b/>
          <w:bCs/>
          <w:szCs w:val="28"/>
        </w:rPr>
      </w:pPr>
    </w:p>
    <w:p>
      <w:pPr>
        <w:spacing w:line="380" w:lineRule="exact"/>
        <w:jc w:val="left"/>
        <w:rPr>
          <w:rFonts w:ascii="宋体" w:hAnsi="宋体" w:cs="宋体"/>
          <w:szCs w:val="21"/>
        </w:rPr>
      </w:pPr>
      <w:r>
        <w:rPr>
          <w:rFonts w:hint="eastAsia" w:ascii="宋体" w:hAnsi="宋体" w:cs="宋体"/>
          <w:szCs w:val="21"/>
        </w:rPr>
        <w:t xml:space="preserve">投标人全称（签章）：    </w:t>
      </w:r>
    </w:p>
    <w:p>
      <w:pPr>
        <w:spacing w:line="380" w:lineRule="exact"/>
        <w:jc w:val="left"/>
        <w:rPr>
          <w:rFonts w:ascii="宋体" w:hAnsi="宋体" w:cs="宋体"/>
          <w:szCs w:val="21"/>
        </w:rPr>
      </w:pPr>
      <w:r>
        <w:rPr>
          <w:rFonts w:hint="eastAsia" w:ascii="宋体" w:hAnsi="宋体" w:cs="宋体"/>
          <w:szCs w:val="21"/>
        </w:rPr>
        <w:t>法定代表人或授权代表（签字）：</w:t>
      </w:r>
    </w:p>
    <w:p>
      <w:pPr>
        <w:spacing w:line="380" w:lineRule="exact"/>
        <w:jc w:val="left"/>
        <w:rPr>
          <w:rFonts w:ascii="宋体" w:hAnsi="宋体" w:cs="宋体"/>
        </w:rPr>
      </w:pPr>
      <w:r>
        <w:rPr>
          <w:rFonts w:hint="eastAsia" w:ascii="宋体" w:hAnsi="宋体" w:cs="宋体"/>
          <w:szCs w:val="21"/>
        </w:rPr>
        <w:t>日期：  年   月  日</w:t>
      </w:r>
    </w:p>
    <w:p>
      <w:pPr>
        <w:rPr>
          <w:rFonts w:ascii="宋体" w:hAnsi="宋体" w:cs="宋体"/>
          <w:b/>
          <w:bCs/>
          <w:spacing w:val="14"/>
          <w:szCs w:val="28"/>
        </w:rPr>
      </w:pPr>
    </w:p>
    <w:p>
      <w:pPr>
        <w:pStyle w:val="21"/>
        <w:ind w:firstLine="281"/>
        <w:rPr>
          <w:rFonts w:ascii="宋体" w:hAnsi="宋体"/>
          <w:b/>
          <w:bCs/>
          <w:szCs w:val="28"/>
        </w:rPr>
      </w:pPr>
    </w:p>
    <w:p>
      <w:pPr>
        <w:snapToGrid w:val="0"/>
        <w:spacing w:before="50" w:afterLines="50"/>
        <w:jc w:val="left"/>
        <w:rPr>
          <w:rFonts w:ascii="宋体" w:hAnsi="宋体" w:cs="宋体"/>
          <w:b/>
          <w:sz w:val="24"/>
        </w:rPr>
      </w:pPr>
    </w:p>
    <w:p>
      <w:pPr>
        <w:pStyle w:val="21"/>
        <w:ind w:firstLine="241"/>
        <w:rPr>
          <w:rFonts w:ascii="宋体" w:hAnsi="宋体" w:cs="宋体"/>
          <w:b/>
          <w:sz w:val="24"/>
        </w:rPr>
      </w:pPr>
    </w:p>
    <w:p>
      <w:pPr>
        <w:pStyle w:val="22"/>
        <w:ind w:left="2800"/>
        <w:rPr>
          <w:rFonts w:ascii="宋体" w:hAnsi="宋体" w:cs="宋体"/>
          <w:b/>
          <w:sz w:val="24"/>
        </w:rPr>
      </w:pPr>
    </w:p>
    <w:p>
      <w:pPr>
        <w:rPr>
          <w:rFonts w:ascii="宋体" w:hAnsi="宋体" w:cs="宋体"/>
          <w:b/>
          <w:sz w:val="24"/>
        </w:rPr>
      </w:pPr>
    </w:p>
    <w:p>
      <w:pPr>
        <w:pStyle w:val="21"/>
        <w:ind w:firstLine="280"/>
      </w:pPr>
    </w:p>
    <w:p>
      <w:pPr>
        <w:snapToGrid w:val="0"/>
        <w:spacing w:before="50" w:afterLines="50"/>
        <w:jc w:val="left"/>
        <w:rPr>
          <w:rFonts w:ascii="宋体" w:hAnsi="宋体" w:cs="宋体"/>
          <w:b/>
          <w:sz w:val="24"/>
        </w:rPr>
      </w:pPr>
    </w:p>
    <w:p>
      <w:pPr>
        <w:spacing w:line="520" w:lineRule="exact"/>
        <w:jc w:val="center"/>
        <w:rPr>
          <w:rFonts w:ascii="宋体" w:hAnsi="宋体"/>
          <w:b/>
          <w:szCs w:val="28"/>
        </w:rPr>
      </w:pPr>
    </w:p>
    <w:p>
      <w:pPr>
        <w:spacing w:line="520" w:lineRule="exact"/>
        <w:rPr>
          <w:rFonts w:ascii="宋体" w:hAnsi="宋体"/>
          <w:b/>
          <w:bCs/>
          <w:szCs w:val="28"/>
        </w:rPr>
      </w:pPr>
      <w:r>
        <w:rPr>
          <w:rFonts w:hint="eastAsia" w:ascii="宋体" w:hAnsi="宋体"/>
          <w:b/>
          <w:bCs/>
          <w:szCs w:val="28"/>
        </w:rPr>
        <w:t>10、</w:t>
      </w:r>
      <w:r>
        <w:rPr>
          <w:rFonts w:hint="eastAsia" w:ascii="宋体" w:hAnsi="宋体"/>
          <w:b/>
          <w:szCs w:val="28"/>
        </w:rPr>
        <w:t>投标函</w:t>
      </w:r>
      <w:r>
        <w:rPr>
          <w:rFonts w:hint="eastAsia" w:ascii="宋体" w:hAnsi="宋体"/>
          <w:b/>
          <w:bCs/>
          <w:szCs w:val="28"/>
        </w:rPr>
        <w:t>格式</w:t>
      </w:r>
    </w:p>
    <w:p>
      <w:pPr>
        <w:spacing w:line="520" w:lineRule="exact"/>
        <w:jc w:val="center"/>
        <w:rPr>
          <w:rFonts w:ascii="宋体" w:hAnsi="宋体"/>
          <w:b/>
          <w:szCs w:val="28"/>
        </w:rPr>
      </w:pPr>
      <w:r>
        <w:rPr>
          <w:rFonts w:hint="eastAsia" w:ascii="宋体" w:hAnsi="宋体"/>
          <w:b/>
          <w:szCs w:val="28"/>
        </w:rPr>
        <w:t>投标函</w:t>
      </w:r>
    </w:p>
    <w:p>
      <w:pPr>
        <w:autoSpaceDE w:val="0"/>
        <w:autoSpaceDN w:val="0"/>
        <w:adjustRightInd w:val="0"/>
        <w:spacing w:line="500" w:lineRule="exact"/>
        <w:ind w:firstLine="482" w:firstLineChars="201"/>
        <w:rPr>
          <w:rFonts w:ascii="宋体" w:hAnsi="宋体"/>
          <w:sz w:val="24"/>
        </w:rPr>
      </w:pPr>
      <w:r>
        <w:rPr>
          <w:rFonts w:hint="eastAsia" w:ascii="宋体" w:hAnsi="宋体"/>
          <w:sz w:val="24"/>
        </w:rPr>
        <w:t>致：</w:t>
      </w:r>
      <w:r>
        <w:rPr>
          <w:rFonts w:hint="eastAsia" w:ascii="宋体" w:hAnsi="宋体"/>
          <w:sz w:val="24"/>
          <w:u w:val="single"/>
        </w:rPr>
        <w:t xml:space="preserve">                  （招标采购单位）</w:t>
      </w:r>
      <w:r>
        <w:rPr>
          <w:rFonts w:hint="eastAsia" w:ascii="宋体" w:hAnsi="宋体"/>
          <w:sz w:val="24"/>
        </w:rPr>
        <w:t>：</w:t>
      </w:r>
    </w:p>
    <w:p>
      <w:pPr>
        <w:autoSpaceDE w:val="0"/>
        <w:autoSpaceDN w:val="0"/>
        <w:adjustRightInd w:val="0"/>
        <w:spacing w:line="500" w:lineRule="exact"/>
        <w:ind w:firstLine="482" w:firstLineChars="201"/>
        <w:rPr>
          <w:rFonts w:ascii="宋体" w:hAnsi="宋体"/>
          <w:sz w:val="24"/>
          <w:lang w:val="zh-CN"/>
        </w:rPr>
      </w:pPr>
      <w:r>
        <w:rPr>
          <w:rFonts w:hint="eastAsia" w:ascii="宋体" w:hAnsi="宋体" w:cs="宋体"/>
          <w:sz w:val="24"/>
          <w:lang w:val="zh-CN"/>
        </w:rPr>
        <w:t>（投标供应商全称）授权 （授权代表名称）（职务、职称）为授权代表，参加贵方组织的（采购项目名称）（括号内填项目编号）采购的有关活动，并对项目（采购项目名称）进行投标。提供投标供应商</w:t>
      </w:r>
      <w:r>
        <w:rPr>
          <w:rFonts w:hint="eastAsia" w:ascii="宋体" w:hAnsi="宋体"/>
          <w:sz w:val="24"/>
          <w:lang w:val="zh-CN"/>
        </w:rPr>
        <w:t>须知规定的全部投标文件：“资格文件</w:t>
      </w:r>
      <w:r>
        <w:rPr>
          <w:rFonts w:hint="eastAsia" w:ascii="宋体" w:hAnsi="宋体"/>
          <w:sz w:val="24"/>
        </w:rPr>
        <w:t>”、“技术文件、商务文件、资信及其他文件”、“报价文件”各一份。</w:t>
      </w:r>
    </w:p>
    <w:p>
      <w:pPr>
        <w:autoSpaceDE w:val="0"/>
        <w:autoSpaceDN w:val="0"/>
        <w:adjustRightInd w:val="0"/>
        <w:spacing w:line="500" w:lineRule="exact"/>
        <w:ind w:firstLine="482" w:firstLineChars="201"/>
        <w:rPr>
          <w:rFonts w:ascii="宋体" w:hAnsi="宋体"/>
          <w:sz w:val="24"/>
        </w:rPr>
      </w:pPr>
      <w:r>
        <w:rPr>
          <w:rFonts w:hint="eastAsia" w:ascii="宋体" w:hAnsi="宋体"/>
          <w:sz w:val="24"/>
        </w:rPr>
        <w:t>据此函，签字人兹宣布同意如下：</w:t>
      </w:r>
    </w:p>
    <w:p>
      <w:pPr>
        <w:autoSpaceDE w:val="0"/>
        <w:autoSpaceDN w:val="0"/>
        <w:adjustRightInd w:val="0"/>
        <w:spacing w:line="500" w:lineRule="exact"/>
        <w:ind w:firstLine="482" w:firstLineChars="201"/>
        <w:rPr>
          <w:rFonts w:ascii="宋体" w:hAnsi="宋体"/>
          <w:sz w:val="24"/>
        </w:rPr>
      </w:pPr>
      <w:r>
        <w:rPr>
          <w:rFonts w:hint="eastAsia" w:ascii="宋体" w:hAnsi="宋体"/>
          <w:sz w:val="24"/>
        </w:rPr>
        <w:t xml:space="preserve">（1）我单位经研究本项目招标文件、招标文件补充、修改通知、投标答疑纪要等所有内容后，决定参加本项目投标。投标报价以开标一览表为准。  </w:t>
      </w:r>
    </w:p>
    <w:p>
      <w:pPr>
        <w:autoSpaceDE w:val="0"/>
        <w:autoSpaceDN w:val="0"/>
        <w:adjustRightInd w:val="0"/>
        <w:spacing w:line="500" w:lineRule="exact"/>
        <w:ind w:firstLine="482" w:firstLineChars="201"/>
        <w:rPr>
          <w:rFonts w:ascii="宋体" w:hAnsi="宋体"/>
          <w:sz w:val="24"/>
        </w:rPr>
      </w:pPr>
      <w:r>
        <w:rPr>
          <w:rFonts w:hint="eastAsia" w:ascii="宋体" w:hAnsi="宋体"/>
          <w:sz w:val="24"/>
        </w:rPr>
        <w:t>（2）根据招标文件的规定，我单位承担合同执行的责任和义务；</w:t>
      </w:r>
    </w:p>
    <w:p>
      <w:pPr>
        <w:autoSpaceDE w:val="0"/>
        <w:autoSpaceDN w:val="0"/>
        <w:adjustRightInd w:val="0"/>
        <w:spacing w:line="500" w:lineRule="exact"/>
        <w:ind w:firstLine="482" w:firstLineChars="201"/>
        <w:rPr>
          <w:rFonts w:ascii="宋体" w:hAnsi="宋体"/>
          <w:sz w:val="24"/>
        </w:rPr>
      </w:pPr>
      <w:r>
        <w:rPr>
          <w:rFonts w:hint="eastAsia" w:ascii="宋体" w:hAnsi="宋体"/>
          <w:sz w:val="24"/>
        </w:rPr>
        <w:t>（3）我单位已详细审核全部招标文件，包括修改文件、参考资料及有关附件，在完全理解和接受的前提下，完全知道必须放弃因含糊不清或误解而对招标文件提出质疑的权利；</w:t>
      </w:r>
    </w:p>
    <w:p>
      <w:pPr>
        <w:autoSpaceDE w:val="0"/>
        <w:autoSpaceDN w:val="0"/>
        <w:adjustRightInd w:val="0"/>
        <w:spacing w:line="500" w:lineRule="exact"/>
        <w:ind w:firstLine="482" w:firstLineChars="201"/>
        <w:rPr>
          <w:rFonts w:ascii="宋体" w:hAnsi="宋体"/>
          <w:sz w:val="24"/>
        </w:rPr>
      </w:pPr>
      <w:r>
        <w:rPr>
          <w:rFonts w:hint="eastAsia" w:ascii="宋体" w:hAnsi="宋体"/>
          <w:sz w:val="24"/>
        </w:rPr>
        <w:t>（4）同意提供浙江金业管理咨询有限公司可能另外要求的与投标有关的任何数据或资料；</w:t>
      </w:r>
    </w:p>
    <w:p>
      <w:pPr>
        <w:autoSpaceDE w:val="0"/>
        <w:autoSpaceDN w:val="0"/>
        <w:adjustRightInd w:val="0"/>
        <w:spacing w:line="500" w:lineRule="exact"/>
        <w:ind w:firstLine="482" w:firstLineChars="201"/>
        <w:rPr>
          <w:rFonts w:ascii="宋体" w:hAnsi="宋体"/>
          <w:sz w:val="24"/>
        </w:rPr>
      </w:pPr>
      <w:r>
        <w:rPr>
          <w:rFonts w:hint="eastAsia" w:ascii="宋体" w:hAnsi="宋体"/>
          <w:sz w:val="24"/>
        </w:rPr>
        <w:t>（5）同意按照投标供应商须知前附表中规定的供货期限如期供货；</w:t>
      </w:r>
    </w:p>
    <w:p>
      <w:pPr>
        <w:autoSpaceDE w:val="0"/>
        <w:autoSpaceDN w:val="0"/>
        <w:adjustRightInd w:val="0"/>
        <w:spacing w:line="500" w:lineRule="exact"/>
        <w:ind w:firstLine="482" w:firstLineChars="201"/>
        <w:rPr>
          <w:rFonts w:ascii="宋体" w:hAnsi="宋体"/>
          <w:sz w:val="24"/>
        </w:rPr>
      </w:pPr>
      <w:r>
        <w:rPr>
          <w:rFonts w:hint="eastAsia" w:ascii="宋体" w:hAnsi="宋体"/>
          <w:sz w:val="24"/>
        </w:rPr>
        <w:t>（6）我单位保证所提供的保洁服务符合招标文件规定的要求；</w:t>
      </w:r>
    </w:p>
    <w:p>
      <w:pPr>
        <w:autoSpaceDE w:val="0"/>
        <w:autoSpaceDN w:val="0"/>
        <w:adjustRightInd w:val="0"/>
        <w:spacing w:line="500" w:lineRule="exact"/>
        <w:ind w:firstLine="482" w:firstLineChars="201"/>
        <w:rPr>
          <w:rFonts w:ascii="宋体" w:hAnsi="宋体"/>
          <w:sz w:val="24"/>
        </w:rPr>
      </w:pPr>
      <w:r>
        <w:rPr>
          <w:rFonts w:hint="eastAsia" w:ascii="宋体" w:hAnsi="宋体"/>
          <w:sz w:val="24"/>
        </w:rPr>
        <w:t>（7）我单位同意所提交的投标文件在投标有效期内有效，在此期间我单位的投标有可能中标，我单位将受此约束；</w:t>
      </w:r>
    </w:p>
    <w:p>
      <w:pPr>
        <w:autoSpaceDE w:val="0"/>
        <w:autoSpaceDN w:val="0"/>
        <w:adjustRightInd w:val="0"/>
        <w:spacing w:line="500" w:lineRule="exact"/>
        <w:ind w:firstLine="482" w:firstLineChars="201"/>
        <w:rPr>
          <w:rFonts w:ascii="宋体" w:hAnsi="宋体"/>
          <w:sz w:val="24"/>
        </w:rPr>
      </w:pPr>
      <w:r>
        <w:rPr>
          <w:rFonts w:hint="eastAsia" w:ascii="宋体" w:hAnsi="宋体"/>
          <w:sz w:val="24"/>
        </w:rPr>
        <w:t>（8）除非另外达成协议并生效，招标文件、招标文件补充、修改通知、技术规范、中标通知书和本投标文件将构成约束我们双方的合同；</w:t>
      </w:r>
    </w:p>
    <w:p>
      <w:pPr>
        <w:autoSpaceDE w:val="0"/>
        <w:autoSpaceDN w:val="0"/>
        <w:adjustRightInd w:val="0"/>
        <w:spacing w:line="400" w:lineRule="exact"/>
        <w:rPr>
          <w:rFonts w:ascii="宋体" w:hAnsi="宋体" w:cs="宋体"/>
          <w:b/>
          <w:szCs w:val="28"/>
          <w:lang w:val="zh-CN"/>
        </w:rPr>
      </w:pPr>
    </w:p>
    <w:p>
      <w:pPr>
        <w:autoSpaceDE w:val="0"/>
        <w:autoSpaceDN w:val="0"/>
        <w:adjustRightInd w:val="0"/>
        <w:spacing w:line="500" w:lineRule="exact"/>
        <w:ind w:firstLine="482" w:firstLineChars="201"/>
        <w:rPr>
          <w:rFonts w:ascii="宋体" w:hAnsi="宋体" w:cs="宋体"/>
          <w:sz w:val="24"/>
          <w:lang w:val="zh-CN"/>
        </w:rPr>
      </w:pPr>
      <w:r>
        <w:rPr>
          <w:rFonts w:hint="eastAsia" w:ascii="宋体" w:hAnsi="宋体" w:cs="宋体"/>
          <w:sz w:val="24"/>
          <w:lang w:val="zh-CN"/>
        </w:rPr>
        <w:t xml:space="preserve">投标投标人全称（签章）：    </w:t>
      </w:r>
    </w:p>
    <w:p>
      <w:pPr>
        <w:autoSpaceDE w:val="0"/>
        <w:autoSpaceDN w:val="0"/>
        <w:adjustRightInd w:val="0"/>
        <w:spacing w:line="500" w:lineRule="exact"/>
        <w:ind w:firstLine="482" w:firstLineChars="201"/>
        <w:rPr>
          <w:rFonts w:ascii="宋体" w:hAnsi="宋体" w:cs="宋体"/>
          <w:sz w:val="24"/>
        </w:rPr>
      </w:pPr>
      <w:r>
        <w:rPr>
          <w:rFonts w:hint="eastAsia" w:ascii="宋体" w:hAnsi="宋体" w:cs="宋体"/>
          <w:sz w:val="24"/>
        </w:rPr>
        <w:t>法定代表人</w:t>
      </w:r>
      <w:r>
        <w:rPr>
          <w:rFonts w:hint="eastAsia" w:ascii="宋体" w:hAnsi="宋体"/>
          <w:sz w:val="24"/>
        </w:rPr>
        <w:t>或其授权代理人</w:t>
      </w:r>
      <w:r>
        <w:rPr>
          <w:rFonts w:hint="eastAsia" w:ascii="宋体" w:hAnsi="宋体" w:cs="宋体"/>
          <w:sz w:val="24"/>
        </w:rPr>
        <w:t xml:space="preserve">（签字或盖章）：         </w:t>
      </w:r>
    </w:p>
    <w:p>
      <w:pPr>
        <w:autoSpaceDE w:val="0"/>
        <w:autoSpaceDN w:val="0"/>
        <w:adjustRightInd w:val="0"/>
        <w:spacing w:line="500" w:lineRule="exact"/>
        <w:ind w:firstLine="482" w:firstLineChars="201"/>
        <w:rPr>
          <w:rFonts w:ascii="宋体" w:hAnsi="宋体" w:cs="宋体"/>
          <w:b/>
          <w:bCs/>
          <w:spacing w:val="24"/>
          <w:szCs w:val="28"/>
        </w:rPr>
      </w:pPr>
      <w:r>
        <w:rPr>
          <w:rFonts w:hint="eastAsia" w:ascii="宋体" w:hAnsi="宋体" w:cs="宋体"/>
          <w:sz w:val="24"/>
          <w:lang w:val="zh-CN"/>
        </w:rPr>
        <w:t>日   期：</w:t>
      </w:r>
    </w:p>
    <w:p>
      <w:pPr>
        <w:spacing w:line="600" w:lineRule="exact"/>
        <w:jc w:val="center"/>
        <w:rPr>
          <w:rFonts w:ascii="宋体" w:hAnsi="宋体"/>
          <w:b/>
          <w:bCs/>
          <w:sz w:val="32"/>
          <w:szCs w:val="32"/>
        </w:rPr>
      </w:pPr>
    </w:p>
    <w:p>
      <w:pPr>
        <w:pStyle w:val="21"/>
        <w:ind w:firstLine="321"/>
        <w:rPr>
          <w:rFonts w:ascii="宋体" w:hAnsi="宋体"/>
          <w:b/>
          <w:bCs/>
          <w:sz w:val="32"/>
          <w:szCs w:val="32"/>
        </w:rPr>
      </w:pPr>
    </w:p>
    <w:p>
      <w:pPr>
        <w:pStyle w:val="22"/>
        <w:ind w:left="2800"/>
        <w:rPr>
          <w:rFonts w:ascii="宋体" w:hAnsi="宋体"/>
          <w:b/>
          <w:bCs/>
          <w:sz w:val="32"/>
          <w:szCs w:val="32"/>
        </w:rPr>
      </w:pPr>
    </w:p>
    <w:p>
      <w:pPr>
        <w:rPr>
          <w:rFonts w:ascii="宋体" w:hAnsi="宋体"/>
          <w:b/>
          <w:bCs/>
          <w:sz w:val="32"/>
          <w:szCs w:val="32"/>
        </w:rPr>
      </w:pPr>
    </w:p>
    <w:p>
      <w:pPr>
        <w:pStyle w:val="21"/>
        <w:ind w:firstLine="280"/>
      </w:pPr>
    </w:p>
    <w:p>
      <w:pPr>
        <w:spacing w:line="520" w:lineRule="exact"/>
        <w:rPr>
          <w:rFonts w:ascii="宋体" w:hAnsi="宋体"/>
          <w:b/>
          <w:bCs/>
          <w:szCs w:val="28"/>
        </w:rPr>
      </w:pPr>
      <w:r>
        <w:rPr>
          <w:rFonts w:hint="eastAsia" w:ascii="宋体" w:hAnsi="宋体"/>
          <w:b/>
          <w:bCs/>
          <w:szCs w:val="28"/>
        </w:rPr>
        <w:t>11、</w:t>
      </w:r>
      <w:r>
        <w:rPr>
          <w:rFonts w:hint="eastAsia" w:ascii="宋体" w:hAnsi="宋体"/>
          <w:b/>
          <w:szCs w:val="28"/>
        </w:rPr>
        <w:t>开标一览表</w:t>
      </w:r>
      <w:r>
        <w:rPr>
          <w:rFonts w:hint="eastAsia" w:ascii="宋体" w:hAnsi="宋体"/>
          <w:b/>
          <w:bCs/>
          <w:szCs w:val="28"/>
        </w:rPr>
        <w:t>格式</w:t>
      </w:r>
    </w:p>
    <w:p>
      <w:pPr>
        <w:snapToGrid w:val="0"/>
        <w:spacing w:before="50" w:after="50"/>
        <w:jc w:val="center"/>
        <w:rPr>
          <w:rFonts w:ascii="宋体" w:hAnsi="宋体"/>
          <w:b/>
          <w:sz w:val="24"/>
        </w:rPr>
      </w:pPr>
    </w:p>
    <w:p>
      <w:pPr>
        <w:snapToGrid w:val="0"/>
        <w:spacing w:before="50" w:after="50"/>
        <w:jc w:val="center"/>
        <w:rPr>
          <w:rFonts w:ascii="宋体" w:hAnsi="宋体"/>
          <w:b/>
          <w:sz w:val="24"/>
        </w:rPr>
      </w:pPr>
    </w:p>
    <w:p>
      <w:pPr>
        <w:snapToGrid w:val="0"/>
        <w:spacing w:before="50" w:after="50"/>
        <w:jc w:val="center"/>
        <w:rPr>
          <w:rFonts w:ascii="宋体" w:hAnsi="宋体"/>
          <w:b/>
          <w:szCs w:val="28"/>
        </w:rPr>
      </w:pPr>
    </w:p>
    <w:p>
      <w:pPr>
        <w:snapToGrid w:val="0"/>
        <w:spacing w:before="50" w:after="50"/>
        <w:jc w:val="center"/>
        <w:rPr>
          <w:rFonts w:ascii="宋体" w:hAnsi="宋体"/>
          <w:b/>
          <w:szCs w:val="28"/>
        </w:rPr>
      </w:pPr>
      <w:r>
        <w:rPr>
          <w:rFonts w:hint="eastAsia" w:ascii="宋体" w:hAnsi="宋体"/>
          <w:b/>
          <w:szCs w:val="28"/>
        </w:rPr>
        <w:t>开标一览表（</w:t>
      </w:r>
      <w:r>
        <w:rPr>
          <w:rFonts w:hint="eastAsia" w:ascii="宋体" w:hAnsi="宋体"/>
          <w:b/>
          <w:szCs w:val="28"/>
          <w:u w:val="single"/>
        </w:rPr>
        <w:t xml:space="preserve">      </w:t>
      </w:r>
      <w:r>
        <w:rPr>
          <w:rFonts w:hint="eastAsia" w:ascii="宋体" w:hAnsi="宋体"/>
          <w:b/>
          <w:szCs w:val="28"/>
        </w:rPr>
        <w:t>标段）</w:t>
      </w:r>
    </w:p>
    <w:p>
      <w:pPr>
        <w:pStyle w:val="21"/>
        <w:ind w:firstLine="280"/>
      </w:pPr>
      <w:r>
        <w:rPr>
          <w:rFonts w:hint="eastAsia" w:ascii="仿宋" w:hAnsi="仿宋" w:eastAsia="仿宋"/>
          <w:szCs w:val="28"/>
        </w:rPr>
        <w:t>项目名称：                       招标文件编号：</w:t>
      </w:r>
    </w:p>
    <w:tbl>
      <w:tblPr>
        <w:tblStyle w:val="41"/>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936" w:type="dxa"/>
            <w:vAlign w:val="center"/>
          </w:tcPr>
          <w:p>
            <w:pPr>
              <w:snapToGrid w:val="0"/>
              <w:spacing w:before="50" w:after="50"/>
              <w:jc w:val="center"/>
              <w:rPr>
                <w:rFonts w:ascii="宋体" w:hAnsi="宋体"/>
                <w:sz w:val="24"/>
              </w:rPr>
            </w:pPr>
            <w:r>
              <w:rPr>
                <w:rFonts w:hint="eastAsia" w:ascii="宋体" w:hAnsi="宋体"/>
                <w:sz w:val="24"/>
              </w:rPr>
              <w:t>企业名称</w:t>
            </w:r>
          </w:p>
        </w:tc>
        <w:tc>
          <w:tcPr>
            <w:tcW w:w="7883" w:type="dxa"/>
            <w:vAlign w:val="center"/>
          </w:tcPr>
          <w:p>
            <w:pPr>
              <w:snapToGrid w:val="0"/>
              <w:spacing w:before="50" w:after="5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936" w:type="dxa"/>
            <w:vAlign w:val="center"/>
          </w:tcPr>
          <w:p>
            <w:pPr>
              <w:snapToGrid w:val="0"/>
              <w:spacing w:before="50" w:after="50"/>
              <w:jc w:val="center"/>
              <w:rPr>
                <w:rFonts w:ascii="宋体" w:hAnsi="宋体"/>
                <w:b/>
                <w:sz w:val="24"/>
              </w:rPr>
            </w:pPr>
            <w:r>
              <w:rPr>
                <w:rFonts w:hint="eastAsia" w:ascii="宋体" w:hAnsi="宋体"/>
                <w:sz w:val="24"/>
              </w:rPr>
              <w:t>企业资质等级</w:t>
            </w:r>
          </w:p>
        </w:tc>
        <w:tc>
          <w:tcPr>
            <w:tcW w:w="7883" w:type="dxa"/>
            <w:vAlign w:val="center"/>
          </w:tcPr>
          <w:p>
            <w:pPr>
              <w:snapToGrid w:val="0"/>
              <w:spacing w:before="50" w:after="5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936" w:type="dxa"/>
            <w:vAlign w:val="center"/>
          </w:tcPr>
          <w:p>
            <w:pPr>
              <w:snapToGrid w:val="0"/>
              <w:spacing w:before="50" w:after="50"/>
              <w:jc w:val="center"/>
              <w:rPr>
                <w:rFonts w:ascii="宋体" w:hAnsi="宋体"/>
                <w:b/>
                <w:sz w:val="24"/>
              </w:rPr>
            </w:pPr>
            <w:r>
              <w:rPr>
                <w:rFonts w:hint="eastAsia" w:ascii="宋体" w:hAnsi="宋体"/>
                <w:sz w:val="24"/>
              </w:rPr>
              <w:t>项目负责人</w:t>
            </w:r>
          </w:p>
        </w:tc>
        <w:tc>
          <w:tcPr>
            <w:tcW w:w="7883" w:type="dxa"/>
            <w:vAlign w:val="center"/>
          </w:tcPr>
          <w:p>
            <w:pPr>
              <w:snapToGrid w:val="0"/>
              <w:spacing w:before="50" w:after="5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936" w:type="dxa"/>
            <w:vAlign w:val="center"/>
          </w:tcPr>
          <w:p>
            <w:pPr>
              <w:snapToGrid w:val="0"/>
              <w:spacing w:before="50" w:after="50"/>
              <w:jc w:val="center"/>
              <w:rPr>
                <w:rFonts w:ascii="宋体" w:hAnsi="宋体"/>
                <w:b/>
                <w:sz w:val="24"/>
              </w:rPr>
            </w:pPr>
            <w:r>
              <w:rPr>
                <w:rFonts w:hint="eastAsia" w:ascii="宋体" w:hAnsi="宋体"/>
                <w:sz w:val="24"/>
              </w:rPr>
              <w:t>投标总价报</w:t>
            </w:r>
          </w:p>
        </w:tc>
        <w:tc>
          <w:tcPr>
            <w:tcW w:w="7883" w:type="dxa"/>
            <w:vAlign w:val="center"/>
          </w:tcPr>
          <w:p>
            <w:pPr>
              <w:snapToGrid w:val="0"/>
              <w:spacing w:before="50" w:after="50"/>
              <w:rPr>
                <w:rFonts w:ascii="宋体" w:hAnsi="宋体"/>
                <w:b/>
                <w:sz w:val="24"/>
              </w:rPr>
            </w:pPr>
            <w:r>
              <w:rPr>
                <w:rFonts w:hint="eastAsia" w:ascii="宋体" w:hAnsi="宋体"/>
                <w:b/>
                <w:sz w:val="24"/>
              </w:rPr>
              <w:t xml:space="preserve">大写 </w:t>
            </w:r>
            <w:r>
              <w:rPr>
                <w:rFonts w:hint="eastAsia" w:ascii="宋体" w:hAnsi="宋体"/>
                <w:b/>
                <w:sz w:val="24"/>
                <w:u w:val="single"/>
              </w:rPr>
              <w:t xml:space="preserve">                       </w:t>
            </w:r>
            <w:r>
              <w:rPr>
                <w:rFonts w:hint="eastAsia" w:ascii="宋体" w:hAnsi="宋体"/>
                <w:b/>
                <w:sz w:val="24"/>
              </w:rPr>
              <w:t>元（小写￥</w:t>
            </w:r>
            <w:r>
              <w:rPr>
                <w:rFonts w:hint="eastAsia" w:ascii="宋体" w:hAnsi="宋体"/>
                <w:b/>
                <w:sz w:val="24"/>
                <w:u w:val="single"/>
              </w:rPr>
              <w:t xml:space="preserve">               </w:t>
            </w:r>
            <w:r>
              <w:rPr>
                <w:rFonts w:hint="eastAsia" w:ascii="宋体" w:hAnsi="宋体"/>
                <w:b/>
                <w:sz w:val="24"/>
              </w:rPr>
              <w:t xml:space="preserve"> ）</w:t>
            </w:r>
          </w:p>
        </w:tc>
      </w:tr>
    </w:tbl>
    <w:p>
      <w:pPr>
        <w:snapToGrid w:val="0"/>
        <w:spacing w:before="50" w:after="50"/>
        <w:jc w:val="center"/>
        <w:rPr>
          <w:rFonts w:ascii="宋体" w:hAnsi="宋体"/>
          <w:b/>
          <w:sz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r>
        <w:rPr>
          <w:rFonts w:hint="eastAsia" w:ascii="仿宋" w:hAnsi="仿宋" w:eastAsia="仿宋"/>
          <w:b/>
          <w:sz w:val="24"/>
          <w:szCs w:val="24"/>
        </w:rPr>
        <w:t>注： 1、投标总报价是履行合同的最终价格，即完成项目的各种费用及必要的保险费用和各项税金等所有费用的总和，是2年的总报价。</w:t>
      </w:r>
    </w:p>
    <w:p>
      <w:pPr>
        <w:pStyle w:val="22"/>
        <w:ind w:left="0" w:leftChars="0"/>
        <w:rPr>
          <w:rFonts w:ascii="仿宋" w:hAnsi="仿宋" w:eastAsia="仿宋"/>
          <w:b/>
          <w:sz w:val="24"/>
          <w:szCs w:val="24"/>
        </w:rPr>
      </w:pPr>
      <w:r>
        <w:rPr>
          <w:rFonts w:hint="eastAsia" w:ascii="仿宋" w:hAnsi="仿宋" w:eastAsia="仿宋"/>
          <w:b/>
          <w:sz w:val="24"/>
          <w:szCs w:val="24"/>
        </w:rPr>
        <w:t>2、不提供此表格的将视为没有实质性响应招标文件。</w:t>
      </w:r>
    </w:p>
    <w:p>
      <w:pPr>
        <w:pStyle w:val="22"/>
        <w:ind w:left="0" w:leftChars="0"/>
        <w:rPr>
          <w:rFonts w:ascii="仿宋" w:hAnsi="仿宋" w:eastAsia="仿宋"/>
          <w:b/>
          <w:sz w:val="24"/>
          <w:szCs w:val="24"/>
        </w:rPr>
      </w:pPr>
      <w:r>
        <w:rPr>
          <w:rFonts w:hint="eastAsia" w:ascii="仿宋" w:hAnsi="仿宋" w:eastAsia="仿宋"/>
          <w:b/>
          <w:sz w:val="24"/>
          <w:szCs w:val="24"/>
        </w:rPr>
        <w:t>3、报价一经涂改，应在涂改处加盖单位公章或者由法定代表人或授权委托人签字或盖章，否则作无效标处理。</w:t>
      </w: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spacing w:line="380" w:lineRule="exact"/>
        <w:jc w:val="left"/>
        <w:rPr>
          <w:rFonts w:ascii="宋体" w:hAnsi="宋体" w:cs="宋体"/>
          <w:szCs w:val="21"/>
        </w:rPr>
      </w:pPr>
      <w:r>
        <w:rPr>
          <w:rFonts w:hint="eastAsia" w:ascii="宋体" w:hAnsi="宋体" w:cs="宋体"/>
          <w:szCs w:val="21"/>
        </w:rPr>
        <w:t xml:space="preserve">投标人全称（签章）：    </w:t>
      </w:r>
    </w:p>
    <w:p>
      <w:pPr>
        <w:spacing w:line="380" w:lineRule="exact"/>
        <w:jc w:val="left"/>
        <w:rPr>
          <w:rFonts w:ascii="宋体" w:hAnsi="宋体" w:cs="宋体"/>
          <w:szCs w:val="21"/>
        </w:rPr>
      </w:pPr>
      <w:r>
        <w:rPr>
          <w:rFonts w:hint="eastAsia" w:ascii="宋体" w:hAnsi="宋体" w:cs="宋体"/>
          <w:szCs w:val="21"/>
        </w:rPr>
        <w:t>法定代表人或授权代表（签字）：</w:t>
      </w:r>
    </w:p>
    <w:p>
      <w:pPr>
        <w:spacing w:line="380" w:lineRule="exact"/>
        <w:jc w:val="left"/>
        <w:rPr>
          <w:rFonts w:ascii="宋体" w:hAnsi="宋体" w:cs="宋体"/>
        </w:rPr>
      </w:pPr>
      <w:r>
        <w:rPr>
          <w:rFonts w:hint="eastAsia" w:ascii="宋体" w:hAnsi="宋体" w:cs="宋体"/>
          <w:szCs w:val="21"/>
        </w:rPr>
        <w:t>日期：  年   月  日</w:t>
      </w:r>
    </w:p>
    <w:p>
      <w:pPr>
        <w:rPr>
          <w:rFonts w:ascii="宋体" w:hAnsi="宋体" w:cs="宋体"/>
          <w:b/>
          <w:bCs/>
          <w:spacing w:val="14"/>
          <w:szCs w:val="28"/>
        </w:rPr>
      </w:pPr>
    </w:p>
    <w:p>
      <w:pPr>
        <w:pStyle w:val="21"/>
        <w:ind w:firstLine="281"/>
        <w:rPr>
          <w:rFonts w:ascii="宋体" w:hAnsi="宋体"/>
          <w:b/>
          <w:bCs/>
          <w:szCs w:val="28"/>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pStyle w:val="22"/>
        <w:ind w:left="0" w:leftChars="0"/>
        <w:rPr>
          <w:rFonts w:ascii="仿宋" w:hAnsi="仿宋" w:eastAsia="仿宋"/>
          <w:b/>
          <w:sz w:val="24"/>
          <w:szCs w:val="24"/>
        </w:rPr>
      </w:pPr>
    </w:p>
    <w:p>
      <w:pPr>
        <w:spacing w:line="520" w:lineRule="exact"/>
        <w:rPr>
          <w:rFonts w:ascii="宋体" w:hAnsi="宋体"/>
          <w:b/>
          <w:bCs/>
          <w:szCs w:val="28"/>
        </w:rPr>
      </w:pPr>
      <w:r>
        <w:rPr>
          <w:rFonts w:hint="eastAsia" w:ascii="宋体" w:hAnsi="宋体"/>
          <w:b/>
          <w:bCs/>
          <w:szCs w:val="28"/>
        </w:rPr>
        <w:t>12、</w:t>
      </w:r>
      <w:r>
        <w:rPr>
          <w:rFonts w:hint="eastAsia" w:ascii="宋体" w:hAnsi="宋体"/>
          <w:b/>
          <w:szCs w:val="28"/>
        </w:rPr>
        <w:t>报价明细表</w:t>
      </w:r>
      <w:r>
        <w:rPr>
          <w:rFonts w:hint="eastAsia" w:ascii="宋体" w:hAnsi="宋体"/>
          <w:b/>
          <w:bCs/>
          <w:szCs w:val="28"/>
        </w:rPr>
        <w:t>格式</w:t>
      </w:r>
    </w:p>
    <w:p>
      <w:pPr>
        <w:pStyle w:val="22"/>
        <w:ind w:left="0" w:leftChars="0"/>
        <w:rPr>
          <w:rFonts w:ascii="仿宋" w:hAnsi="仿宋" w:eastAsia="仿宋"/>
          <w:b/>
          <w:sz w:val="44"/>
          <w:szCs w:val="44"/>
        </w:rPr>
      </w:pPr>
    </w:p>
    <w:p>
      <w:pPr>
        <w:pStyle w:val="22"/>
        <w:ind w:left="0" w:leftChars="0"/>
        <w:jc w:val="center"/>
        <w:rPr>
          <w:rFonts w:ascii="宋体" w:hAnsi="宋体" w:cs="宋体"/>
          <w:b/>
          <w:sz w:val="44"/>
          <w:szCs w:val="44"/>
        </w:rPr>
      </w:pPr>
    </w:p>
    <w:p>
      <w:pPr>
        <w:pStyle w:val="22"/>
        <w:ind w:left="0" w:leftChars="0"/>
        <w:jc w:val="center"/>
        <w:rPr>
          <w:rFonts w:ascii="宋体" w:hAnsi="宋体" w:cs="宋体"/>
          <w:sz w:val="44"/>
          <w:szCs w:val="44"/>
        </w:rPr>
      </w:pPr>
      <w:r>
        <w:rPr>
          <w:rFonts w:hint="eastAsia" w:ascii="宋体" w:hAnsi="宋体" w:cs="宋体"/>
          <w:b/>
          <w:sz w:val="44"/>
          <w:szCs w:val="44"/>
        </w:rPr>
        <w:t>报价明细表</w:t>
      </w:r>
    </w:p>
    <w:p>
      <w:pPr>
        <w:rPr>
          <w:rFonts w:ascii="宋体" w:hAnsi="宋体"/>
          <w:b/>
          <w:bCs/>
          <w:sz w:val="32"/>
          <w:szCs w:val="32"/>
        </w:rPr>
      </w:pPr>
    </w:p>
    <w:p>
      <w:pPr>
        <w:jc w:val="center"/>
        <w:rPr>
          <w:rFonts w:ascii="宋体" w:hAnsi="宋体"/>
          <w:b/>
          <w:szCs w:val="28"/>
        </w:rPr>
      </w:pPr>
      <w:r>
        <w:rPr>
          <w:rFonts w:hint="eastAsia" w:ascii="宋体" w:hAnsi="宋体"/>
          <w:b/>
          <w:szCs w:val="28"/>
          <w:u w:val="single"/>
        </w:rPr>
        <w:t xml:space="preserve">     </w:t>
      </w:r>
      <w:r>
        <w:rPr>
          <w:rFonts w:hint="eastAsia" w:ascii="宋体" w:hAnsi="宋体"/>
          <w:b/>
          <w:szCs w:val="28"/>
        </w:rPr>
        <w:t xml:space="preserve"> 标段投标报价</w:t>
      </w:r>
    </w:p>
    <w:p>
      <w:pPr>
        <w:pStyle w:val="21"/>
        <w:ind w:firstLine="280"/>
      </w:pPr>
    </w:p>
    <w:p>
      <w:pPr>
        <w:pStyle w:val="21"/>
        <w:ind w:firstLine="280"/>
      </w:pPr>
      <w:r>
        <w:rPr>
          <w:rFonts w:hint="eastAsia" w:ascii="仿宋" w:hAnsi="仿宋" w:eastAsia="仿宋"/>
          <w:szCs w:val="28"/>
        </w:rPr>
        <w:t>项目名称：                       招标文件编号：</w:t>
      </w:r>
    </w:p>
    <w:p>
      <w:pPr>
        <w:snapToGrid w:val="0"/>
        <w:spacing w:before="50" w:after="50"/>
        <w:rPr>
          <w:rFonts w:ascii="宋体" w:hAnsi="宋体"/>
        </w:rPr>
      </w:pPr>
    </w:p>
    <w:tbl>
      <w:tblPr>
        <w:tblStyle w:val="4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209"/>
        <w:gridCol w:w="1647"/>
        <w:gridCol w:w="3235"/>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790" w:type="dxa"/>
            <w:vAlign w:val="center"/>
          </w:tcPr>
          <w:p>
            <w:pPr>
              <w:jc w:val="center"/>
              <w:rPr>
                <w:rFonts w:ascii="宋体" w:hAnsi="宋体"/>
                <w:b/>
                <w:sz w:val="30"/>
                <w:szCs w:val="30"/>
              </w:rPr>
            </w:pPr>
            <w:r>
              <w:rPr>
                <w:rFonts w:hint="eastAsia" w:ascii="宋体" w:hAnsi="宋体"/>
                <w:b/>
                <w:sz w:val="30"/>
                <w:szCs w:val="30"/>
              </w:rPr>
              <w:t>项目序号</w:t>
            </w:r>
          </w:p>
        </w:tc>
        <w:tc>
          <w:tcPr>
            <w:tcW w:w="1209" w:type="dxa"/>
            <w:vAlign w:val="center"/>
          </w:tcPr>
          <w:p>
            <w:pPr>
              <w:jc w:val="center"/>
              <w:rPr>
                <w:rFonts w:ascii="宋体" w:hAnsi="宋体"/>
                <w:b/>
                <w:sz w:val="30"/>
                <w:szCs w:val="30"/>
              </w:rPr>
            </w:pPr>
            <w:r>
              <w:rPr>
                <w:rFonts w:hint="eastAsia" w:ascii="宋体" w:hAnsi="宋体"/>
                <w:b/>
                <w:sz w:val="30"/>
                <w:szCs w:val="30"/>
              </w:rPr>
              <w:t>面积（㎡）</w:t>
            </w:r>
          </w:p>
        </w:tc>
        <w:tc>
          <w:tcPr>
            <w:tcW w:w="1647" w:type="dxa"/>
            <w:vAlign w:val="center"/>
          </w:tcPr>
          <w:p>
            <w:pPr>
              <w:jc w:val="center"/>
              <w:rPr>
                <w:rFonts w:ascii="宋体" w:hAnsi="宋体"/>
                <w:b/>
                <w:sz w:val="30"/>
                <w:szCs w:val="30"/>
              </w:rPr>
            </w:pPr>
            <w:r>
              <w:rPr>
                <w:rFonts w:hint="eastAsia" w:ascii="宋体" w:hAnsi="宋体"/>
                <w:b/>
                <w:sz w:val="30"/>
                <w:szCs w:val="30"/>
              </w:rPr>
              <w:t>每年养护单价（元∕㎡）</w:t>
            </w:r>
          </w:p>
        </w:tc>
        <w:tc>
          <w:tcPr>
            <w:tcW w:w="3235" w:type="dxa"/>
            <w:vAlign w:val="center"/>
          </w:tcPr>
          <w:p>
            <w:pPr>
              <w:jc w:val="center"/>
              <w:rPr>
                <w:rFonts w:ascii="宋体" w:hAnsi="宋体"/>
                <w:b/>
                <w:sz w:val="30"/>
                <w:szCs w:val="30"/>
              </w:rPr>
            </w:pPr>
            <w:r>
              <w:rPr>
                <w:rFonts w:hint="eastAsia" w:ascii="宋体" w:hAnsi="宋体"/>
                <w:b/>
                <w:sz w:val="30"/>
                <w:szCs w:val="30"/>
              </w:rPr>
              <w:t>每年纯绿化保洁单价（元∕㎡）</w:t>
            </w:r>
          </w:p>
        </w:tc>
        <w:tc>
          <w:tcPr>
            <w:tcW w:w="1583" w:type="dxa"/>
            <w:vAlign w:val="center"/>
          </w:tcPr>
          <w:p>
            <w:pPr>
              <w:jc w:val="center"/>
              <w:rPr>
                <w:rFonts w:ascii="宋体" w:hAnsi="宋体"/>
                <w:b/>
                <w:sz w:val="30"/>
                <w:szCs w:val="30"/>
              </w:rPr>
            </w:pPr>
            <w:r>
              <w:rPr>
                <w:rFonts w:hint="eastAsia" w:ascii="宋体" w:hAnsi="宋体"/>
                <w:b/>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90" w:type="dxa"/>
            <w:vAlign w:val="center"/>
          </w:tcPr>
          <w:p>
            <w:pPr>
              <w:rPr>
                <w:rFonts w:ascii="宋体" w:hAnsi="宋体"/>
                <w:b/>
                <w:szCs w:val="28"/>
              </w:rPr>
            </w:pPr>
          </w:p>
        </w:tc>
        <w:tc>
          <w:tcPr>
            <w:tcW w:w="1209" w:type="dxa"/>
            <w:vAlign w:val="center"/>
          </w:tcPr>
          <w:p>
            <w:pPr>
              <w:jc w:val="center"/>
              <w:rPr>
                <w:rFonts w:ascii="宋体" w:hAnsi="宋体"/>
                <w:b/>
                <w:szCs w:val="28"/>
              </w:rPr>
            </w:pPr>
          </w:p>
        </w:tc>
        <w:tc>
          <w:tcPr>
            <w:tcW w:w="1647" w:type="dxa"/>
            <w:vAlign w:val="center"/>
          </w:tcPr>
          <w:p>
            <w:pPr>
              <w:jc w:val="center"/>
              <w:rPr>
                <w:rFonts w:ascii="宋体" w:hAnsi="宋体"/>
                <w:b/>
                <w:szCs w:val="28"/>
              </w:rPr>
            </w:pPr>
          </w:p>
        </w:tc>
        <w:tc>
          <w:tcPr>
            <w:tcW w:w="3235" w:type="dxa"/>
            <w:vAlign w:val="center"/>
          </w:tcPr>
          <w:p>
            <w:pPr>
              <w:jc w:val="center"/>
              <w:rPr>
                <w:rFonts w:ascii="黑体" w:hAnsi="黑体" w:eastAsia="黑体" w:cs="黑体"/>
                <w:sz w:val="24"/>
                <w:highlight w:val="yellow"/>
              </w:rPr>
            </w:pPr>
          </w:p>
        </w:tc>
        <w:tc>
          <w:tcPr>
            <w:tcW w:w="1583" w:type="dxa"/>
            <w:vAlign w:val="center"/>
          </w:tcPr>
          <w:p>
            <w:pPr>
              <w:jc w:val="center"/>
              <w:rPr>
                <w:rFonts w:ascii="宋体"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90" w:type="dxa"/>
            <w:vAlign w:val="center"/>
          </w:tcPr>
          <w:p>
            <w:pPr>
              <w:rPr>
                <w:rFonts w:ascii="宋体" w:hAnsi="宋体"/>
                <w:b/>
                <w:szCs w:val="28"/>
              </w:rPr>
            </w:pPr>
          </w:p>
        </w:tc>
        <w:tc>
          <w:tcPr>
            <w:tcW w:w="1209" w:type="dxa"/>
            <w:vAlign w:val="center"/>
          </w:tcPr>
          <w:p>
            <w:pPr>
              <w:jc w:val="center"/>
              <w:rPr>
                <w:rFonts w:ascii="宋体" w:hAnsi="宋体"/>
                <w:szCs w:val="28"/>
              </w:rPr>
            </w:pPr>
          </w:p>
        </w:tc>
        <w:tc>
          <w:tcPr>
            <w:tcW w:w="1647" w:type="dxa"/>
            <w:vAlign w:val="center"/>
          </w:tcPr>
          <w:p>
            <w:pPr>
              <w:jc w:val="center"/>
              <w:rPr>
                <w:rFonts w:ascii="宋体" w:hAnsi="宋体"/>
                <w:szCs w:val="28"/>
              </w:rPr>
            </w:pPr>
          </w:p>
        </w:tc>
        <w:tc>
          <w:tcPr>
            <w:tcW w:w="3235" w:type="dxa"/>
            <w:vAlign w:val="center"/>
          </w:tcPr>
          <w:p>
            <w:pPr>
              <w:jc w:val="center"/>
              <w:rPr>
                <w:rFonts w:ascii="黑体" w:hAnsi="黑体" w:eastAsia="黑体" w:cs="黑体"/>
                <w:sz w:val="24"/>
                <w:highlight w:val="yellow"/>
              </w:rPr>
            </w:pPr>
          </w:p>
        </w:tc>
        <w:tc>
          <w:tcPr>
            <w:tcW w:w="1583" w:type="dxa"/>
            <w:vAlign w:val="center"/>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881" w:type="dxa"/>
            <w:gridSpan w:val="4"/>
            <w:vAlign w:val="center"/>
          </w:tcPr>
          <w:p>
            <w:pPr>
              <w:jc w:val="center"/>
              <w:rPr>
                <w:rFonts w:ascii="宋体" w:hAnsi="宋体"/>
                <w:b/>
                <w:szCs w:val="28"/>
              </w:rPr>
            </w:pPr>
          </w:p>
        </w:tc>
        <w:tc>
          <w:tcPr>
            <w:tcW w:w="1583" w:type="dxa"/>
            <w:vAlign w:val="center"/>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90" w:type="dxa"/>
            <w:vAlign w:val="center"/>
          </w:tcPr>
          <w:p>
            <w:pPr>
              <w:rPr>
                <w:rFonts w:ascii="宋体" w:hAnsi="宋体"/>
                <w:b/>
                <w:szCs w:val="28"/>
              </w:rPr>
            </w:pPr>
            <w:r>
              <w:rPr>
                <w:rFonts w:hint="eastAsia" w:ascii="宋体" w:hAnsi="宋体"/>
                <w:b/>
                <w:szCs w:val="28"/>
              </w:rPr>
              <w:t>④、合计①+②+③</w:t>
            </w:r>
          </w:p>
        </w:tc>
        <w:tc>
          <w:tcPr>
            <w:tcW w:w="7674" w:type="dxa"/>
            <w:gridSpan w:val="4"/>
            <w:vAlign w:val="center"/>
          </w:tcPr>
          <w:p>
            <w:pPr>
              <w:rPr>
                <w:rFonts w:ascii="宋体" w:hAnsi="宋体"/>
                <w:b/>
                <w:szCs w:val="28"/>
              </w:rPr>
            </w:pPr>
            <w:r>
              <w:rPr>
                <w:rFonts w:hint="eastAsia" w:ascii="宋体" w:hAnsi="宋体"/>
                <w:b/>
                <w:szCs w:val="28"/>
              </w:rPr>
              <w:t>养护费总报价：人民币（大写）</w:t>
            </w:r>
            <w:r>
              <w:rPr>
                <w:rFonts w:hint="eastAsia" w:ascii="宋体" w:hAnsi="宋体"/>
                <w:b/>
                <w:szCs w:val="28"/>
                <w:u w:val="single"/>
              </w:rPr>
              <w:t xml:space="preserve">            </w:t>
            </w:r>
            <w:r>
              <w:rPr>
                <w:rFonts w:hint="eastAsia" w:ascii="宋体" w:hAnsi="宋体"/>
                <w:b/>
                <w:szCs w:val="28"/>
              </w:rPr>
              <w:t>元，小写</w:t>
            </w:r>
            <w:r>
              <w:rPr>
                <w:rFonts w:hint="eastAsia" w:ascii="宋体" w:hAnsi="宋体"/>
                <w:b/>
                <w:szCs w:val="28"/>
                <w:u w:val="single"/>
              </w:rPr>
              <w:t xml:space="preserve">    </w:t>
            </w:r>
            <w:r>
              <w:rPr>
                <w:rFonts w:hint="eastAsia" w:ascii="宋体" w:hAnsi="宋体"/>
                <w:b/>
                <w:szCs w:val="28"/>
              </w:rPr>
              <w:t>元</w:t>
            </w:r>
          </w:p>
        </w:tc>
      </w:tr>
    </w:tbl>
    <w:p>
      <w:pPr>
        <w:snapToGrid w:val="0"/>
        <w:spacing w:before="50" w:after="50"/>
        <w:rPr>
          <w:rFonts w:ascii="宋体" w:hAnsi="宋体"/>
          <w:sz w:val="21"/>
          <w:szCs w:val="21"/>
        </w:rPr>
      </w:pPr>
    </w:p>
    <w:p>
      <w:pPr>
        <w:snapToGrid w:val="0"/>
        <w:spacing w:before="50" w:after="50"/>
        <w:rPr>
          <w:rFonts w:ascii="宋体" w:hAnsi="宋体"/>
          <w:sz w:val="21"/>
          <w:szCs w:val="21"/>
        </w:rPr>
      </w:pPr>
    </w:p>
    <w:p>
      <w:pPr>
        <w:snapToGrid w:val="0"/>
        <w:spacing w:before="50" w:after="50"/>
        <w:ind w:firstLine="420" w:firstLineChars="200"/>
        <w:jc w:val="left"/>
        <w:rPr>
          <w:rFonts w:ascii="宋体" w:hAnsi="宋体"/>
          <w:sz w:val="21"/>
          <w:szCs w:val="21"/>
        </w:rPr>
      </w:pPr>
      <w:r>
        <w:rPr>
          <w:rFonts w:hint="eastAsia" w:ascii="宋体" w:hAnsi="宋体"/>
          <w:sz w:val="21"/>
          <w:szCs w:val="21"/>
        </w:rPr>
        <w:t>注:此表格上的总报价须与《开标一览表》上的投标总报价一致。</w:t>
      </w:r>
    </w:p>
    <w:p>
      <w:pPr>
        <w:snapToGrid w:val="0"/>
        <w:spacing w:before="50" w:after="50"/>
        <w:ind w:firstLine="422" w:firstLineChars="200"/>
        <w:jc w:val="left"/>
        <w:rPr>
          <w:rFonts w:ascii="宋体" w:hAnsi="宋体"/>
          <w:b/>
          <w:color w:val="C00000"/>
          <w:sz w:val="21"/>
          <w:szCs w:val="21"/>
        </w:rPr>
      </w:pPr>
    </w:p>
    <w:p>
      <w:pPr>
        <w:snapToGrid w:val="0"/>
        <w:spacing w:before="50" w:after="50"/>
        <w:ind w:firstLine="480" w:firstLineChars="200"/>
        <w:jc w:val="left"/>
        <w:rPr>
          <w:rFonts w:ascii="宋体" w:hAnsi="宋体"/>
          <w:sz w:val="24"/>
        </w:rPr>
      </w:pPr>
    </w:p>
    <w:p>
      <w:pPr>
        <w:snapToGrid w:val="0"/>
        <w:spacing w:line="440" w:lineRule="exact"/>
        <w:ind w:firstLine="560" w:firstLineChars="200"/>
        <w:rPr>
          <w:rFonts w:ascii="宋体" w:hAnsi="宋体"/>
        </w:rPr>
      </w:pPr>
    </w:p>
    <w:p>
      <w:pPr>
        <w:spacing w:line="380" w:lineRule="exact"/>
        <w:jc w:val="left"/>
        <w:rPr>
          <w:rFonts w:ascii="宋体" w:hAnsi="宋体" w:cs="宋体"/>
          <w:szCs w:val="21"/>
        </w:rPr>
      </w:pPr>
      <w:r>
        <w:rPr>
          <w:rFonts w:hint="eastAsia" w:ascii="宋体" w:hAnsi="宋体" w:cs="宋体"/>
          <w:szCs w:val="21"/>
        </w:rPr>
        <w:t xml:space="preserve">投标人全称（签章）：    </w:t>
      </w:r>
    </w:p>
    <w:p>
      <w:pPr>
        <w:spacing w:line="380" w:lineRule="exact"/>
        <w:jc w:val="left"/>
        <w:rPr>
          <w:rFonts w:ascii="宋体" w:hAnsi="宋体" w:cs="宋体"/>
          <w:szCs w:val="21"/>
        </w:rPr>
      </w:pPr>
      <w:r>
        <w:rPr>
          <w:rFonts w:hint="eastAsia" w:ascii="宋体" w:hAnsi="宋体" w:cs="宋体"/>
          <w:szCs w:val="21"/>
        </w:rPr>
        <w:t>法定代表人或授权代表（签字）：</w:t>
      </w:r>
    </w:p>
    <w:p>
      <w:pPr>
        <w:spacing w:line="380" w:lineRule="exact"/>
        <w:jc w:val="left"/>
        <w:rPr>
          <w:rFonts w:ascii="宋体" w:hAnsi="宋体" w:cs="宋体"/>
        </w:rPr>
      </w:pPr>
      <w:r>
        <w:rPr>
          <w:rFonts w:hint="eastAsia" w:ascii="宋体" w:hAnsi="宋体" w:cs="宋体"/>
          <w:szCs w:val="21"/>
        </w:rPr>
        <w:t>日期：  年   月  日</w:t>
      </w:r>
    </w:p>
    <w:p>
      <w:pPr>
        <w:rPr>
          <w:rFonts w:ascii="宋体" w:hAnsi="宋体" w:cs="宋体"/>
          <w:b/>
          <w:bCs/>
          <w:spacing w:val="14"/>
          <w:szCs w:val="28"/>
        </w:rPr>
      </w:pPr>
    </w:p>
    <w:p>
      <w:pPr>
        <w:pStyle w:val="27"/>
        <w:tabs>
          <w:tab w:val="left" w:pos="1200"/>
        </w:tabs>
        <w:spacing w:line="340" w:lineRule="exact"/>
        <w:outlineLvl w:val="0"/>
        <w:rPr>
          <w:rFonts w:hAnsi="宋体"/>
          <w:b/>
          <w:bCs/>
          <w:sz w:val="32"/>
          <w:szCs w:val="30"/>
        </w:rPr>
      </w:pPr>
    </w:p>
    <w:p>
      <w:pPr>
        <w:pStyle w:val="27"/>
        <w:tabs>
          <w:tab w:val="left" w:pos="1200"/>
        </w:tabs>
        <w:spacing w:line="340" w:lineRule="exact"/>
        <w:outlineLvl w:val="0"/>
        <w:rPr>
          <w:rFonts w:hAnsi="宋体"/>
          <w:b/>
          <w:bCs/>
          <w:sz w:val="32"/>
          <w:szCs w:val="30"/>
        </w:rPr>
      </w:pPr>
    </w:p>
    <w:p>
      <w:pPr>
        <w:spacing w:line="360" w:lineRule="auto"/>
        <w:jc w:val="center"/>
        <w:rPr>
          <w:rFonts w:ascii="宋体" w:hAnsi="宋体"/>
          <w:b/>
          <w:sz w:val="32"/>
          <w:szCs w:val="32"/>
        </w:rPr>
      </w:pPr>
    </w:p>
    <w:p>
      <w:pPr>
        <w:pStyle w:val="21"/>
        <w:ind w:firstLine="321"/>
        <w:rPr>
          <w:rFonts w:ascii="宋体" w:hAnsi="宋体"/>
          <w:b/>
          <w:sz w:val="32"/>
          <w:szCs w:val="32"/>
        </w:rPr>
      </w:pPr>
    </w:p>
    <w:p>
      <w:pPr>
        <w:ind w:firstLine="3012" w:firstLineChars="1250"/>
        <w:jc w:val="left"/>
        <w:rPr>
          <w:rFonts w:ascii="宋体" w:hAnsi="宋体" w:cs="宋体"/>
          <w:b/>
          <w:sz w:val="24"/>
        </w:rPr>
      </w:pPr>
      <w:r>
        <w:rPr>
          <w:rFonts w:hint="eastAsia" w:ascii="宋体" w:hAnsi="宋体" w:cs="宋体"/>
          <w:b/>
          <w:sz w:val="24"/>
        </w:rPr>
        <w:t xml:space="preserve"> </w:t>
      </w:r>
    </w:p>
    <w:p>
      <w:pPr>
        <w:ind w:firstLine="3012" w:firstLineChars="1250"/>
        <w:jc w:val="left"/>
        <w:rPr>
          <w:rFonts w:ascii="宋体" w:hAnsi="宋体" w:cs="宋体"/>
          <w:b/>
          <w:sz w:val="24"/>
        </w:rPr>
      </w:pPr>
      <w:r>
        <w:rPr>
          <w:rFonts w:hint="eastAsia" w:ascii="宋体" w:hAnsi="宋体" w:cs="宋体"/>
          <w:b/>
          <w:sz w:val="24"/>
        </w:rPr>
        <w:t xml:space="preserve"> </w:t>
      </w:r>
    </w:p>
    <w:p>
      <w:pPr>
        <w:ind w:firstLine="3735" w:firstLineChars="1550"/>
        <w:rPr>
          <w:rFonts w:ascii="宋体" w:hAnsi="宋体" w:cs="宋体"/>
          <w:sz w:val="24"/>
        </w:rPr>
      </w:pPr>
      <w:r>
        <w:rPr>
          <w:rFonts w:hint="eastAsia" w:ascii="宋体" w:hAnsi="宋体" w:cs="宋体"/>
          <w:b/>
          <w:sz w:val="24"/>
        </w:rPr>
        <w:t>评分索引表</w:t>
      </w:r>
    </w:p>
    <w:p>
      <w:pPr>
        <w:ind w:firstLine="482"/>
        <w:rPr>
          <w:rFonts w:ascii="宋体" w:hAnsi="宋体" w:cs="宋体"/>
          <w:b/>
          <w:sz w:val="24"/>
        </w:rPr>
      </w:pPr>
    </w:p>
    <w:tbl>
      <w:tblPr>
        <w:tblStyle w:val="41"/>
        <w:tblpPr w:leftFromText="180" w:rightFromText="180" w:vertAnchor="text" w:horzAnchor="page" w:tblpX="1297" w:tblpY="481"/>
        <w:tblOverlap w:val="never"/>
        <w:tblW w:w="88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56"/>
        <w:gridCol w:w="3004"/>
        <w:gridCol w:w="1286"/>
        <w:gridCol w:w="1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2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评分项目</w:t>
            </w:r>
          </w:p>
        </w:tc>
        <w:tc>
          <w:tcPr>
            <w:tcW w:w="30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投标文件对应资料</w:t>
            </w: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自评分</w:t>
            </w:r>
          </w:p>
        </w:tc>
        <w:tc>
          <w:tcPr>
            <w:tcW w:w="12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25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r>
              <w:rPr>
                <w:rFonts w:hint="eastAsia" w:ascii="宋体" w:hAnsi="宋体" w:cs="宋体"/>
                <w:sz w:val="24"/>
              </w:rPr>
              <w:t>对应第四章评标办法及评分标准（报价除外）</w:t>
            </w:r>
          </w:p>
        </w:tc>
        <w:tc>
          <w:tcPr>
            <w:tcW w:w="300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7"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25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r>
              <w:rPr>
                <w:rFonts w:hint="eastAsia" w:ascii="宋体" w:hAnsi="宋体" w:cs="宋体"/>
                <w:sz w:val="24"/>
              </w:rPr>
              <w:t>……</w:t>
            </w:r>
          </w:p>
        </w:tc>
        <w:tc>
          <w:tcPr>
            <w:tcW w:w="300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6" w:type="dxa"/>
            <w:tcBorders>
              <w:top w:val="single" w:color="auto" w:sz="4" w:space="0"/>
              <w:left w:val="single" w:color="auto" w:sz="4" w:space="0"/>
              <w:bottom w:val="single" w:color="auto" w:sz="4" w:space="0"/>
              <w:right w:val="single" w:color="auto" w:sz="4" w:space="0"/>
            </w:tcBorders>
          </w:tcPr>
          <w:p>
            <w:pPr>
              <w:snapToGrid w:val="0"/>
              <w:ind w:left="43"/>
              <w:rPr>
                <w:rFonts w:ascii="宋体" w:hAnsi="宋体" w:cs="宋体"/>
                <w:sz w:val="24"/>
              </w:rPr>
            </w:pPr>
          </w:p>
        </w:tc>
        <w:tc>
          <w:tcPr>
            <w:tcW w:w="1287" w:type="dxa"/>
            <w:tcBorders>
              <w:top w:val="single" w:color="auto" w:sz="4" w:space="0"/>
              <w:left w:val="single" w:color="auto" w:sz="4" w:space="0"/>
              <w:bottom w:val="single" w:color="auto" w:sz="4" w:space="0"/>
              <w:right w:val="single" w:color="auto" w:sz="4" w:space="0"/>
            </w:tcBorders>
          </w:tcPr>
          <w:p>
            <w:pPr>
              <w:snapToGrid w:val="0"/>
              <w:ind w:left="43"/>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25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300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6" w:type="dxa"/>
            <w:tcBorders>
              <w:top w:val="single" w:color="auto" w:sz="4" w:space="0"/>
              <w:left w:val="single" w:color="auto" w:sz="4" w:space="0"/>
              <w:bottom w:val="single" w:color="auto" w:sz="4" w:space="0"/>
              <w:right w:val="single" w:color="auto" w:sz="4" w:space="0"/>
            </w:tcBorders>
          </w:tcPr>
          <w:p>
            <w:pPr>
              <w:snapToGrid w:val="0"/>
              <w:ind w:left="43"/>
              <w:rPr>
                <w:rFonts w:ascii="宋体" w:hAnsi="宋体" w:cs="宋体"/>
                <w:sz w:val="24"/>
              </w:rPr>
            </w:pPr>
          </w:p>
        </w:tc>
        <w:tc>
          <w:tcPr>
            <w:tcW w:w="1287" w:type="dxa"/>
            <w:tcBorders>
              <w:top w:val="single" w:color="auto" w:sz="4" w:space="0"/>
              <w:left w:val="single" w:color="auto" w:sz="4" w:space="0"/>
              <w:bottom w:val="single" w:color="auto" w:sz="4" w:space="0"/>
              <w:right w:val="single" w:color="auto" w:sz="4" w:space="0"/>
            </w:tcBorders>
          </w:tcPr>
          <w:p>
            <w:pPr>
              <w:snapToGrid w:val="0"/>
              <w:ind w:left="43"/>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25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300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6" w:type="dxa"/>
            <w:tcBorders>
              <w:top w:val="single" w:color="auto" w:sz="4" w:space="0"/>
              <w:left w:val="single" w:color="auto" w:sz="4" w:space="0"/>
              <w:bottom w:val="single" w:color="auto" w:sz="4" w:space="0"/>
              <w:right w:val="single" w:color="auto" w:sz="4" w:space="0"/>
            </w:tcBorders>
          </w:tcPr>
          <w:p>
            <w:pPr>
              <w:snapToGrid w:val="0"/>
              <w:ind w:left="43"/>
              <w:rPr>
                <w:rFonts w:ascii="宋体" w:hAnsi="宋体" w:cs="宋体"/>
                <w:sz w:val="24"/>
              </w:rPr>
            </w:pPr>
          </w:p>
        </w:tc>
        <w:tc>
          <w:tcPr>
            <w:tcW w:w="1287" w:type="dxa"/>
            <w:tcBorders>
              <w:top w:val="single" w:color="auto" w:sz="4" w:space="0"/>
              <w:left w:val="single" w:color="auto" w:sz="4" w:space="0"/>
              <w:bottom w:val="single" w:color="auto" w:sz="4" w:space="0"/>
              <w:right w:val="single" w:color="auto" w:sz="4" w:space="0"/>
            </w:tcBorders>
          </w:tcPr>
          <w:p>
            <w:pPr>
              <w:snapToGrid w:val="0"/>
              <w:ind w:left="43"/>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25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300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7"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25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300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7"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25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300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7"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25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300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7"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25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300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6"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c>
          <w:tcPr>
            <w:tcW w:w="1287"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 w:val="24"/>
              </w:rPr>
            </w:pPr>
          </w:p>
        </w:tc>
      </w:tr>
    </w:tbl>
    <w:p>
      <w:pPr>
        <w:snapToGrid w:val="0"/>
        <w:rPr>
          <w:rFonts w:ascii="宋体" w:hAnsi="宋体" w:cs="宋体"/>
          <w:sz w:val="24"/>
        </w:rPr>
      </w:pPr>
      <w:r>
        <w:rPr>
          <w:rFonts w:hint="eastAsia" w:ascii="宋体" w:hAnsi="宋体" w:cs="宋体"/>
          <w:sz w:val="24"/>
        </w:rPr>
        <w:t>项目名称：                                项目编号：</w:t>
      </w:r>
    </w:p>
    <w:p>
      <w:pPr>
        <w:snapToGrid w:val="0"/>
        <w:jc w:val="left"/>
        <w:rPr>
          <w:rFonts w:ascii="宋体" w:hAnsi="宋体" w:cs="宋体"/>
          <w:sz w:val="24"/>
        </w:rPr>
      </w:pPr>
    </w:p>
    <w:p>
      <w:pPr>
        <w:snapToGrid w:val="0"/>
        <w:jc w:val="left"/>
        <w:rPr>
          <w:rFonts w:ascii="宋体" w:hAnsi="宋体" w:cs="宋体"/>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r>
        <w:rPr>
          <w:rFonts w:hint="eastAsia" w:ascii="宋体" w:hAnsi="宋体" w:cs="宋体"/>
          <w:szCs w:val="21"/>
        </w:rPr>
        <w:t xml:space="preserve">投标人全称（签章）：  </w:t>
      </w:r>
    </w:p>
    <w:p>
      <w:pPr>
        <w:spacing w:line="500" w:lineRule="exact"/>
        <w:jc w:val="left"/>
        <w:rPr>
          <w:rFonts w:ascii="宋体" w:hAnsi="宋体" w:cs="宋体"/>
          <w:kern w:val="0"/>
          <w:sz w:val="24"/>
        </w:rPr>
      </w:pPr>
      <w:r>
        <w:rPr>
          <w:rFonts w:hint="eastAsia" w:ascii="宋体" w:hAnsi="宋体" w:cs="宋体"/>
          <w:kern w:val="0"/>
          <w:sz w:val="24"/>
        </w:rPr>
        <w:t>法定代表人或其授权代理人（签名或盖章）</w:t>
      </w:r>
    </w:p>
    <w:p>
      <w:pPr>
        <w:spacing w:line="500" w:lineRule="exact"/>
        <w:jc w:val="left"/>
        <w:rPr>
          <w:rFonts w:ascii="宋体" w:hAnsi="宋体" w:cs="宋体"/>
          <w:kern w:val="0"/>
          <w:sz w:val="24"/>
        </w:rPr>
      </w:pPr>
    </w:p>
    <w:p>
      <w:pPr>
        <w:spacing w:line="500" w:lineRule="exact"/>
        <w:jc w:val="left"/>
        <w:rPr>
          <w:rFonts w:ascii="宋体" w:hAnsi="宋体" w:cs="宋体"/>
          <w:kern w:val="0"/>
          <w:sz w:val="24"/>
        </w:rPr>
      </w:pPr>
      <w:r>
        <w:rPr>
          <w:rFonts w:hint="eastAsia" w:ascii="宋体" w:hAnsi="宋体" w:cs="宋体"/>
          <w:kern w:val="0"/>
          <w:sz w:val="24"/>
        </w:rPr>
        <w:t>日期：      年   月   日</w:t>
      </w:r>
    </w:p>
    <w:p>
      <w:pPr>
        <w:snapToGrid w:val="0"/>
        <w:jc w:val="left"/>
        <w:rPr>
          <w:rFonts w:ascii="宋体" w:hAnsi="宋体" w:cs="宋体"/>
          <w:sz w:val="24"/>
        </w:rPr>
      </w:pPr>
    </w:p>
    <w:p>
      <w:pPr>
        <w:rPr>
          <w:rFonts w:ascii="宋体" w:hAnsi="宋体"/>
          <w:b/>
          <w:sz w:val="32"/>
          <w:szCs w:val="32"/>
        </w:rPr>
      </w:pPr>
    </w:p>
    <w:p>
      <w:pPr>
        <w:pStyle w:val="21"/>
        <w:ind w:firstLine="280"/>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投标供应商认为需要加以说明的其他内容</w:t>
      </w:r>
    </w:p>
    <w:p>
      <w:pPr>
        <w:pStyle w:val="14"/>
        <w:spacing w:line="500" w:lineRule="exact"/>
        <w:ind w:firstLine="0"/>
        <w:rPr>
          <w:rFonts w:ascii="宋体" w:hAnsi="宋体"/>
          <w:b/>
          <w:sz w:val="24"/>
          <w:szCs w:val="24"/>
        </w:rPr>
      </w:pPr>
    </w:p>
    <w:p>
      <w:pPr>
        <w:pStyle w:val="14"/>
        <w:spacing w:line="500" w:lineRule="exact"/>
        <w:ind w:firstLine="0"/>
        <w:rPr>
          <w:rFonts w:ascii="宋体" w:hAnsi="宋体"/>
          <w:b/>
          <w:sz w:val="24"/>
          <w:szCs w:val="24"/>
        </w:rPr>
      </w:pPr>
    </w:p>
    <w:p>
      <w:pPr>
        <w:pStyle w:val="14"/>
        <w:spacing w:line="500" w:lineRule="exact"/>
        <w:ind w:firstLine="0"/>
        <w:rPr>
          <w:rFonts w:ascii="宋体" w:hAnsi="宋体"/>
          <w:b/>
          <w:sz w:val="24"/>
          <w:szCs w:val="24"/>
        </w:rPr>
      </w:pPr>
    </w:p>
    <w:p>
      <w:pPr>
        <w:pStyle w:val="14"/>
        <w:spacing w:line="500" w:lineRule="exact"/>
        <w:ind w:firstLine="422" w:firstLineChars="175"/>
        <w:rPr>
          <w:rFonts w:ascii="宋体" w:hAnsi="宋体"/>
          <w:b/>
          <w:sz w:val="24"/>
          <w:szCs w:val="24"/>
        </w:rPr>
      </w:pPr>
    </w:p>
    <w:p>
      <w:pPr>
        <w:pStyle w:val="14"/>
        <w:spacing w:line="500" w:lineRule="exact"/>
        <w:ind w:firstLine="0"/>
        <w:rPr>
          <w:rFonts w:ascii="宋体" w:hAnsi="宋体"/>
          <w:sz w:val="24"/>
          <w:szCs w:val="24"/>
        </w:rPr>
      </w:pPr>
      <w:r>
        <w:rPr>
          <w:rFonts w:hint="eastAsia" w:ascii="宋体" w:hAnsi="宋体"/>
          <w:sz w:val="24"/>
          <w:szCs w:val="24"/>
        </w:rPr>
        <w:t xml:space="preserve">  企业名称（签章）： </w:t>
      </w:r>
    </w:p>
    <w:p>
      <w:pPr>
        <w:pStyle w:val="14"/>
        <w:spacing w:line="500" w:lineRule="exact"/>
        <w:ind w:firstLine="0"/>
        <w:rPr>
          <w:rFonts w:ascii="宋体" w:hAnsi="宋体"/>
          <w:sz w:val="24"/>
          <w:szCs w:val="24"/>
        </w:rPr>
      </w:pPr>
      <w:r>
        <w:rPr>
          <w:rFonts w:hint="eastAsia" w:ascii="宋体" w:hAnsi="宋体"/>
          <w:sz w:val="24"/>
          <w:szCs w:val="24"/>
        </w:rPr>
        <w:t xml:space="preserve"> 法定代表人或其授权代理人（签字或盖章）</w:t>
      </w:r>
    </w:p>
    <w:p>
      <w:pPr>
        <w:pStyle w:val="14"/>
        <w:spacing w:line="500" w:lineRule="exact"/>
        <w:ind w:firstLine="0"/>
        <w:rPr>
          <w:rFonts w:ascii="宋体" w:hAnsi="宋体"/>
          <w:sz w:val="24"/>
          <w:szCs w:val="24"/>
        </w:rPr>
      </w:pPr>
      <w:r>
        <w:rPr>
          <w:rFonts w:hint="eastAsia" w:ascii="宋体" w:hAnsi="宋体"/>
          <w:sz w:val="24"/>
          <w:szCs w:val="24"/>
        </w:rPr>
        <w:t>日期：    年   月   日</w:t>
      </w:r>
    </w:p>
    <w:p>
      <w:pPr>
        <w:snapToGrid w:val="0"/>
        <w:spacing w:before="50" w:after="50"/>
        <w:outlineLvl w:val="1"/>
        <w:rPr>
          <w:rFonts w:ascii="宋体" w:hAnsi="宋体"/>
          <w:sz w:val="24"/>
        </w:rPr>
      </w:pPr>
    </w:p>
    <w:p/>
    <w:p>
      <w:pPr>
        <w:pStyle w:val="21"/>
        <w:ind w:firstLine="280"/>
      </w:pPr>
    </w:p>
    <w:p/>
    <w:p>
      <w:pPr>
        <w:pStyle w:val="21"/>
        <w:ind w:firstLine="280"/>
      </w:pPr>
    </w:p>
    <w:p/>
    <w:p>
      <w:pPr>
        <w:pStyle w:val="21"/>
        <w:ind w:firstLine="280"/>
      </w:pPr>
    </w:p>
    <w:p>
      <w:pPr>
        <w:pStyle w:val="21"/>
        <w:ind w:firstLine="280"/>
      </w:pPr>
    </w:p>
    <w:p>
      <w:pPr>
        <w:pStyle w:val="21"/>
        <w:ind w:firstLine="280"/>
      </w:pPr>
    </w:p>
    <w:p/>
    <w:p>
      <w:pPr>
        <w:pStyle w:val="21"/>
        <w:ind w:firstLine="280"/>
      </w:pPr>
    </w:p>
    <w:p/>
    <w:p>
      <w:pPr>
        <w:pStyle w:val="21"/>
        <w:ind w:firstLine="280"/>
      </w:pPr>
    </w:p>
    <w:p/>
    <w:p>
      <w:pPr>
        <w:pStyle w:val="21"/>
        <w:ind w:firstLine="280"/>
      </w:pPr>
    </w:p>
    <w:p/>
    <w:p>
      <w:pPr>
        <w:pStyle w:val="21"/>
        <w:ind w:firstLine="280"/>
      </w:pPr>
    </w:p>
    <w:p>
      <w:pPr>
        <w:pStyle w:val="22"/>
        <w:ind w:left="2800"/>
      </w:pPr>
    </w:p>
    <w:p/>
    <w:p>
      <w:pPr>
        <w:pStyle w:val="21"/>
        <w:ind w:firstLine="280"/>
      </w:pPr>
    </w:p>
    <w:p/>
    <w:p>
      <w:pPr>
        <w:pStyle w:val="21"/>
        <w:ind w:firstLine="280"/>
      </w:pPr>
    </w:p>
    <w:p/>
    <w:sectPr>
      <w:headerReference r:id="rId7" w:type="default"/>
      <w:footerReference r:id="rId8" w:type="default"/>
      <w:pgSz w:w="11907" w:h="16840"/>
      <w:pgMar w:top="1134" w:right="1247" w:bottom="1191" w:left="112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Courier New"/>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31"/>
                </w:pPr>
                <w:r>
                  <w:rPr>
                    <w:rFonts w:hint="eastAsia" w:ascii="黑体" w:hAnsi="MS PGothic" w:eastAsia="黑体"/>
                    <w:kern w:val="0"/>
                    <w:szCs w:val="21"/>
                  </w:rPr>
                  <w:t xml:space="preserve">浙江金业管理咨询有限公司        0572-2567837                                        </w:t>
                </w:r>
              </w:p>
            </w:txbxContent>
          </v:textbox>
        </v:shape>
      </w:pict>
    </w:r>
  </w:p>
  <w:p>
    <w:pPr>
      <w:pStyle w:val="31"/>
      <w:rPr>
        <w:rFonts w:ascii="黑体" w:hAnsi="MS PGothic"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1200"/>
      </w:tabs>
      <w:jc w:val="center"/>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31"/>
                </w:pPr>
                <w:r>
                  <w:rPr>
                    <w:rFonts w:hint="eastAsia"/>
                  </w:rPr>
                  <w:t xml:space="preserve">第 </w:t>
                </w:r>
                <w:r>
                  <w:fldChar w:fldCharType="begin"/>
                </w:r>
                <w:r>
                  <w:instrText xml:space="preserve"> PAGE  \* MERGEFORMAT </w:instrText>
                </w:r>
                <w:r>
                  <w:fldChar w:fldCharType="separate"/>
                </w:r>
                <w:r>
                  <w:t>41</w:t>
                </w:r>
                <w:r>
                  <w:fldChar w:fldCharType="end"/>
                </w:r>
                <w:r>
                  <w:rPr>
                    <w:rFonts w:hint="eastAsia"/>
                  </w:rPr>
                  <w:t xml:space="preserve"> 页</w:t>
                </w:r>
              </w:p>
            </w:txbxContent>
          </v:textbox>
        </v:shape>
      </w:pict>
    </w:r>
  </w:p>
  <w:p>
    <w:pPr>
      <w:pStyle w:val="31"/>
      <w:tabs>
        <w:tab w:val="left" w:pos="1200"/>
        <w:tab w:val="right" w:pos="9180"/>
        <w:tab w:val="clear" w:pos="8306"/>
      </w:tabs>
      <w:ind w:right="-54"/>
      <w:rPr>
        <w:sz w:val="21"/>
        <w:szCs w:val="21"/>
      </w:rPr>
    </w:pPr>
    <w:r>
      <w:rPr>
        <w:rFonts w:hint="eastAsia" w:ascii="黑体" w:hAnsi="MS PGothic" w:eastAsia="黑体"/>
        <w:kern w:val="0"/>
        <w:szCs w:val="21"/>
      </w:rPr>
      <w:t xml:space="preserve">浙江金业管理咨询有限公司        0572-2567837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黑体" w:hAnsi="MS PGothic" w:eastAsia="黑体"/>
      </w:rPr>
    </w:pPr>
    <w:r>
      <w:pict>
        <v:shape id="文本框 1025"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path/>
          <v:fill on="f" focussize="0,0"/>
          <v:stroke on="f" joinstyle="miter"/>
          <v:imagedata o:title=""/>
          <o:lock v:ext="edit"/>
          <v:textbox inset="0mm,0mm,0mm,0mm" style="mso-fit-shape-to-text:t;">
            <w:txbxContent>
              <w:p>
                <w:pPr>
                  <w:pStyle w:val="31"/>
                </w:pPr>
                <w:r>
                  <w:rPr>
                    <w:rFonts w:hint="eastAsia" w:ascii="黑体" w:hAnsi="MS PGothic" w:eastAsia="黑体"/>
                    <w:kern w:val="0"/>
                    <w:szCs w:val="21"/>
                  </w:rPr>
                  <w:t xml:space="preserve">浙江金业管理咨询有限公司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62</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ascii="宋体" w:hAnsi="宋体" w:eastAsia="仿宋_GB2312"/>
      </w:rPr>
    </w:pPr>
    <w:r>
      <w:rPr>
        <w:rFonts w:hint="eastAsia" w:ascii="黑体" w:hAnsi="黑体" w:eastAsia="黑体" w:cs="黑体"/>
      </w:rPr>
      <w:t xml:space="preserve">湖州南浔城投城市建设集团有限公司年度（2021-2022）乡镇道路绿化养护工程                    招标文件  </w:t>
    </w:r>
    <w:r>
      <w:rPr>
        <w:rFonts w:hint="eastAsia" w:ascii="宋体" w:hAnsi="宋体"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rFonts w:hint="eastAsia"/>
      </w:rPr>
      <w:t xml:space="preserve">   </w:t>
    </w:r>
    <w:r>
      <w:rPr>
        <w:rFonts w:hint="eastAsia" w:ascii="宋体" w:hAnsi="宋体" w:eastAsia="仿宋_GB2312"/>
      </w:rPr>
      <w:t xml:space="preserve">湖州南浔城投城市建设集团有限公司年度（2021-2022）乡镇道路绿化养护工程                    招标文件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rFonts w:hint="eastAsia"/>
      </w:rPr>
      <w:t xml:space="preserve">        </w:t>
    </w:r>
    <w:r>
      <w:rPr>
        <w:rFonts w:hint="eastAsia" w:ascii="宋体" w:hAnsi="宋体" w:eastAsia="仿宋_GB2312"/>
      </w:rPr>
      <w:t>湖州南太湖新区（原度假区）道路及公共区域保洁项目                            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7DE7A"/>
    <w:multiLevelType w:val="singleLevel"/>
    <w:tmpl w:val="81C7DE7A"/>
    <w:lvl w:ilvl="0" w:tentative="0">
      <w:start w:val="1"/>
      <w:numFmt w:val="decimalEnclosedCircleChinese"/>
      <w:suff w:val="nothing"/>
      <w:lvlText w:val="%1　"/>
      <w:lvlJc w:val="left"/>
      <w:pPr>
        <w:ind w:left="0" w:firstLine="400"/>
      </w:pPr>
      <w:rPr>
        <w:rFonts w:hint="eastAsia"/>
      </w:rPr>
    </w:lvl>
  </w:abstractNum>
  <w:abstractNum w:abstractNumId="1">
    <w:nsid w:val="9C187367"/>
    <w:multiLevelType w:val="singleLevel"/>
    <w:tmpl w:val="9C187367"/>
    <w:lvl w:ilvl="0" w:tentative="0">
      <w:start w:val="1"/>
      <w:numFmt w:val="decimal"/>
      <w:suff w:val="nothing"/>
      <w:lvlText w:val="%1．"/>
      <w:lvlJc w:val="left"/>
      <w:pPr>
        <w:ind w:left="26" w:firstLine="400"/>
      </w:pPr>
      <w:rPr>
        <w:rFonts w:hint="default"/>
      </w:rPr>
    </w:lvl>
  </w:abstractNum>
  <w:abstractNum w:abstractNumId="2">
    <w:nsid w:val="AF0C4028"/>
    <w:multiLevelType w:val="singleLevel"/>
    <w:tmpl w:val="AF0C4028"/>
    <w:lvl w:ilvl="0" w:tentative="0">
      <w:start w:val="3"/>
      <w:numFmt w:val="chineseCounting"/>
      <w:suff w:val="nothing"/>
      <w:lvlText w:val="（%1）"/>
      <w:lvlJc w:val="left"/>
      <w:rPr>
        <w:rFonts w:hint="eastAsia"/>
      </w:rPr>
    </w:lvl>
  </w:abstractNum>
  <w:abstractNum w:abstractNumId="3">
    <w:nsid w:val="CAE9D4E8"/>
    <w:multiLevelType w:val="singleLevel"/>
    <w:tmpl w:val="CAE9D4E8"/>
    <w:lvl w:ilvl="0" w:tentative="0">
      <w:start w:val="6"/>
      <w:numFmt w:val="chineseCounting"/>
      <w:suff w:val="space"/>
      <w:lvlText w:val="第%1章"/>
      <w:lvlJc w:val="left"/>
      <w:rPr>
        <w:rFonts w:hint="eastAsia"/>
      </w:rPr>
    </w:lvl>
  </w:abstractNum>
  <w:abstractNum w:abstractNumId="4">
    <w:nsid w:val="EB419B3E"/>
    <w:multiLevelType w:val="singleLevel"/>
    <w:tmpl w:val="EB419B3E"/>
    <w:lvl w:ilvl="0" w:tentative="0">
      <w:start w:val="1"/>
      <w:numFmt w:val="chineseCounting"/>
      <w:suff w:val="nothing"/>
      <w:lvlText w:val="%1、"/>
      <w:lvlJc w:val="left"/>
      <w:pPr>
        <w:ind w:left="-420" w:firstLine="420"/>
      </w:pPr>
      <w:rPr>
        <w:rFonts w:hint="eastAsia"/>
      </w:rPr>
    </w:lvl>
  </w:abstractNum>
  <w:abstractNum w:abstractNumId="5">
    <w:nsid w:val="ECDA6BCB"/>
    <w:multiLevelType w:val="singleLevel"/>
    <w:tmpl w:val="ECDA6BCB"/>
    <w:lvl w:ilvl="0" w:tentative="0">
      <w:start w:val="1"/>
      <w:numFmt w:val="decimal"/>
      <w:suff w:val="nothing"/>
      <w:lvlText w:val="%1．"/>
      <w:lvlJc w:val="left"/>
      <w:pPr>
        <w:ind w:left="0" w:firstLine="400"/>
      </w:pPr>
      <w:rPr>
        <w:rFonts w:hint="default"/>
      </w:rPr>
    </w:lvl>
  </w:abstractNum>
  <w:abstractNum w:abstractNumId="6">
    <w:nsid w:val="1BC17BBA"/>
    <w:multiLevelType w:val="multilevel"/>
    <w:tmpl w:val="1BC17BBA"/>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7">
    <w:nsid w:val="1FB9EBDB"/>
    <w:multiLevelType w:val="singleLevel"/>
    <w:tmpl w:val="1FB9EBDB"/>
    <w:lvl w:ilvl="0" w:tentative="0">
      <w:start w:val="2"/>
      <w:numFmt w:val="chineseCounting"/>
      <w:suff w:val="nothing"/>
      <w:lvlText w:val="（%1）"/>
      <w:lvlJc w:val="left"/>
      <w:rPr>
        <w:rFonts w:hint="eastAsia"/>
      </w:rPr>
    </w:lvl>
  </w:abstractNum>
  <w:abstractNum w:abstractNumId="8">
    <w:nsid w:val="3B6C658E"/>
    <w:multiLevelType w:val="multilevel"/>
    <w:tmpl w:val="3B6C658E"/>
    <w:lvl w:ilvl="0" w:tentative="0">
      <w:start w:val="2"/>
      <w:numFmt w:val="decimal"/>
      <w:lvlText w:val="%1、"/>
      <w:lvlJc w:val="left"/>
      <w:pPr>
        <w:tabs>
          <w:tab w:val="left" w:pos="900"/>
        </w:tabs>
        <w:ind w:left="900" w:hanging="360"/>
      </w:pPr>
      <w:rPr>
        <w:rFonts w:hint="default"/>
      </w:rPr>
    </w:lvl>
    <w:lvl w:ilvl="1" w:tentative="0">
      <w:start w:val="1"/>
      <w:numFmt w:val="japaneseCounting"/>
      <w:lvlText w:val="（%2）"/>
      <w:lvlJc w:val="left"/>
      <w:pPr>
        <w:tabs>
          <w:tab w:val="left" w:pos="1680"/>
        </w:tabs>
        <w:ind w:left="1680" w:hanging="720"/>
      </w:pPr>
      <w:rPr>
        <w:rFonts w:hint="default"/>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52486727"/>
    <w:multiLevelType w:val="multilevel"/>
    <w:tmpl w:val="52486727"/>
    <w:lvl w:ilvl="0" w:tentative="0">
      <w:start w:val="1"/>
      <w:numFmt w:val="decimal"/>
      <w:lvlText w:val="%1、"/>
      <w:lvlJc w:val="left"/>
      <w:pPr>
        <w:tabs>
          <w:tab w:val="left" w:pos="360"/>
        </w:tabs>
        <w:ind w:left="24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2"/>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2525E70"/>
    <w:multiLevelType w:val="singleLevel"/>
    <w:tmpl w:val="52525E70"/>
    <w:lvl w:ilvl="0" w:tentative="0">
      <w:start w:val="5"/>
      <w:numFmt w:val="decimal"/>
      <w:suff w:val="nothing"/>
      <w:lvlText w:val="%1、"/>
      <w:lvlJc w:val="left"/>
    </w:lvl>
  </w:abstractNum>
  <w:abstractNum w:abstractNumId="11">
    <w:nsid w:val="5254B256"/>
    <w:multiLevelType w:val="singleLevel"/>
    <w:tmpl w:val="5254B256"/>
    <w:lvl w:ilvl="0" w:tentative="0">
      <w:start w:val="3"/>
      <w:numFmt w:val="decimal"/>
      <w:suff w:val="nothing"/>
      <w:lvlText w:val="%1、"/>
      <w:lvlJc w:val="left"/>
    </w:lvl>
  </w:abstractNum>
  <w:abstractNum w:abstractNumId="12">
    <w:nsid w:val="596A3A43"/>
    <w:multiLevelType w:val="singleLevel"/>
    <w:tmpl w:val="596A3A43"/>
    <w:lvl w:ilvl="0" w:tentative="0">
      <w:start w:val="1"/>
      <w:numFmt w:val="decimal"/>
      <w:lvlText w:val="%1."/>
      <w:lvlJc w:val="left"/>
      <w:pPr>
        <w:ind w:left="425" w:hanging="425"/>
      </w:pPr>
      <w:rPr>
        <w:rFonts w:hint="default"/>
      </w:rPr>
    </w:lvl>
  </w:abstractNum>
  <w:abstractNum w:abstractNumId="13">
    <w:nsid w:val="5DE02EEB"/>
    <w:multiLevelType w:val="singleLevel"/>
    <w:tmpl w:val="5DE02EEB"/>
    <w:lvl w:ilvl="0" w:tentative="0">
      <w:start w:val="8"/>
      <w:numFmt w:val="chineseCounting"/>
      <w:suff w:val="nothing"/>
      <w:lvlText w:val="%1、"/>
      <w:lvlJc w:val="left"/>
      <w:rPr>
        <w:rFonts w:hint="eastAsia"/>
      </w:rPr>
    </w:lvl>
  </w:abstractNum>
  <w:abstractNum w:abstractNumId="14">
    <w:nsid w:val="6A1139DD"/>
    <w:multiLevelType w:val="singleLevel"/>
    <w:tmpl w:val="6A1139DD"/>
    <w:lvl w:ilvl="0" w:tentative="0">
      <w:start w:val="1"/>
      <w:numFmt w:val="decimalEnclosedCircleChinese"/>
      <w:suff w:val="nothing"/>
      <w:lvlText w:val="%1　"/>
      <w:lvlJc w:val="left"/>
      <w:pPr>
        <w:ind w:left="0" w:firstLine="400"/>
      </w:pPr>
      <w:rPr>
        <w:rFonts w:hint="eastAsia"/>
      </w:rPr>
    </w:lvl>
  </w:abstractNum>
  <w:abstractNum w:abstractNumId="15">
    <w:nsid w:val="6DC3101D"/>
    <w:multiLevelType w:val="singleLevel"/>
    <w:tmpl w:val="6DC3101D"/>
    <w:lvl w:ilvl="0" w:tentative="0">
      <w:start w:val="2"/>
      <w:numFmt w:val="upperLetter"/>
      <w:suff w:val="nothing"/>
      <w:lvlText w:val="%1、"/>
      <w:lvlJc w:val="left"/>
    </w:lvl>
  </w:abstractNum>
  <w:abstractNum w:abstractNumId="16">
    <w:nsid w:val="7B3877B9"/>
    <w:multiLevelType w:val="multilevel"/>
    <w:tmpl w:val="7B3877B9"/>
    <w:lvl w:ilvl="0" w:tentative="0">
      <w:start w:val="1"/>
      <w:numFmt w:val="decimal"/>
      <w:lvlText w:val="（%1）"/>
      <w:lvlJc w:val="left"/>
      <w:pPr>
        <w:tabs>
          <w:tab w:val="left" w:pos="1320"/>
        </w:tabs>
        <w:ind w:left="1320" w:hanging="720"/>
      </w:pPr>
      <w:rPr>
        <w:rFonts w:hint="eastAsia"/>
      </w:rPr>
    </w:lvl>
    <w:lvl w:ilvl="1" w:tentative="0">
      <w:start w:val="1"/>
      <w:numFmt w:val="upperLetter"/>
      <w:lvlText w:val="%2、"/>
      <w:lvlJc w:val="left"/>
      <w:pPr>
        <w:tabs>
          <w:tab w:val="left" w:pos="1380"/>
        </w:tabs>
        <w:ind w:left="1380" w:hanging="360"/>
      </w:pPr>
      <w:rPr>
        <w:rFonts w:hint="eastAsia"/>
      </w:rPr>
    </w:lvl>
    <w:lvl w:ilvl="2" w:tentative="0">
      <w:start w:val="1"/>
      <w:numFmt w:val="decimal"/>
      <w:lvlText w:val="%3、"/>
      <w:lvlJc w:val="left"/>
      <w:pPr>
        <w:tabs>
          <w:tab w:val="left" w:pos="1800"/>
        </w:tabs>
        <w:ind w:left="1800" w:hanging="360"/>
      </w:pPr>
      <w:rPr>
        <w:rFonts w:hint="eastAsia"/>
      </w:rPr>
    </w:lvl>
    <w:lvl w:ilvl="3" w:tentative="0">
      <w:start w:val="1"/>
      <w:numFmt w:val="decimal"/>
      <w:lvlText w:val="%4."/>
      <w:lvlJc w:val="left"/>
      <w:pPr>
        <w:tabs>
          <w:tab w:val="left" w:pos="2280"/>
        </w:tabs>
        <w:ind w:left="2280" w:hanging="420"/>
      </w:pPr>
    </w:lvl>
    <w:lvl w:ilvl="4" w:tentative="0">
      <w:start w:val="5"/>
      <w:numFmt w:val="japaneseCounting"/>
      <w:lvlText w:val="（%5）"/>
      <w:lvlJc w:val="left"/>
      <w:pPr>
        <w:tabs>
          <w:tab w:val="left" w:pos="3000"/>
        </w:tabs>
        <w:ind w:left="3000" w:hanging="720"/>
      </w:pPr>
      <w:rPr>
        <w:rFonts w:hint="eastAsia"/>
      </w:r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13"/>
  </w:num>
  <w:num w:numId="3">
    <w:abstractNumId w:val="14"/>
  </w:num>
  <w:num w:numId="4">
    <w:abstractNumId w:val="1"/>
  </w:num>
  <w:num w:numId="5">
    <w:abstractNumId w:val="5"/>
  </w:num>
  <w:num w:numId="6">
    <w:abstractNumId w:val="12"/>
  </w:num>
  <w:num w:numId="7">
    <w:abstractNumId w:val="2"/>
  </w:num>
  <w:num w:numId="8">
    <w:abstractNumId w:val="8"/>
  </w:num>
  <w:num w:numId="9">
    <w:abstractNumId w:val="9"/>
  </w:num>
  <w:num w:numId="10">
    <w:abstractNumId w:val="16"/>
  </w:num>
  <w:num w:numId="11">
    <w:abstractNumId w:val="10"/>
  </w:num>
  <w:num w:numId="12">
    <w:abstractNumId w:val="11"/>
  </w:num>
  <w:num w:numId="13">
    <w:abstractNumId w:val="7"/>
  </w:num>
  <w:num w:numId="14">
    <w:abstractNumId w:val="0"/>
  </w:num>
  <w:num w:numId="15">
    <w:abstractNumId w:val="1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24E48"/>
    <w:rsid w:val="000006B4"/>
    <w:rsid w:val="00000712"/>
    <w:rsid w:val="000007E4"/>
    <w:rsid w:val="00000FEC"/>
    <w:rsid w:val="0000140C"/>
    <w:rsid w:val="00001C64"/>
    <w:rsid w:val="00003D00"/>
    <w:rsid w:val="00004639"/>
    <w:rsid w:val="00005020"/>
    <w:rsid w:val="00005166"/>
    <w:rsid w:val="00005C6E"/>
    <w:rsid w:val="00005D9D"/>
    <w:rsid w:val="0000609E"/>
    <w:rsid w:val="00006378"/>
    <w:rsid w:val="0000673A"/>
    <w:rsid w:val="000102F6"/>
    <w:rsid w:val="000114AF"/>
    <w:rsid w:val="00011A3E"/>
    <w:rsid w:val="000126C5"/>
    <w:rsid w:val="00015824"/>
    <w:rsid w:val="00015EF2"/>
    <w:rsid w:val="00016668"/>
    <w:rsid w:val="00017645"/>
    <w:rsid w:val="000178E8"/>
    <w:rsid w:val="00020D43"/>
    <w:rsid w:val="00020EFB"/>
    <w:rsid w:val="00021451"/>
    <w:rsid w:val="00022443"/>
    <w:rsid w:val="00023B8D"/>
    <w:rsid w:val="000256CF"/>
    <w:rsid w:val="00027D87"/>
    <w:rsid w:val="000306EA"/>
    <w:rsid w:val="00030720"/>
    <w:rsid w:val="00031679"/>
    <w:rsid w:val="00032E33"/>
    <w:rsid w:val="000341E2"/>
    <w:rsid w:val="00034488"/>
    <w:rsid w:val="0003471A"/>
    <w:rsid w:val="000349A0"/>
    <w:rsid w:val="0003574D"/>
    <w:rsid w:val="00035752"/>
    <w:rsid w:val="0003627D"/>
    <w:rsid w:val="00037665"/>
    <w:rsid w:val="00037F55"/>
    <w:rsid w:val="00041814"/>
    <w:rsid w:val="00043CCD"/>
    <w:rsid w:val="0004481C"/>
    <w:rsid w:val="00044F68"/>
    <w:rsid w:val="00045A61"/>
    <w:rsid w:val="00045DCD"/>
    <w:rsid w:val="000516E4"/>
    <w:rsid w:val="00051EE9"/>
    <w:rsid w:val="00052DBB"/>
    <w:rsid w:val="00053BA4"/>
    <w:rsid w:val="00054E59"/>
    <w:rsid w:val="0005559D"/>
    <w:rsid w:val="00057159"/>
    <w:rsid w:val="000571F3"/>
    <w:rsid w:val="0005747C"/>
    <w:rsid w:val="00057CB4"/>
    <w:rsid w:val="000610ED"/>
    <w:rsid w:val="000618FD"/>
    <w:rsid w:val="0006399B"/>
    <w:rsid w:val="00063AC7"/>
    <w:rsid w:val="00063ED0"/>
    <w:rsid w:val="00065560"/>
    <w:rsid w:val="000663BB"/>
    <w:rsid w:val="00066AEF"/>
    <w:rsid w:val="00066E08"/>
    <w:rsid w:val="000737D2"/>
    <w:rsid w:val="000739C8"/>
    <w:rsid w:val="000747D5"/>
    <w:rsid w:val="00074C4F"/>
    <w:rsid w:val="00075446"/>
    <w:rsid w:val="00075763"/>
    <w:rsid w:val="00076278"/>
    <w:rsid w:val="00076950"/>
    <w:rsid w:val="00076CD5"/>
    <w:rsid w:val="0007747B"/>
    <w:rsid w:val="00077713"/>
    <w:rsid w:val="00077780"/>
    <w:rsid w:val="0007796E"/>
    <w:rsid w:val="0008081E"/>
    <w:rsid w:val="00080AA5"/>
    <w:rsid w:val="00083A78"/>
    <w:rsid w:val="00084129"/>
    <w:rsid w:val="00084E47"/>
    <w:rsid w:val="000864BC"/>
    <w:rsid w:val="00086A51"/>
    <w:rsid w:val="00086B4D"/>
    <w:rsid w:val="00086B76"/>
    <w:rsid w:val="00087359"/>
    <w:rsid w:val="00087551"/>
    <w:rsid w:val="0009104E"/>
    <w:rsid w:val="000911F8"/>
    <w:rsid w:val="000918E9"/>
    <w:rsid w:val="00092CD3"/>
    <w:rsid w:val="00092E76"/>
    <w:rsid w:val="00093420"/>
    <w:rsid w:val="00095E80"/>
    <w:rsid w:val="00097B83"/>
    <w:rsid w:val="00097D35"/>
    <w:rsid w:val="000A05F6"/>
    <w:rsid w:val="000A0B90"/>
    <w:rsid w:val="000A12B2"/>
    <w:rsid w:val="000A134C"/>
    <w:rsid w:val="000A2363"/>
    <w:rsid w:val="000A2FC9"/>
    <w:rsid w:val="000A359E"/>
    <w:rsid w:val="000A4A49"/>
    <w:rsid w:val="000A5521"/>
    <w:rsid w:val="000A5993"/>
    <w:rsid w:val="000A5B8E"/>
    <w:rsid w:val="000A6713"/>
    <w:rsid w:val="000A7CFE"/>
    <w:rsid w:val="000B021B"/>
    <w:rsid w:val="000B0834"/>
    <w:rsid w:val="000B29AF"/>
    <w:rsid w:val="000B3093"/>
    <w:rsid w:val="000B4D21"/>
    <w:rsid w:val="000B66EE"/>
    <w:rsid w:val="000B66FB"/>
    <w:rsid w:val="000B6834"/>
    <w:rsid w:val="000B690E"/>
    <w:rsid w:val="000B6D14"/>
    <w:rsid w:val="000B6DBA"/>
    <w:rsid w:val="000B7CB9"/>
    <w:rsid w:val="000C1898"/>
    <w:rsid w:val="000C2732"/>
    <w:rsid w:val="000C3124"/>
    <w:rsid w:val="000C465E"/>
    <w:rsid w:val="000C5CAB"/>
    <w:rsid w:val="000C5CD6"/>
    <w:rsid w:val="000C648A"/>
    <w:rsid w:val="000C67B9"/>
    <w:rsid w:val="000C6EC5"/>
    <w:rsid w:val="000C7A22"/>
    <w:rsid w:val="000D07D7"/>
    <w:rsid w:val="000D0F71"/>
    <w:rsid w:val="000D14D9"/>
    <w:rsid w:val="000D1D42"/>
    <w:rsid w:val="000D2DBE"/>
    <w:rsid w:val="000D3A1B"/>
    <w:rsid w:val="000D5789"/>
    <w:rsid w:val="000D672B"/>
    <w:rsid w:val="000D73D5"/>
    <w:rsid w:val="000D7CCE"/>
    <w:rsid w:val="000D7F5F"/>
    <w:rsid w:val="000E16D3"/>
    <w:rsid w:val="000E29F4"/>
    <w:rsid w:val="000E3FAC"/>
    <w:rsid w:val="000E40AF"/>
    <w:rsid w:val="000E4ED4"/>
    <w:rsid w:val="000E526D"/>
    <w:rsid w:val="000E59F3"/>
    <w:rsid w:val="000E5BEB"/>
    <w:rsid w:val="000F2247"/>
    <w:rsid w:val="000F38F3"/>
    <w:rsid w:val="000F48A6"/>
    <w:rsid w:val="000F4A8A"/>
    <w:rsid w:val="000F63C9"/>
    <w:rsid w:val="000F6633"/>
    <w:rsid w:val="000F6943"/>
    <w:rsid w:val="000F6D52"/>
    <w:rsid w:val="000F70F9"/>
    <w:rsid w:val="001019A4"/>
    <w:rsid w:val="00101E7C"/>
    <w:rsid w:val="00102F8E"/>
    <w:rsid w:val="0010382C"/>
    <w:rsid w:val="00104678"/>
    <w:rsid w:val="00104914"/>
    <w:rsid w:val="001055CE"/>
    <w:rsid w:val="00107876"/>
    <w:rsid w:val="00107E28"/>
    <w:rsid w:val="001102A0"/>
    <w:rsid w:val="001102D6"/>
    <w:rsid w:val="00111D8B"/>
    <w:rsid w:val="00111F78"/>
    <w:rsid w:val="0011234E"/>
    <w:rsid w:val="00113D3D"/>
    <w:rsid w:val="00114C0A"/>
    <w:rsid w:val="00120A32"/>
    <w:rsid w:val="0012174E"/>
    <w:rsid w:val="0012415A"/>
    <w:rsid w:val="00124557"/>
    <w:rsid w:val="00125885"/>
    <w:rsid w:val="00125C58"/>
    <w:rsid w:val="001261EA"/>
    <w:rsid w:val="00126655"/>
    <w:rsid w:val="00126962"/>
    <w:rsid w:val="00127FEA"/>
    <w:rsid w:val="001311A5"/>
    <w:rsid w:val="00131E1A"/>
    <w:rsid w:val="001326CC"/>
    <w:rsid w:val="001329E5"/>
    <w:rsid w:val="00132C2A"/>
    <w:rsid w:val="00132F9E"/>
    <w:rsid w:val="001345A3"/>
    <w:rsid w:val="0013520D"/>
    <w:rsid w:val="00137655"/>
    <w:rsid w:val="001425AE"/>
    <w:rsid w:val="001455CA"/>
    <w:rsid w:val="00145AFD"/>
    <w:rsid w:val="00145B6A"/>
    <w:rsid w:val="0014678D"/>
    <w:rsid w:val="00147265"/>
    <w:rsid w:val="0014727E"/>
    <w:rsid w:val="00147644"/>
    <w:rsid w:val="0015062B"/>
    <w:rsid w:val="001509EA"/>
    <w:rsid w:val="00151340"/>
    <w:rsid w:val="001522D2"/>
    <w:rsid w:val="00152353"/>
    <w:rsid w:val="00152840"/>
    <w:rsid w:val="0015284D"/>
    <w:rsid w:val="00152DB7"/>
    <w:rsid w:val="001543C1"/>
    <w:rsid w:val="0015534A"/>
    <w:rsid w:val="001554C4"/>
    <w:rsid w:val="00155704"/>
    <w:rsid w:val="00156609"/>
    <w:rsid w:val="00160579"/>
    <w:rsid w:val="001625E5"/>
    <w:rsid w:val="00162855"/>
    <w:rsid w:val="001636F6"/>
    <w:rsid w:val="00163E62"/>
    <w:rsid w:val="00164FC6"/>
    <w:rsid w:val="00165614"/>
    <w:rsid w:val="00165CE2"/>
    <w:rsid w:val="001662D4"/>
    <w:rsid w:val="00166D4C"/>
    <w:rsid w:val="00167820"/>
    <w:rsid w:val="00167CAE"/>
    <w:rsid w:val="00167D75"/>
    <w:rsid w:val="001730C0"/>
    <w:rsid w:val="00173549"/>
    <w:rsid w:val="00173D9B"/>
    <w:rsid w:val="0017569E"/>
    <w:rsid w:val="00175C06"/>
    <w:rsid w:val="00176078"/>
    <w:rsid w:val="00176E63"/>
    <w:rsid w:val="00177185"/>
    <w:rsid w:val="00180954"/>
    <w:rsid w:val="00180AE6"/>
    <w:rsid w:val="00183168"/>
    <w:rsid w:val="00185247"/>
    <w:rsid w:val="00186C85"/>
    <w:rsid w:val="00187EF7"/>
    <w:rsid w:val="00190B98"/>
    <w:rsid w:val="001912E7"/>
    <w:rsid w:val="00191FF8"/>
    <w:rsid w:val="00192534"/>
    <w:rsid w:val="001929B8"/>
    <w:rsid w:val="00192C15"/>
    <w:rsid w:val="00195551"/>
    <w:rsid w:val="00196787"/>
    <w:rsid w:val="00197193"/>
    <w:rsid w:val="00197FAF"/>
    <w:rsid w:val="001A13DE"/>
    <w:rsid w:val="001A1613"/>
    <w:rsid w:val="001A1F4E"/>
    <w:rsid w:val="001A6B3B"/>
    <w:rsid w:val="001B0C1E"/>
    <w:rsid w:val="001B178D"/>
    <w:rsid w:val="001B2A4A"/>
    <w:rsid w:val="001B68B9"/>
    <w:rsid w:val="001B7DAC"/>
    <w:rsid w:val="001C141E"/>
    <w:rsid w:val="001C1E56"/>
    <w:rsid w:val="001C2BC7"/>
    <w:rsid w:val="001C3BD9"/>
    <w:rsid w:val="001C3C26"/>
    <w:rsid w:val="001C45E0"/>
    <w:rsid w:val="001C4C9A"/>
    <w:rsid w:val="001D1C6F"/>
    <w:rsid w:val="001D1C77"/>
    <w:rsid w:val="001D1FCB"/>
    <w:rsid w:val="001D21C5"/>
    <w:rsid w:val="001D34FA"/>
    <w:rsid w:val="001D35F1"/>
    <w:rsid w:val="001D3EA7"/>
    <w:rsid w:val="001D56D0"/>
    <w:rsid w:val="001D58FB"/>
    <w:rsid w:val="001E2024"/>
    <w:rsid w:val="001E21C2"/>
    <w:rsid w:val="001E2638"/>
    <w:rsid w:val="001E4395"/>
    <w:rsid w:val="001E5504"/>
    <w:rsid w:val="001E799F"/>
    <w:rsid w:val="001F0282"/>
    <w:rsid w:val="001F364A"/>
    <w:rsid w:val="001F4056"/>
    <w:rsid w:val="001F5A39"/>
    <w:rsid w:val="001F6363"/>
    <w:rsid w:val="001F7865"/>
    <w:rsid w:val="001F7A0E"/>
    <w:rsid w:val="001F7A82"/>
    <w:rsid w:val="002005B9"/>
    <w:rsid w:val="00201914"/>
    <w:rsid w:val="0020224E"/>
    <w:rsid w:val="00202472"/>
    <w:rsid w:val="00202CD5"/>
    <w:rsid w:val="00202E28"/>
    <w:rsid w:val="002039BD"/>
    <w:rsid w:val="002039C8"/>
    <w:rsid w:val="002049C5"/>
    <w:rsid w:val="00204B83"/>
    <w:rsid w:val="002053D9"/>
    <w:rsid w:val="0020712C"/>
    <w:rsid w:val="002074C4"/>
    <w:rsid w:val="00207A59"/>
    <w:rsid w:val="00207EDE"/>
    <w:rsid w:val="00210540"/>
    <w:rsid w:val="00210B1E"/>
    <w:rsid w:val="0021276F"/>
    <w:rsid w:val="0021327B"/>
    <w:rsid w:val="00213AF4"/>
    <w:rsid w:val="0021557D"/>
    <w:rsid w:val="00217987"/>
    <w:rsid w:val="00217BB6"/>
    <w:rsid w:val="00220490"/>
    <w:rsid w:val="00224B47"/>
    <w:rsid w:val="00224F11"/>
    <w:rsid w:val="002257A2"/>
    <w:rsid w:val="00225B92"/>
    <w:rsid w:val="002304CE"/>
    <w:rsid w:val="00230611"/>
    <w:rsid w:val="002306EF"/>
    <w:rsid w:val="00230DE5"/>
    <w:rsid w:val="00232C9A"/>
    <w:rsid w:val="002356F5"/>
    <w:rsid w:val="00236C01"/>
    <w:rsid w:val="00237FA1"/>
    <w:rsid w:val="00245542"/>
    <w:rsid w:val="0024603D"/>
    <w:rsid w:val="00246630"/>
    <w:rsid w:val="0024779B"/>
    <w:rsid w:val="00247808"/>
    <w:rsid w:val="00251F52"/>
    <w:rsid w:val="00252946"/>
    <w:rsid w:val="00254D64"/>
    <w:rsid w:val="00257DB6"/>
    <w:rsid w:val="0026002C"/>
    <w:rsid w:val="002615CC"/>
    <w:rsid w:val="00261ECB"/>
    <w:rsid w:val="00261F6F"/>
    <w:rsid w:val="00262D59"/>
    <w:rsid w:val="00263392"/>
    <w:rsid w:val="0026374F"/>
    <w:rsid w:val="00263A7B"/>
    <w:rsid w:val="00265BE2"/>
    <w:rsid w:val="00271A26"/>
    <w:rsid w:val="002731B6"/>
    <w:rsid w:val="00273B90"/>
    <w:rsid w:val="00273EE7"/>
    <w:rsid w:val="00274006"/>
    <w:rsid w:val="00275310"/>
    <w:rsid w:val="00276D95"/>
    <w:rsid w:val="002772DE"/>
    <w:rsid w:val="002819D4"/>
    <w:rsid w:val="0028313A"/>
    <w:rsid w:val="002841EF"/>
    <w:rsid w:val="00286021"/>
    <w:rsid w:val="00286952"/>
    <w:rsid w:val="00286B1F"/>
    <w:rsid w:val="002901C6"/>
    <w:rsid w:val="002911DB"/>
    <w:rsid w:val="002913EA"/>
    <w:rsid w:val="002944B8"/>
    <w:rsid w:val="002945CC"/>
    <w:rsid w:val="002947BB"/>
    <w:rsid w:val="002947ED"/>
    <w:rsid w:val="00295270"/>
    <w:rsid w:val="00296C60"/>
    <w:rsid w:val="00296F1F"/>
    <w:rsid w:val="00297E66"/>
    <w:rsid w:val="002A0074"/>
    <w:rsid w:val="002A1033"/>
    <w:rsid w:val="002A16A4"/>
    <w:rsid w:val="002A1950"/>
    <w:rsid w:val="002A2D66"/>
    <w:rsid w:val="002A5548"/>
    <w:rsid w:val="002A5E87"/>
    <w:rsid w:val="002A7472"/>
    <w:rsid w:val="002A7BCC"/>
    <w:rsid w:val="002B0042"/>
    <w:rsid w:val="002B07AF"/>
    <w:rsid w:val="002B206F"/>
    <w:rsid w:val="002B231B"/>
    <w:rsid w:val="002B235A"/>
    <w:rsid w:val="002B44BC"/>
    <w:rsid w:val="002B48F6"/>
    <w:rsid w:val="002B755F"/>
    <w:rsid w:val="002B7ED5"/>
    <w:rsid w:val="002C01E9"/>
    <w:rsid w:val="002C07B2"/>
    <w:rsid w:val="002C09F8"/>
    <w:rsid w:val="002C0BE4"/>
    <w:rsid w:val="002C1549"/>
    <w:rsid w:val="002C16AD"/>
    <w:rsid w:val="002C20E0"/>
    <w:rsid w:val="002C271F"/>
    <w:rsid w:val="002C3028"/>
    <w:rsid w:val="002C3EFC"/>
    <w:rsid w:val="002C5D57"/>
    <w:rsid w:val="002C7F25"/>
    <w:rsid w:val="002C7F88"/>
    <w:rsid w:val="002D0336"/>
    <w:rsid w:val="002D09A5"/>
    <w:rsid w:val="002D2353"/>
    <w:rsid w:val="002D3288"/>
    <w:rsid w:val="002D346A"/>
    <w:rsid w:val="002D3A82"/>
    <w:rsid w:val="002D3B8D"/>
    <w:rsid w:val="002D47CD"/>
    <w:rsid w:val="002E0938"/>
    <w:rsid w:val="002E21CF"/>
    <w:rsid w:val="002E254E"/>
    <w:rsid w:val="002E275C"/>
    <w:rsid w:val="002E4525"/>
    <w:rsid w:val="002F10BE"/>
    <w:rsid w:val="002F3E72"/>
    <w:rsid w:val="002F4AB4"/>
    <w:rsid w:val="002F55E7"/>
    <w:rsid w:val="002F58DA"/>
    <w:rsid w:val="002F5A80"/>
    <w:rsid w:val="002F695A"/>
    <w:rsid w:val="003009DA"/>
    <w:rsid w:val="0030212D"/>
    <w:rsid w:val="003024D4"/>
    <w:rsid w:val="00302B85"/>
    <w:rsid w:val="00305460"/>
    <w:rsid w:val="0030571C"/>
    <w:rsid w:val="00305DB5"/>
    <w:rsid w:val="0030653F"/>
    <w:rsid w:val="00307264"/>
    <w:rsid w:val="00307BF4"/>
    <w:rsid w:val="00310A92"/>
    <w:rsid w:val="00310AD2"/>
    <w:rsid w:val="0031126E"/>
    <w:rsid w:val="003115D3"/>
    <w:rsid w:val="00312050"/>
    <w:rsid w:val="0031292C"/>
    <w:rsid w:val="00313E09"/>
    <w:rsid w:val="00314101"/>
    <w:rsid w:val="00314B96"/>
    <w:rsid w:val="0032094D"/>
    <w:rsid w:val="003210A5"/>
    <w:rsid w:val="00321BB2"/>
    <w:rsid w:val="0032241A"/>
    <w:rsid w:val="00322AB0"/>
    <w:rsid w:val="00322DC5"/>
    <w:rsid w:val="00323C4C"/>
    <w:rsid w:val="00326BFD"/>
    <w:rsid w:val="00326C1D"/>
    <w:rsid w:val="00330FEB"/>
    <w:rsid w:val="00332F23"/>
    <w:rsid w:val="00333A85"/>
    <w:rsid w:val="00334802"/>
    <w:rsid w:val="00335161"/>
    <w:rsid w:val="00337E90"/>
    <w:rsid w:val="0034071A"/>
    <w:rsid w:val="0034071D"/>
    <w:rsid w:val="00342A1D"/>
    <w:rsid w:val="00342D91"/>
    <w:rsid w:val="003433A5"/>
    <w:rsid w:val="003451B3"/>
    <w:rsid w:val="00346493"/>
    <w:rsid w:val="00346F76"/>
    <w:rsid w:val="00347A74"/>
    <w:rsid w:val="00350C64"/>
    <w:rsid w:val="00352AB8"/>
    <w:rsid w:val="00353DBB"/>
    <w:rsid w:val="00354088"/>
    <w:rsid w:val="0035553F"/>
    <w:rsid w:val="003555A8"/>
    <w:rsid w:val="00356713"/>
    <w:rsid w:val="003575FF"/>
    <w:rsid w:val="00361451"/>
    <w:rsid w:val="003629E7"/>
    <w:rsid w:val="0036308B"/>
    <w:rsid w:val="003633E9"/>
    <w:rsid w:val="003648B0"/>
    <w:rsid w:val="00364C98"/>
    <w:rsid w:val="0036513A"/>
    <w:rsid w:val="0036682E"/>
    <w:rsid w:val="003671FC"/>
    <w:rsid w:val="00371683"/>
    <w:rsid w:val="003722FA"/>
    <w:rsid w:val="003760DE"/>
    <w:rsid w:val="00377AC3"/>
    <w:rsid w:val="00380D67"/>
    <w:rsid w:val="00381344"/>
    <w:rsid w:val="0038432D"/>
    <w:rsid w:val="003857A5"/>
    <w:rsid w:val="00386345"/>
    <w:rsid w:val="00386515"/>
    <w:rsid w:val="003872DD"/>
    <w:rsid w:val="003872E8"/>
    <w:rsid w:val="00387A1E"/>
    <w:rsid w:val="003901FE"/>
    <w:rsid w:val="00390AEF"/>
    <w:rsid w:val="00392196"/>
    <w:rsid w:val="003924F1"/>
    <w:rsid w:val="00392DE0"/>
    <w:rsid w:val="00393D08"/>
    <w:rsid w:val="00394394"/>
    <w:rsid w:val="00394F8F"/>
    <w:rsid w:val="003956E2"/>
    <w:rsid w:val="00395D21"/>
    <w:rsid w:val="0039638E"/>
    <w:rsid w:val="003968A6"/>
    <w:rsid w:val="00397269"/>
    <w:rsid w:val="00397368"/>
    <w:rsid w:val="003A060C"/>
    <w:rsid w:val="003A069E"/>
    <w:rsid w:val="003A0F0E"/>
    <w:rsid w:val="003A10D2"/>
    <w:rsid w:val="003A1410"/>
    <w:rsid w:val="003A18CD"/>
    <w:rsid w:val="003A435A"/>
    <w:rsid w:val="003A572A"/>
    <w:rsid w:val="003A7F5D"/>
    <w:rsid w:val="003B0292"/>
    <w:rsid w:val="003B2618"/>
    <w:rsid w:val="003B273D"/>
    <w:rsid w:val="003B2B29"/>
    <w:rsid w:val="003B2D95"/>
    <w:rsid w:val="003B481A"/>
    <w:rsid w:val="003B51B2"/>
    <w:rsid w:val="003B521C"/>
    <w:rsid w:val="003B524C"/>
    <w:rsid w:val="003B5F91"/>
    <w:rsid w:val="003B6F83"/>
    <w:rsid w:val="003C09E3"/>
    <w:rsid w:val="003C16ED"/>
    <w:rsid w:val="003C299A"/>
    <w:rsid w:val="003C3790"/>
    <w:rsid w:val="003C3DB0"/>
    <w:rsid w:val="003C4EAE"/>
    <w:rsid w:val="003C5596"/>
    <w:rsid w:val="003C599C"/>
    <w:rsid w:val="003C6092"/>
    <w:rsid w:val="003C6C03"/>
    <w:rsid w:val="003C7231"/>
    <w:rsid w:val="003D2D46"/>
    <w:rsid w:val="003D3FD1"/>
    <w:rsid w:val="003D465C"/>
    <w:rsid w:val="003D542D"/>
    <w:rsid w:val="003E0228"/>
    <w:rsid w:val="003E046F"/>
    <w:rsid w:val="003E2C04"/>
    <w:rsid w:val="003E2D6A"/>
    <w:rsid w:val="003E3451"/>
    <w:rsid w:val="003E5215"/>
    <w:rsid w:val="003E54DF"/>
    <w:rsid w:val="003E5D2C"/>
    <w:rsid w:val="003E6BB4"/>
    <w:rsid w:val="003E6FC9"/>
    <w:rsid w:val="003F3352"/>
    <w:rsid w:val="003F371D"/>
    <w:rsid w:val="003F3AD6"/>
    <w:rsid w:val="003F59B0"/>
    <w:rsid w:val="003F6354"/>
    <w:rsid w:val="00405C14"/>
    <w:rsid w:val="004061D7"/>
    <w:rsid w:val="00407728"/>
    <w:rsid w:val="004113EE"/>
    <w:rsid w:val="00412416"/>
    <w:rsid w:val="00414A33"/>
    <w:rsid w:val="0041641E"/>
    <w:rsid w:val="004165B7"/>
    <w:rsid w:val="0041683F"/>
    <w:rsid w:val="00417332"/>
    <w:rsid w:val="004205D1"/>
    <w:rsid w:val="004211E6"/>
    <w:rsid w:val="00421BA6"/>
    <w:rsid w:val="004223D1"/>
    <w:rsid w:val="00422AED"/>
    <w:rsid w:val="004244C9"/>
    <w:rsid w:val="004260C2"/>
    <w:rsid w:val="00427C34"/>
    <w:rsid w:val="00431A63"/>
    <w:rsid w:val="00432153"/>
    <w:rsid w:val="00434157"/>
    <w:rsid w:val="00441A5B"/>
    <w:rsid w:val="004421F7"/>
    <w:rsid w:val="00442665"/>
    <w:rsid w:val="004437D1"/>
    <w:rsid w:val="0044392E"/>
    <w:rsid w:val="00447F34"/>
    <w:rsid w:val="00452299"/>
    <w:rsid w:val="00453421"/>
    <w:rsid w:val="00457C22"/>
    <w:rsid w:val="0046048A"/>
    <w:rsid w:val="00460889"/>
    <w:rsid w:val="004638DB"/>
    <w:rsid w:val="00463FA0"/>
    <w:rsid w:val="00465FEF"/>
    <w:rsid w:val="0046650E"/>
    <w:rsid w:val="00466682"/>
    <w:rsid w:val="00470798"/>
    <w:rsid w:val="004712CA"/>
    <w:rsid w:val="00472215"/>
    <w:rsid w:val="00472E7A"/>
    <w:rsid w:val="004730B7"/>
    <w:rsid w:val="00475BB4"/>
    <w:rsid w:val="00476512"/>
    <w:rsid w:val="004766B2"/>
    <w:rsid w:val="004769A7"/>
    <w:rsid w:val="00476D84"/>
    <w:rsid w:val="00477022"/>
    <w:rsid w:val="004770BB"/>
    <w:rsid w:val="0047778E"/>
    <w:rsid w:val="00477F1F"/>
    <w:rsid w:val="00477F37"/>
    <w:rsid w:val="00482117"/>
    <w:rsid w:val="00482248"/>
    <w:rsid w:val="0048285A"/>
    <w:rsid w:val="004829DF"/>
    <w:rsid w:val="00482E7B"/>
    <w:rsid w:val="004844AE"/>
    <w:rsid w:val="00485123"/>
    <w:rsid w:val="0048572B"/>
    <w:rsid w:val="0048598C"/>
    <w:rsid w:val="004865F5"/>
    <w:rsid w:val="0048689E"/>
    <w:rsid w:val="00491047"/>
    <w:rsid w:val="00492105"/>
    <w:rsid w:val="00493649"/>
    <w:rsid w:val="00494735"/>
    <w:rsid w:val="00494FF7"/>
    <w:rsid w:val="00495D51"/>
    <w:rsid w:val="004972E5"/>
    <w:rsid w:val="0049758E"/>
    <w:rsid w:val="00497BA7"/>
    <w:rsid w:val="004A00E9"/>
    <w:rsid w:val="004A213D"/>
    <w:rsid w:val="004A221C"/>
    <w:rsid w:val="004A4114"/>
    <w:rsid w:val="004A42E4"/>
    <w:rsid w:val="004A50CF"/>
    <w:rsid w:val="004A7CB9"/>
    <w:rsid w:val="004B04A5"/>
    <w:rsid w:val="004B1A47"/>
    <w:rsid w:val="004B1D36"/>
    <w:rsid w:val="004B21EC"/>
    <w:rsid w:val="004B2808"/>
    <w:rsid w:val="004B34DE"/>
    <w:rsid w:val="004B572C"/>
    <w:rsid w:val="004B6332"/>
    <w:rsid w:val="004B6822"/>
    <w:rsid w:val="004B68D8"/>
    <w:rsid w:val="004B7A4E"/>
    <w:rsid w:val="004C10A9"/>
    <w:rsid w:val="004C1C68"/>
    <w:rsid w:val="004C2E7A"/>
    <w:rsid w:val="004C4030"/>
    <w:rsid w:val="004C4BDE"/>
    <w:rsid w:val="004C537C"/>
    <w:rsid w:val="004C6EE7"/>
    <w:rsid w:val="004C76D8"/>
    <w:rsid w:val="004C7CD7"/>
    <w:rsid w:val="004D0365"/>
    <w:rsid w:val="004D049E"/>
    <w:rsid w:val="004D1D81"/>
    <w:rsid w:val="004D2029"/>
    <w:rsid w:val="004D283D"/>
    <w:rsid w:val="004D2B5A"/>
    <w:rsid w:val="004D5080"/>
    <w:rsid w:val="004D57FB"/>
    <w:rsid w:val="004D5FA5"/>
    <w:rsid w:val="004D69E6"/>
    <w:rsid w:val="004D6F47"/>
    <w:rsid w:val="004E0974"/>
    <w:rsid w:val="004E0A93"/>
    <w:rsid w:val="004E1F3C"/>
    <w:rsid w:val="004E22CB"/>
    <w:rsid w:val="004E2DF8"/>
    <w:rsid w:val="004E4D24"/>
    <w:rsid w:val="004E55B5"/>
    <w:rsid w:val="004E62B0"/>
    <w:rsid w:val="004F058F"/>
    <w:rsid w:val="004F0A2E"/>
    <w:rsid w:val="004F15EA"/>
    <w:rsid w:val="004F2777"/>
    <w:rsid w:val="004F3740"/>
    <w:rsid w:val="004F4390"/>
    <w:rsid w:val="004F6259"/>
    <w:rsid w:val="004F6992"/>
    <w:rsid w:val="004F69F6"/>
    <w:rsid w:val="004F7659"/>
    <w:rsid w:val="004F7739"/>
    <w:rsid w:val="005009B9"/>
    <w:rsid w:val="00502268"/>
    <w:rsid w:val="00502388"/>
    <w:rsid w:val="005046EF"/>
    <w:rsid w:val="00504781"/>
    <w:rsid w:val="00505AEB"/>
    <w:rsid w:val="005070F9"/>
    <w:rsid w:val="005104FF"/>
    <w:rsid w:val="00510704"/>
    <w:rsid w:val="00513D85"/>
    <w:rsid w:val="00513E2A"/>
    <w:rsid w:val="00513E80"/>
    <w:rsid w:val="00515858"/>
    <w:rsid w:val="005168A6"/>
    <w:rsid w:val="00516BA8"/>
    <w:rsid w:val="00517DD2"/>
    <w:rsid w:val="00520259"/>
    <w:rsid w:val="00520EBF"/>
    <w:rsid w:val="00522A52"/>
    <w:rsid w:val="0052453B"/>
    <w:rsid w:val="005250C9"/>
    <w:rsid w:val="00525430"/>
    <w:rsid w:val="0052606B"/>
    <w:rsid w:val="00526C36"/>
    <w:rsid w:val="00531EA1"/>
    <w:rsid w:val="00533837"/>
    <w:rsid w:val="00533FCB"/>
    <w:rsid w:val="005344A7"/>
    <w:rsid w:val="00534F06"/>
    <w:rsid w:val="00535912"/>
    <w:rsid w:val="0053653C"/>
    <w:rsid w:val="005371FF"/>
    <w:rsid w:val="00537405"/>
    <w:rsid w:val="00541CDE"/>
    <w:rsid w:val="005421AD"/>
    <w:rsid w:val="00543010"/>
    <w:rsid w:val="0054323E"/>
    <w:rsid w:val="005441A7"/>
    <w:rsid w:val="00544204"/>
    <w:rsid w:val="00545728"/>
    <w:rsid w:val="00545BAC"/>
    <w:rsid w:val="00545DD3"/>
    <w:rsid w:val="00546CD0"/>
    <w:rsid w:val="00547981"/>
    <w:rsid w:val="005502B3"/>
    <w:rsid w:val="00550D5F"/>
    <w:rsid w:val="00550E89"/>
    <w:rsid w:val="005510F5"/>
    <w:rsid w:val="0055135C"/>
    <w:rsid w:val="0055158C"/>
    <w:rsid w:val="00551670"/>
    <w:rsid w:val="00551E26"/>
    <w:rsid w:val="00551F07"/>
    <w:rsid w:val="00552CFD"/>
    <w:rsid w:val="00553C21"/>
    <w:rsid w:val="0055461E"/>
    <w:rsid w:val="00554F9B"/>
    <w:rsid w:val="005564AA"/>
    <w:rsid w:val="005566C8"/>
    <w:rsid w:val="00560274"/>
    <w:rsid w:val="00560D5C"/>
    <w:rsid w:val="0056367A"/>
    <w:rsid w:val="00564BCE"/>
    <w:rsid w:val="005666EF"/>
    <w:rsid w:val="00567543"/>
    <w:rsid w:val="00570C5A"/>
    <w:rsid w:val="00570DB5"/>
    <w:rsid w:val="00570F53"/>
    <w:rsid w:val="00570FE6"/>
    <w:rsid w:val="00572038"/>
    <w:rsid w:val="00572D78"/>
    <w:rsid w:val="0057326D"/>
    <w:rsid w:val="005768CC"/>
    <w:rsid w:val="00576A6F"/>
    <w:rsid w:val="005776ED"/>
    <w:rsid w:val="00580607"/>
    <w:rsid w:val="005807FB"/>
    <w:rsid w:val="00580BF9"/>
    <w:rsid w:val="00581715"/>
    <w:rsid w:val="00582849"/>
    <w:rsid w:val="0058339C"/>
    <w:rsid w:val="00583412"/>
    <w:rsid w:val="00583C08"/>
    <w:rsid w:val="00584544"/>
    <w:rsid w:val="0058495D"/>
    <w:rsid w:val="00585137"/>
    <w:rsid w:val="00586158"/>
    <w:rsid w:val="005903E4"/>
    <w:rsid w:val="005909E6"/>
    <w:rsid w:val="00591980"/>
    <w:rsid w:val="0059518D"/>
    <w:rsid w:val="005953E1"/>
    <w:rsid w:val="005955E9"/>
    <w:rsid w:val="00595DB8"/>
    <w:rsid w:val="005A0353"/>
    <w:rsid w:val="005A1180"/>
    <w:rsid w:val="005A4448"/>
    <w:rsid w:val="005A4D68"/>
    <w:rsid w:val="005A525B"/>
    <w:rsid w:val="005A5AC7"/>
    <w:rsid w:val="005A6568"/>
    <w:rsid w:val="005B04EC"/>
    <w:rsid w:val="005B2BC3"/>
    <w:rsid w:val="005B3D2A"/>
    <w:rsid w:val="005B5846"/>
    <w:rsid w:val="005B7195"/>
    <w:rsid w:val="005B71A8"/>
    <w:rsid w:val="005C159E"/>
    <w:rsid w:val="005C1FA1"/>
    <w:rsid w:val="005C2465"/>
    <w:rsid w:val="005C2C54"/>
    <w:rsid w:val="005C32C9"/>
    <w:rsid w:val="005C3B53"/>
    <w:rsid w:val="005C3C57"/>
    <w:rsid w:val="005C4042"/>
    <w:rsid w:val="005C4356"/>
    <w:rsid w:val="005C4DA7"/>
    <w:rsid w:val="005C54BD"/>
    <w:rsid w:val="005C5743"/>
    <w:rsid w:val="005C6772"/>
    <w:rsid w:val="005D1173"/>
    <w:rsid w:val="005D2652"/>
    <w:rsid w:val="005D30CA"/>
    <w:rsid w:val="005D3B29"/>
    <w:rsid w:val="005D3F86"/>
    <w:rsid w:val="005D486B"/>
    <w:rsid w:val="005D770A"/>
    <w:rsid w:val="005E01AB"/>
    <w:rsid w:val="005E052B"/>
    <w:rsid w:val="005E0C03"/>
    <w:rsid w:val="005E6C25"/>
    <w:rsid w:val="005E754E"/>
    <w:rsid w:val="005E7E3F"/>
    <w:rsid w:val="005F16A7"/>
    <w:rsid w:val="005F2F2E"/>
    <w:rsid w:val="005F37C5"/>
    <w:rsid w:val="005F3940"/>
    <w:rsid w:val="005F3FDD"/>
    <w:rsid w:val="005F4BAF"/>
    <w:rsid w:val="005F5772"/>
    <w:rsid w:val="005F79D5"/>
    <w:rsid w:val="00601356"/>
    <w:rsid w:val="00601ADE"/>
    <w:rsid w:val="00602E24"/>
    <w:rsid w:val="00604B0B"/>
    <w:rsid w:val="006053A9"/>
    <w:rsid w:val="00607297"/>
    <w:rsid w:val="00607DBE"/>
    <w:rsid w:val="00610210"/>
    <w:rsid w:val="00611DC4"/>
    <w:rsid w:val="006124D2"/>
    <w:rsid w:val="006135A8"/>
    <w:rsid w:val="0061501B"/>
    <w:rsid w:val="00615231"/>
    <w:rsid w:val="00615664"/>
    <w:rsid w:val="00620507"/>
    <w:rsid w:val="006221D9"/>
    <w:rsid w:val="00623712"/>
    <w:rsid w:val="00624540"/>
    <w:rsid w:val="006261AC"/>
    <w:rsid w:val="0063501C"/>
    <w:rsid w:val="0063527A"/>
    <w:rsid w:val="0064035E"/>
    <w:rsid w:val="006419C2"/>
    <w:rsid w:val="00641B56"/>
    <w:rsid w:val="00643D7A"/>
    <w:rsid w:val="006442B7"/>
    <w:rsid w:val="00644532"/>
    <w:rsid w:val="00644C71"/>
    <w:rsid w:val="00644D42"/>
    <w:rsid w:val="00644F37"/>
    <w:rsid w:val="00646283"/>
    <w:rsid w:val="0064644B"/>
    <w:rsid w:val="00646E5F"/>
    <w:rsid w:val="00651366"/>
    <w:rsid w:val="006517B8"/>
    <w:rsid w:val="0065313E"/>
    <w:rsid w:val="0065378C"/>
    <w:rsid w:val="0065380F"/>
    <w:rsid w:val="00653CF4"/>
    <w:rsid w:val="00654EE0"/>
    <w:rsid w:val="00654FA3"/>
    <w:rsid w:val="00655272"/>
    <w:rsid w:val="006573B9"/>
    <w:rsid w:val="006602F1"/>
    <w:rsid w:val="0066060F"/>
    <w:rsid w:val="00661E30"/>
    <w:rsid w:val="006641C8"/>
    <w:rsid w:val="00664249"/>
    <w:rsid w:val="00664350"/>
    <w:rsid w:val="0066535B"/>
    <w:rsid w:val="006659E4"/>
    <w:rsid w:val="00665E10"/>
    <w:rsid w:val="00666F98"/>
    <w:rsid w:val="00667337"/>
    <w:rsid w:val="00667C10"/>
    <w:rsid w:val="00671091"/>
    <w:rsid w:val="0067216C"/>
    <w:rsid w:val="00672397"/>
    <w:rsid w:val="006723C6"/>
    <w:rsid w:val="00674D0C"/>
    <w:rsid w:val="0067582B"/>
    <w:rsid w:val="00675EA6"/>
    <w:rsid w:val="006772F7"/>
    <w:rsid w:val="00680CF9"/>
    <w:rsid w:val="0068139A"/>
    <w:rsid w:val="00681D53"/>
    <w:rsid w:val="00683186"/>
    <w:rsid w:val="006843D9"/>
    <w:rsid w:val="00684FE5"/>
    <w:rsid w:val="006868C8"/>
    <w:rsid w:val="00687ED3"/>
    <w:rsid w:val="006914AD"/>
    <w:rsid w:val="006914F4"/>
    <w:rsid w:val="0069180B"/>
    <w:rsid w:val="006941A7"/>
    <w:rsid w:val="00694E4E"/>
    <w:rsid w:val="006953CA"/>
    <w:rsid w:val="00695FA0"/>
    <w:rsid w:val="0069691B"/>
    <w:rsid w:val="006A0031"/>
    <w:rsid w:val="006A01F7"/>
    <w:rsid w:val="006A41AF"/>
    <w:rsid w:val="006A4AFB"/>
    <w:rsid w:val="006A56FD"/>
    <w:rsid w:val="006A5D7C"/>
    <w:rsid w:val="006A60F3"/>
    <w:rsid w:val="006B03D5"/>
    <w:rsid w:val="006B05A0"/>
    <w:rsid w:val="006B0ED8"/>
    <w:rsid w:val="006B1939"/>
    <w:rsid w:val="006B19E6"/>
    <w:rsid w:val="006B1E46"/>
    <w:rsid w:val="006B33A6"/>
    <w:rsid w:val="006B366C"/>
    <w:rsid w:val="006B6EBF"/>
    <w:rsid w:val="006B7E4A"/>
    <w:rsid w:val="006C285C"/>
    <w:rsid w:val="006C2B15"/>
    <w:rsid w:val="006C45BF"/>
    <w:rsid w:val="006C653C"/>
    <w:rsid w:val="006C6FAE"/>
    <w:rsid w:val="006D0583"/>
    <w:rsid w:val="006D0938"/>
    <w:rsid w:val="006D25BE"/>
    <w:rsid w:val="006D27E2"/>
    <w:rsid w:val="006D3470"/>
    <w:rsid w:val="006D40E1"/>
    <w:rsid w:val="006D5796"/>
    <w:rsid w:val="006D6139"/>
    <w:rsid w:val="006D6882"/>
    <w:rsid w:val="006D739B"/>
    <w:rsid w:val="006E0515"/>
    <w:rsid w:val="006E0928"/>
    <w:rsid w:val="006E1F5E"/>
    <w:rsid w:val="006E24A1"/>
    <w:rsid w:val="006E3FFD"/>
    <w:rsid w:val="006E4140"/>
    <w:rsid w:val="006E46D0"/>
    <w:rsid w:val="006E47BD"/>
    <w:rsid w:val="006E4B68"/>
    <w:rsid w:val="006E676E"/>
    <w:rsid w:val="006E69C1"/>
    <w:rsid w:val="006E6F04"/>
    <w:rsid w:val="006E7559"/>
    <w:rsid w:val="006F02CD"/>
    <w:rsid w:val="006F2B42"/>
    <w:rsid w:val="006F2C50"/>
    <w:rsid w:val="006F3D22"/>
    <w:rsid w:val="006F6098"/>
    <w:rsid w:val="006F6DEF"/>
    <w:rsid w:val="00701314"/>
    <w:rsid w:val="007019C1"/>
    <w:rsid w:val="0070321E"/>
    <w:rsid w:val="00714313"/>
    <w:rsid w:val="007143A1"/>
    <w:rsid w:val="00720D91"/>
    <w:rsid w:val="007217C6"/>
    <w:rsid w:val="00722B4E"/>
    <w:rsid w:val="00722E43"/>
    <w:rsid w:val="0072408B"/>
    <w:rsid w:val="007241EF"/>
    <w:rsid w:val="00724BF7"/>
    <w:rsid w:val="007272FF"/>
    <w:rsid w:val="00727A33"/>
    <w:rsid w:val="00727E7E"/>
    <w:rsid w:val="00730680"/>
    <w:rsid w:val="00730A93"/>
    <w:rsid w:val="00730E32"/>
    <w:rsid w:val="00732652"/>
    <w:rsid w:val="00732F2C"/>
    <w:rsid w:val="00733057"/>
    <w:rsid w:val="007331FF"/>
    <w:rsid w:val="00733811"/>
    <w:rsid w:val="00734125"/>
    <w:rsid w:val="0073417A"/>
    <w:rsid w:val="00734223"/>
    <w:rsid w:val="0073580F"/>
    <w:rsid w:val="00735D3B"/>
    <w:rsid w:val="00736C4E"/>
    <w:rsid w:val="007376DD"/>
    <w:rsid w:val="00740501"/>
    <w:rsid w:val="00742052"/>
    <w:rsid w:val="00743E85"/>
    <w:rsid w:val="00746748"/>
    <w:rsid w:val="007476E4"/>
    <w:rsid w:val="00747980"/>
    <w:rsid w:val="007500F3"/>
    <w:rsid w:val="007517E5"/>
    <w:rsid w:val="0075285E"/>
    <w:rsid w:val="007531AF"/>
    <w:rsid w:val="00753F42"/>
    <w:rsid w:val="00754E2F"/>
    <w:rsid w:val="00760AE6"/>
    <w:rsid w:val="007616E3"/>
    <w:rsid w:val="007626D7"/>
    <w:rsid w:val="007629B0"/>
    <w:rsid w:val="00762AE6"/>
    <w:rsid w:val="00762FB6"/>
    <w:rsid w:val="00763A5A"/>
    <w:rsid w:val="00763EF6"/>
    <w:rsid w:val="00766F69"/>
    <w:rsid w:val="00767FFD"/>
    <w:rsid w:val="007712A4"/>
    <w:rsid w:val="0077251E"/>
    <w:rsid w:val="00772FBD"/>
    <w:rsid w:val="0077327B"/>
    <w:rsid w:val="00775B89"/>
    <w:rsid w:val="0077611B"/>
    <w:rsid w:val="00776580"/>
    <w:rsid w:val="00776EF3"/>
    <w:rsid w:val="0077773D"/>
    <w:rsid w:val="00781997"/>
    <w:rsid w:val="00781B67"/>
    <w:rsid w:val="00782F1A"/>
    <w:rsid w:val="00784311"/>
    <w:rsid w:val="0078454A"/>
    <w:rsid w:val="00784B6C"/>
    <w:rsid w:val="007856C5"/>
    <w:rsid w:val="0078585D"/>
    <w:rsid w:val="00787566"/>
    <w:rsid w:val="00790EC3"/>
    <w:rsid w:val="00791418"/>
    <w:rsid w:val="00791FB6"/>
    <w:rsid w:val="00792DA2"/>
    <w:rsid w:val="00793268"/>
    <w:rsid w:val="00794F3B"/>
    <w:rsid w:val="00795426"/>
    <w:rsid w:val="00795A5E"/>
    <w:rsid w:val="00795AB0"/>
    <w:rsid w:val="007966FC"/>
    <w:rsid w:val="00796C33"/>
    <w:rsid w:val="00796C9A"/>
    <w:rsid w:val="007A3469"/>
    <w:rsid w:val="007A3AF2"/>
    <w:rsid w:val="007B0315"/>
    <w:rsid w:val="007B0FA2"/>
    <w:rsid w:val="007B206B"/>
    <w:rsid w:val="007B56B6"/>
    <w:rsid w:val="007B5895"/>
    <w:rsid w:val="007B7144"/>
    <w:rsid w:val="007B71CA"/>
    <w:rsid w:val="007C0EA8"/>
    <w:rsid w:val="007C2762"/>
    <w:rsid w:val="007C3504"/>
    <w:rsid w:val="007C5492"/>
    <w:rsid w:val="007C6B1D"/>
    <w:rsid w:val="007C6C78"/>
    <w:rsid w:val="007D0E21"/>
    <w:rsid w:val="007D10D8"/>
    <w:rsid w:val="007D286F"/>
    <w:rsid w:val="007D287D"/>
    <w:rsid w:val="007D2965"/>
    <w:rsid w:val="007D2F05"/>
    <w:rsid w:val="007D406F"/>
    <w:rsid w:val="007D468B"/>
    <w:rsid w:val="007D51EC"/>
    <w:rsid w:val="007D6504"/>
    <w:rsid w:val="007D79B3"/>
    <w:rsid w:val="007E02CA"/>
    <w:rsid w:val="007E031B"/>
    <w:rsid w:val="007E0B66"/>
    <w:rsid w:val="007E0C15"/>
    <w:rsid w:val="007E0F7D"/>
    <w:rsid w:val="007E18E8"/>
    <w:rsid w:val="007E197D"/>
    <w:rsid w:val="007E1E3B"/>
    <w:rsid w:val="007E23D1"/>
    <w:rsid w:val="007E7EEA"/>
    <w:rsid w:val="007F00D3"/>
    <w:rsid w:val="007F0FE7"/>
    <w:rsid w:val="007F1932"/>
    <w:rsid w:val="007F1A80"/>
    <w:rsid w:val="007F3873"/>
    <w:rsid w:val="007F4B00"/>
    <w:rsid w:val="007F5FC0"/>
    <w:rsid w:val="007F683F"/>
    <w:rsid w:val="008007C8"/>
    <w:rsid w:val="00800E9E"/>
    <w:rsid w:val="008015D1"/>
    <w:rsid w:val="008015D9"/>
    <w:rsid w:val="00805588"/>
    <w:rsid w:val="00806E32"/>
    <w:rsid w:val="00807F39"/>
    <w:rsid w:val="0081104F"/>
    <w:rsid w:val="00812223"/>
    <w:rsid w:val="0081349C"/>
    <w:rsid w:val="008140B5"/>
    <w:rsid w:val="00814EE8"/>
    <w:rsid w:val="0081541D"/>
    <w:rsid w:val="00815510"/>
    <w:rsid w:val="008169F6"/>
    <w:rsid w:val="00816CC9"/>
    <w:rsid w:val="0081700D"/>
    <w:rsid w:val="0082047E"/>
    <w:rsid w:val="00820531"/>
    <w:rsid w:val="008209A9"/>
    <w:rsid w:val="00821600"/>
    <w:rsid w:val="00822FC9"/>
    <w:rsid w:val="00823339"/>
    <w:rsid w:val="00825106"/>
    <w:rsid w:val="0082588D"/>
    <w:rsid w:val="0082662F"/>
    <w:rsid w:val="008305C0"/>
    <w:rsid w:val="00833A2D"/>
    <w:rsid w:val="008341E0"/>
    <w:rsid w:val="008348E6"/>
    <w:rsid w:val="00835BB9"/>
    <w:rsid w:val="008369A2"/>
    <w:rsid w:val="00837235"/>
    <w:rsid w:val="00837565"/>
    <w:rsid w:val="00840648"/>
    <w:rsid w:val="00840DCC"/>
    <w:rsid w:val="00840FFE"/>
    <w:rsid w:val="00843B51"/>
    <w:rsid w:val="008455B9"/>
    <w:rsid w:val="0084637D"/>
    <w:rsid w:val="0084712F"/>
    <w:rsid w:val="0084786B"/>
    <w:rsid w:val="00847C38"/>
    <w:rsid w:val="00850DA9"/>
    <w:rsid w:val="0085148E"/>
    <w:rsid w:val="00851ECE"/>
    <w:rsid w:val="00854534"/>
    <w:rsid w:val="008546F0"/>
    <w:rsid w:val="00855503"/>
    <w:rsid w:val="008578C4"/>
    <w:rsid w:val="00860C28"/>
    <w:rsid w:val="0086154B"/>
    <w:rsid w:val="00862FFD"/>
    <w:rsid w:val="00863155"/>
    <w:rsid w:val="00864E19"/>
    <w:rsid w:val="008701AC"/>
    <w:rsid w:val="00871860"/>
    <w:rsid w:val="00871E3A"/>
    <w:rsid w:val="00872F9B"/>
    <w:rsid w:val="008733C9"/>
    <w:rsid w:val="00873BD7"/>
    <w:rsid w:val="00874A66"/>
    <w:rsid w:val="00875249"/>
    <w:rsid w:val="008754F9"/>
    <w:rsid w:val="008758E8"/>
    <w:rsid w:val="00875ECD"/>
    <w:rsid w:val="00876EF9"/>
    <w:rsid w:val="00880BC2"/>
    <w:rsid w:val="00882C45"/>
    <w:rsid w:val="00884D4F"/>
    <w:rsid w:val="00885CAE"/>
    <w:rsid w:val="0088641C"/>
    <w:rsid w:val="008870EE"/>
    <w:rsid w:val="0088713E"/>
    <w:rsid w:val="00887D95"/>
    <w:rsid w:val="00890AF5"/>
    <w:rsid w:val="00892F8C"/>
    <w:rsid w:val="00894073"/>
    <w:rsid w:val="0089431B"/>
    <w:rsid w:val="0089498F"/>
    <w:rsid w:val="008956AC"/>
    <w:rsid w:val="008962B8"/>
    <w:rsid w:val="00897306"/>
    <w:rsid w:val="008A0079"/>
    <w:rsid w:val="008A1D84"/>
    <w:rsid w:val="008A3793"/>
    <w:rsid w:val="008A3867"/>
    <w:rsid w:val="008A3989"/>
    <w:rsid w:val="008A5583"/>
    <w:rsid w:val="008B1025"/>
    <w:rsid w:val="008B15F5"/>
    <w:rsid w:val="008B2B04"/>
    <w:rsid w:val="008B48C2"/>
    <w:rsid w:val="008B552B"/>
    <w:rsid w:val="008B5F34"/>
    <w:rsid w:val="008B62EF"/>
    <w:rsid w:val="008B67A9"/>
    <w:rsid w:val="008B7162"/>
    <w:rsid w:val="008B7BB5"/>
    <w:rsid w:val="008C0102"/>
    <w:rsid w:val="008C042D"/>
    <w:rsid w:val="008C24FF"/>
    <w:rsid w:val="008C282C"/>
    <w:rsid w:val="008C4D47"/>
    <w:rsid w:val="008C554B"/>
    <w:rsid w:val="008C580E"/>
    <w:rsid w:val="008C5FC6"/>
    <w:rsid w:val="008C6222"/>
    <w:rsid w:val="008C7E6B"/>
    <w:rsid w:val="008D0E45"/>
    <w:rsid w:val="008D18AE"/>
    <w:rsid w:val="008D3428"/>
    <w:rsid w:val="008D3551"/>
    <w:rsid w:val="008D3F39"/>
    <w:rsid w:val="008D3FE7"/>
    <w:rsid w:val="008D55B9"/>
    <w:rsid w:val="008D57DD"/>
    <w:rsid w:val="008D68DA"/>
    <w:rsid w:val="008D7FEA"/>
    <w:rsid w:val="008E0A56"/>
    <w:rsid w:val="008E0EFE"/>
    <w:rsid w:val="008E12B3"/>
    <w:rsid w:val="008E2F85"/>
    <w:rsid w:val="008E3414"/>
    <w:rsid w:val="008E380D"/>
    <w:rsid w:val="008E4380"/>
    <w:rsid w:val="008E4AE0"/>
    <w:rsid w:val="008E4D6F"/>
    <w:rsid w:val="008E4ED3"/>
    <w:rsid w:val="008E550B"/>
    <w:rsid w:val="008E6ACB"/>
    <w:rsid w:val="008E6F81"/>
    <w:rsid w:val="008E703C"/>
    <w:rsid w:val="008E78BD"/>
    <w:rsid w:val="008E7AFB"/>
    <w:rsid w:val="008E7C2E"/>
    <w:rsid w:val="008F0C63"/>
    <w:rsid w:val="008F1C38"/>
    <w:rsid w:val="008F2D1A"/>
    <w:rsid w:val="008F2FF7"/>
    <w:rsid w:val="008F4B69"/>
    <w:rsid w:val="008F6A11"/>
    <w:rsid w:val="00901E39"/>
    <w:rsid w:val="00904908"/>
    <w:rsid w:val="0090534A"/>
    <w:rsid w:val="009054C5"/>
    <w:rsid w:val="00906710"/>
    <w:rsid w:val="00906868"/>
    <w:rsid w:val="00906BA1"/>
    <w:rsid w:val="00906FEF"/>
    <w:rsid w:val="00907E5B"/>
    <w:rsid w:val="00912E39"/>
    <w:rsid w:val="00913BA3"/>
    <w:rsid w:val="0091445F"/>
    <w:rsid w:val="009167C6"/>
    <w:rsid w:val="00917574"/>
    <w:rsid w:val="0092031B"/>
    <w:rsid w:val="00920341"/>
    <w:rsid w:val="009203C7"/>
    <w:rsid w:val="00921AF7"/>
    <w:rsid w:val="00921D9E"/>
    <w:rsid w:val="00921E3A"/>
    <w:rsid w:val="0092325C"/>
    <w:rsid w:val="0092387F"/>
    <w:rsid w:val="00924A2D"/>
    <w:rsid w:val="00931362"/>
    <w:rsid w:val="00931FF3"/>
    <w:rsid w:val="00935EBC"/>
    <w:rsid w:val="009373EE"/>
    <w:rsid w:val="009374B0"/>
    <w:rsid w:val="0094062A"/>
    <w:rsid w:val="00940979"/>
    <w:rsid w:val="0094171F"/>
    <w:rsid w:val="0094332F"/>
    <w:rsid w:val="00943C03"/>
    <w:rsid w:val="0094421B"/>
    <w:rsid w:val="009445DD"/>
    <w:rsid w:val="00944FA3"/>
    <w:rsid w:val="00947307"/>
    <w:rsid w:val="00947A1F"/>
    <w:rsid w:val="00951A3C"/>
    <w:rsid w:val="00953416"/>
    <w:rsid w:val="00953FB3"/>
    <w:rsid w:val="009551B7"/>
    <w:rsid w:val="0095533A"/>
    <w:rsid w:val="0095552E"/>
    <w:rsid w:val="00957EAD"/>
    <w:rsid w:val="00957F10"/>
    <w:rsid w:val="00960954"/>
    <w:rsid w:val="00961AB7"/>
    <w:rsid w:val="00961C02"/>
    <w:rsid w:val="00962101"/>
    <w:rsid w:val="009636F6"/>
    <w:rsid w:val="00963777"/>
    <w:rsid w:val="0096428F"/>
    <w:rsid w:val="0096432B"/>
    <w:rsid w:val="00965974"/>
    <w:rsid w:val="009670BB"/>
    <w:rsid w:val="009672E7"/>
    <w:rsid w:val="00967868"/>
    <w:rsid w:val="00971576"/>
    <w:rsid w:val="009721FC"/>
    <w:rsid w:val="009732EE"/>
    <w:rsid w:val="00973609"/>
    <w:rsid w:val="00974357"/>
    <w:rsid w:val="00976D29"/>
    <w:rsid w:val="0098318A"/>
    <w:rsid w:val="00983E2F"/>
    <w:rsid w:val="00985ED4"/>
    <w:rsid w:val="00985F34"/>
    <w:rsid w:val="00987F51"/>
    <w:rsid w:val="009914DA"/>
    <w:rsid w:val="00991F3F"/>
    <w:rsid w:val="009933F1"/>
    <w:rsid w:val="00993CE9"/>
    <w:rsid w:val="00994127"/>
    <w:rsid w:val="00994757"/>
    <w:rsid w:val="00997A66"/>
    <w:rsid w:val="009A217B"/>
    <w:rsid w:val="009A2E9E"/>
    <w:rsid w:val="009A2F1A"/>
    <w:rsid w:val="009A33FC"/>
    <w:rsid w:val="009A4031"/>
    <w:rsid w:val="009A54FA"/>
    <w:rsid w:val="009A5CCA"/>
    <w:rsid w:val="009A6DC7"/>
    <w:rsid w:val="009A7D18"/>
    <w:rsid w:val="009B0228"/>
    <w:rsid w:val="009B0D0D"/>
    <w:rsid w:val="009B25CE"/>
    <w:rsid w:val="009B2B4E"/>
    <w:rsid w:val="009B314B"/>
    <w:rsid w:val="009B3584"/>
    <w:rsid w:val="009B4820"/>
    <w:rsid w:val="009B4F4B"/>
    <w:rsid w:val="009B5EE4"/>
    <w:rsid w:val="009B6C99"/>
    <w:rsid w:val="009C14F7"/>
    <w:rsid w:val="009C1864"/>
    <w:rsid w:val="009C198E"/>
    <w:rsid w:val="009C2748"/>
    <w:rsid w:val="009C3618"/>
    <w:rsid w:val="009C47CD"/>
    <w:rsid w:val="009C4BCE"/>
    <w:rsid w:val="009C65FD"/>
    <w:rsid w:val="009C7378"/>
    <w:rsid w:val="009D0648"/>
    <w:rsid w:val="009D260D"/>
    <w:rsid w:val="009D431C"/>
    <w:rsid w:val="009D6385"/>
    <w:rsid w:val="009D699F"/>
    <w:rsid w:val="009D69CB"/>
    <w:rsid w:val="009E09D2"/>
    <w:rsid w:val="009E0B52"/>
    <w:rsid w:val="009E0F20"/>
    <w:rsid w:val="009E111F"/>
    <w:rsid w:val="009E263E"/>
    <w:rsid w:val="009E32EB"/>
    <w:rsid w:val="009E3C12"/>
    <w:rsid w:val="009E4456"/>
    <w:rsid w:val="009E5EA4"/>
    <w:rsid w:val="009E668D"/>
    <w:rsid w:val="009F0B90"/>
    <w:rsid w:val="009F102D"/>
    <w:rsid w:val="009F1269"/>
    <w:rsid w:val="009F2B2F"/>
    <w:rsid w:val="009F303A"/>
    <w:rsid w:val="009F32FE"/>
    <w:rsid w:val="009F4619"/>
    <w:rsid w:val="009F4CB7"/>
    <w:rsid w:val="009F67B4"/>
    <w:rsid w:val="00A0035D"/>
    <w:rsid w:val="00A01B8A"/>
    <w:rsid w:val="00A0225D"/>
    <w:rsid w:val="00A02FEB"/>
    <w:rsid w:val="00A053CE"/>
    <w:rsid w:val="00A05854"/>
    <w:rsid w:val="00A0602C"/>
    <w:rsid w:val="00A06A92"/>
    <w:rsid w:val="00A12260"/>
    <w:rsid w:val="00A137FD"/>
    <w:rsid w:val="00A13EB8"/>
    <w:rsid w:val="00A141CD"/>
    <w:rsid w:val="00A1440E"/>
    <w:rsid w:val="00A1588A"/>
    <w:rsid w:val="00A1594C"/>
    <w:rsid w:val="00A16709"/>
    <w:rsid w:val="00A16ABB"/>
    <w:rsid w:val="00A209BE"/>
    <w:rsid w:val="00A20F40"/>
    <w:rsid w:val="00A21F57"/>
    <w:rsid w:val="00A223E7"/>
    <w:rsid w:val="00A2357C"/>
    <w:rsid w:val="00A30E25"/>
    <w:rsid w:val="00A310E4"/>
    <w:rsid w:val="00A3166E"/>
    <w:rsid w:val="00A318BC"/>
    <w:rsid w:val="00A32203"/>
    <w:rsid w:val="00A32E91"/>
    <w:rsid w:val="00A32FA9"/>
    <w:rsid w:val="00A3439E"/>
    <w:rsid w:val="00A34931"/>
    <w:rsid w:val="00A353C1"/>
    <w:rsid w:val="00A36937"/>
    <w:rsid w:val="00A4000B"/>
    <w:rsid w:val="00A42506"/>
    <w:rsid w:val="00A425DA"/>
    <w:rsid w:val="00A42687"/>
    <w:rsid w:val="00A432F1"/>
    <w:rsid w:val="00A43D84"/>
    <w:rsid w:val="00A4442B"/>
    <w:rsid w:val="00A44A53"/>
    <w:rsid w:val="00A459E7"/>
    <w:rsid w:val="00A46A25"/>
    <w:rsid w:val="00A511EB"/>
    <w:rsid w:val="00A53572"/>
    <w:rsid w:val="00A53826"/>
    <w:rsid w:val="00A5487A"/>
    <w:rsid w:val="00A57C72"/>
    <w:rsid w:val="00A60BAE"/>
    <w:rsid w:val="00A61B8C"/>
    <w:rsid w:val="00A6204C"/>
    <w:rsid w:val="00A6316F"/>
    <w:rsid w:val="00A64F35"/>
    <w:rsid w:val="00A664AD"/>
    <w:rsid w:val="00A67013"/>
    <w:rsid w:val="00A70C5B"/>
    <w:rsid w:val="00A70FF3"/>
    <w:rsid w:val="00A72391"/>
    <w:rsid w:val="00A72AAC"/>
    <w:rsid w:val="00A72D23"/>
    <w:rsid w:val="00A72E1E"/>
    <w:rsid w:val="00A7515F"/>
    <w:rsid w:val="00A75484"/>
    <w:rsid w:val="00A75FBB"/>
    <w:rsid w:val="00A7791A"/>
    <w:rsid w:val="00A779B1"/>
    <w:rsid w:val="00A779D8"/>
    <w:rsid w:val="00A80029"/>
    <w:rsid w:val="00A802FC"/>
    <w:rsid w:val="00A82A91"/>
    <w:rsid w:val="00A82B78"/>
    <w:rsid w:val="00A84763"/>
    <w:rsid w:val="00A84A9E"/>
    <w:rsid w:val="00A85179"/>
    <w:rsid w:val="00A853AA"/>
    <w:rsid w:val="00A8642C"/>
    <w:rsid w:val="00A86BC0"/>
    <w:rsid w:val="00A87D33"/>
    <w:rsid w:val="00A87FD9"/>
    <w:rsid w:val="00A913C1"/>
    <w:rsid w:val="00A91F9E"/>
    <w:rsid w:val="00A938C7"/>
    <w:rsid w:val="00A94035"/>
    <w:rsid w:val="00A9506D"/>
    <w:rsid w:val="00A95B04"/>
    <w:rsid w:val="00A9632C"/>
    <w:rsid w:val="00A96844"/>
    <w:rsid w:val="00AA323D"/>
    <w:rsid w:val="00AA34E7"/>
    <w:rsid w:val="00AA4283"/>
    <w:rsid w:val="00AA5B48"/>
    <w:rsid w:val="00AA6144"/>
    <w:rsid w:val="00AA7669"/>
    <w:rsid w:val="00AB00C6"/>
    <w:rsid w:val="00AB0970"/>
    <w:rsid w:val="00AB189B"/>
    <w:rsid w:val="00AB56B9"/>
    <w:rsid w:val="00AB6861"/>
    <w:rsid w:val="00AB6B02"/>
    <w:rsid w:val="00AC0B8A"/>
    <w:rsid w:val="00AC32D2"/>
    <w:rsid w:val="00AC3854"/>
    <w:rsid w:val="00AC3FD3"/>
    <w:rsid w:val="00AC534C"/>
    <w:rsid w:val="00AC5432"/>
    <w:rsid w:val="00AC60E8"/>
    <w:rsid w:val="00AC72A2"/>
    <w:rsid w:val="00AD00EC"/>
    <w:rsid w:val="00AD0413"/>
    <w:rsid w:val="00AD0910"/>
    <w:rsid w:val="00AD23A1"/>
    <w:rsid w:val="00AD2B8F"/>
    <w:rsid w:val="00AD2D98"/>
    <w:rsid w:val="00AD39C7"/>
    <w:rsid w:val="00AD3ECE"/>
    <w:rsid w:val="00AD453C"/>
    <w:rsid w:val="00AD4854"/>
    <w:rsid w:val="00AD4953"/>
    <w:rsid w:val="00AD503A"/>
    <w:rsid w:val="00AD5E16"/>
    <w:rsid w:val="00AD7456"/>
    <w:rsid w:val="00AD773F"/>
    <w:rsid w:val="00AE06FE"/>
    <w:rsid w:val="00AE1B16"/>
    <w:rsid w:val="00AE28A6"/>
    <w:rsid w:val="00AE3943"/>
    <w:rsid w:val="00AE48F6"/>
    <w:rsid w:val="00AE4F72"/>
    <w:rsid w:val="00AE59E5"/>
    <w:rsid w:val="00AE5FE6"/>
    <w:rsid w:val="00AE602F"/>
    <w:rsid w:val="00AE6F2A"/>
    <w:rsid w:val="00AF008B"/>
    <w:rsid w:val="00AF2192"/>
    <w:rsid w:val="00AF2671"/>
    <w:rsid w:val="00AF2F74"/>
    <w:rsid w:val="00AF3CA7"/>
    <w:rsid w:val="00AF3E04"/>
    <w:rsid w:val="00AF3F17"/>
    <w:rsid w:val="00AF4A4C"/>
    <w:rsid w:val="00AF4A9A"/>
    <w:rsid w:val="00AF788A"/>
    <w:rsid w:val="00AF7B82"/>
    <w:rsid w:val="00B02099"/>
    <w:rsid w:val="00B02429"/>
    <w:rsid w:val="00B03559"/>
    <w:rsid w:val="00B042A1"/>
    <w:rsid w:val="00B043F0"/>
    <w:rsid w:val="00B04CC9"/>
    <w:rsid w:val="00B05B79"/>
    <w:rsid w:val="00B06998"/>
    <w:rsid w:val="00B1160B"/>
    <w:rsid w:val="00B1198C"/>
    <w:rsid w:val="00B12FC8"/>
    <w:rsid w:val="00B13583"/>
    <w:rsid w:val="00B14368"/>
    <w:rsid w:val="00B14A91"/>
    <w:rsid w:val="00B156DA"/>
    <w:rsid w:val="00B1755B"/>
    <w:rsid w:val="00B209E0"/>
    <w:rsid w:val="00B21ADE"/>
    <w:rsid w:val="00B22710"/>
    <w:rsid w:val="00B22746"/>
    <w:rsid w:val="00B22A5C"/>
    <w:rsid w:val="00B23371"/>
    <w:rsid w:val="00B24361"/>
    <w:rsid w:val="00B2495E"/>
    <w:rsid w:val="00B257DC"/>
    <w:rsid w:val="00B26D59"/>
    <w:rsid w:val="00B3061D"/>
    <w:rsid w:val="00B315A0"/>
    <w:rsid w:val="00B32513"/>
    <w:rsid w:val="00B32F52"/>
    <w:rsid w:val="00B33E45"/>
    <w:rsid w:val="00B344A7"/>
    <w:rsid w:val="00B345A1"/>
    <w:rsid w:val="00B354D3"/>
    <w:rsid w:val="00B35CBB"/>
    <w:rsid w:val="00B36E51"/>
    <w:rsid w:val="00B40ED1"/>
    <w:rsid w:val="00B41770"/>
    <w:rsid w:val="00B4235D"/>
    <w:rsid w:val="00B424DE"/>
    <w:rsid w:val="00B42CF6"/>
    <w:rsid w:val="00B433D8"/>
    <w:rsid w:val="00B43776"/>
    <w:rsid w:val="00B438F3"/>
    <w:rsid w:val="00B43974"/>
    <w:rsid w:val="00B43F4F"/>
    <w:rsid w:val="00B452EE"/>
    <w:rsid w:val="00B4600C"/>
    <w:rsid w:val="00B46412"/>
    <w:rsid w:val="00B4707D"/>
    <w:rsid w:val="00B519A3"/>
    <w:rsid w:val="00B55451"/>
    <w:rsid w:val="00B55770"/>
    <w:rsid w:val="00B55872"/>
    <w:rsid w:val="00B56278"/>
    <w:rsid w:val="00B57048"/>
    <w:rsid w:val="00B60196"/>
    <w:rsid w:val="00B60405"/>
    <w:rsid w:val="00B60A15"/>
    <w:rsid w:val="00B60BFE"/>
    <w:rsid w:val="00B632FE"/>
    <w:rsid w:val="00B6369F"/>
    <w:rsid w:val="00B641A0"/>
    <w:rsid w:val="00B65806"/>
    <w:rsid w:val="00B664E5"/>
    <w:rsid w:val="00B66757"/>
    <w:rsid w:val="00B66B1E"/>
    <w:rsid w:val="00B67CC7"/>
    <w:rsid w:val="00B7213E"/>
    <w:rsid w:val="00B767F5"/>
    <w:rsid w:val="00B77857"/>
    <w:rsid w:val="00B80F1B"/>
    <w:rsid w:val="00B83A2F"/>
    <w:rsid w:val="00B83EA6"/>
    <w:rsid w:val="00B85C82"/>
    <w:rsid w:val="00B85E9F"/>
    <w:rsid w:val="00B86C3E"/>
    <w:rsid w:val="00B86DF7"/>
    <w:rsid w:val="00B90FF1"/>
    <w:rsid w:val="00B9121A"/>
    <w:rsid w:val="00B9148F"/>
    <w:rsid w:val="00B915AC"/>
    <w:rsid w:val="00B92DB0"/>
    <w:rsid w:val="00B93AB0"/>
    <w:rsid w:val="00B949F2"/>
    <w:rsid w:val="00B95307"/>
    <w:rsid w:val="00B95E36"/>
    <w:rsid w:val="00B960CD"/>
    <w:rsid w:val="00B96E3C"/>
    <w:rsid w:val="00B97696"/>
    <w:rsid w:val="00BA011C"/>
    <w:rsid w:val="00BA205F"/>
    <w:rsid w:val="00BA220D"/>
    <w:rsid w:val="00BA2D9A"/>
    <w:rsid w:val="00BA2F55"/>
    <w:rsid w:val="00BA32DB"/>
    <w:rsid w:val="00BA3F4C"/>
    <w:rsid w:val="00BA60C0"/>
    <w:rsid w:val="00BA6E38"/>
    <w:rsid w:val="00BB233B"/>
    <w:rsid w:val="00BB281B"/>
    <w:rsid w:val="00BB2C71"/>
    <w:rsid w:val="00BB3161"/>
    <w:rsid w:val="00BB328B"/>
    <w:rsid w:val="00BB32E8"/>
    <w:rsid w:val="00BB3ED9"/>
    <w:rsid w:val="00BB4152"/>
    <w:rsid w:val="00BB4647"/>
    <w:rsid w:val="00BB4F1B"/>
    <w:rsid w:val="00BB5F24"/>
    <w:rsid w:val="00BB6B21"/>
    <w:rsid w:val="00BB6FD7"/>
    <w:rsid w:val="00BB777B"/>
    <w:rsid w:val="00BC1935"/>
    <w:rsid w:val="00BC2AE6"/>
    <w:rsid w:val="00BC2CD4"/>
    <w:rsid w:val="00BC469F"/>
    <w:rsid w:val="00BD21D3"/>
    <w:rsid w:val="00BD2655"/>
    <w:rsid w:val="00BD2765"/>
    <w:rsid w:val="00BD4362"/>
    <w:rsid w:val="00BD6B87"/>
    <w:rsid w:val="00BE1566"/>
    <w:rsid w:val="00BE29C8"/>
    <w:rsid w:val="00BE2DED"/>
    <w:rsid w:val="00BE3A31"/>
    <w:rsid w:val="00BE401B"/>
    <w:rsid w:val="00BE4062"/>
    <w:rsid w:val="00BE4856"/>
    <w:rsid w:val="00BE55A2"/>
    <w:rsid w:val="00BE56A3"/>
    <w:rsid w:val="00BE56A9"/>
    <w:rsid w:val="00BE5E82"/>
    <w:rsid w:val="00BE7A08"/>
    <w:rsid w:val="00BF0672"/>
    <w:rsid w:val="00BF1AA1"/>
    <w:rsid w:val="00BF2A6D"/>
    <w:rsid w:val="00BF5862"/>
    <w:rsid w:val="00BF5CCA"/>
    <w:rsid w:val="00BF606D"/>
    <w:rsid w:val="00C0037D"/>
    <w:rsid w:val="00C03704"/>
    <w:rsid w:val="00C03C15"/>
    <w:rsid w:val="00C0632B"/>
    <w:rsid w:val="00C06CD2"/>
    <w:rsid w:val="00C0751F"/>
    <w:rsid w:val="00C11F9F"/>
    <w:rsid w:val="00C13A30"/>
    <w:rsid w:val="00C1436A"/>
    <w:rsid w:val="00C1454F"/>
    <w:rsid w:val="00C14F7A"/>
    <w:rsid w:val="00C16FAC"/>
    <w:rsid w:val="00C17276"/>
    <w:rsid w:val="00C21B6D"/>
    <w:rsid w:val="00C22611"/>
    <w:rsid w:val="00C2264C"/>
    <w:rsid w:val="00C227B7"/>
    <w:rsid w:val="00C253F0"/>
    <w:rsid w:val="00C26BF5"/>
    <w:rsid w:val="00C27C62"/>
    <w:rsid w:val="00C31E95"/>
    <w:rsid w:val="00C35AFD"/>
    <w:rsid w:val="00C35E7C"/>
    <w:rsid w:val="00C37BD2"/>
    <w:rsid w:val="00C405CA"/>
    <w:rsid w:val="00C41712"/>
    <w:rsid w:val="00C4205A"/>
    <w:rsid w:val="00C42C68"/>
    <w:rsid w:val="00C43205"/>
    <w:rsid w:val="00C4414C"/>
    <w:rsid w:val="00C44473"/>
    <w:rsid w:val="00C45969"/>
    <w:rsid w:val="00C45CF3"/>
    <w:rsid w:val="00C45D44"/>
    <w:rsid w:val="00C478D2"/>
    <w:rsid w:val="00C47D47"/>
    <w:rsid w:val="00C50855"/>
    <w:rsid w:val="00C50981"/>
    <w:rsid w:val="00C51D88"/>
    <w:rsid w:val="00C5259B"/>
    <w:rsid w:val="00C52BBD"/>
    <w:rsid w:val="00C5410C"/>
    <w:rsid w:val="00C54BF8"/>
    <w:rsid w:val="00C555FD"/>
    <w:rsid w:val="00C5560B"/>
    <w:rsid w:val="00C556A7"/>
    <w:rsid w:val="00C5608D"/>
    <w:rsid w:val="00C56107"/>
    <w:rsid w:val="00C56427"/>
    <w:rsid w:val="00C60112"/>
    <w:rsid w:val="00C61C11"/>
    <w:rsid w:val="00C61F9E"/>
    <w:rsid w:val="00C63E2D"/>
    <w:rsid w:val="00C64C81"/>
    <w:rsid w:val="00C6550B"/>
    <w:rsid w:val="00C671CA"/>
    <w:rsid w:val="00C70406"/>
    <w:rsid w:val="00C70F3E"/>
    <w:rsid w:val="00C71E1E"/>
    <w:rsid w:val="00C72014"/>
    <w:rsid w:val="00C727B5"/>
    <w:rsid w:val="00C72A90"/>
    <w:rsid w:val="00C738B9"/>
    <w:rsid w:val="00C74E96"/>
    <w:rsid w:val="00C76420"/>
    <w:rsid w:val="00C77317"/>
    <w:rsid w:val="00C77D0C"/>
    <w:rsid w:val="00C81DAD"/>
    <w:rsid w:val="00C822BF"/>
    <w:rsid w:val="00C8261C"/>
    <w:rsid w:val="00C82986"/>
    <w:rsid w:val="00C8655C"/>
    <w:rsid w:val="00C86B7E"/>
    <w:rsid w:val="00C90655"/>
    <w:rsid w:val="00C911F0"/>
    <w:rsid w:val="00C91426"/>
    <w:rsid w:val="00C915BD"/>
    <w:rsid w:val="00C91C60"/>
    <w:rsid w:val="00C9282B"/>
    <w:rsid w:val="00C92ED0"/>
    <w:rsid w:val="00C931B6"/>
    <w:rsid w:val="00C93650"/>
    <w:rsid w:val="00C93BE3"/>
    <w:rsid w:val="00C9404E"/>
    <w:rsid w:val="00C94D8A"/>
    <w:rsid w:val="00C95CDA"/>
    <w:rsid w:val="00C95EC2"/>
    <w:rsid w:val="00C97E65"/>
    <w:rsid w:val="00CA10C1"/>
    <w:rsid w:val="00CA23BB"/>
    <w:rsid w:val="00CA27D4"/>
    <w:rsid w:val="00CA2E4D"/>
    <w:rsid w:val="00CA3812"/>
    <w:rsid w:val="00CA4014"/>
    <w:rsid w:val="00CA5F34"/>
    <w:rsid w:val="00CA76B8"/>
    <w:rsid w:val="00CB0871"/>
    <w:rsid w:val="00CB2722"/>
    <w:rsid w:val="00CB340B"/>
    <w:rsid w:val="00CB35FC"/>
    <w:rsid w:val="00CB3677"/>
    <w:rsid w:val="00CB3957"/>
    <w:rsid w:val="00CB3C87"/>
    <w:rsid w:val="00CB45A3"/>
    <w:rsid w:val="00CB4B4F"/>
    <w:rsid w:val="00CB4CDD"/>
    <w:rsid w:val="00CB5A6B"/>
    <w:rsid w:val="00CB68BB"/>
    <w:rsid w:val="00CB76C6"/>
    <w:rsid w:val="00CC2841"/>
    <w:rsid w:val="00CC4972"/>
    <w:rsid w:val="00CC6B35"/>
    <w:rsid w:val="00CC78B0"/>
    <w:rsid w:val="00CD1846"/>
    <w:rsid w:val="00CD315E"/>
    <w:rsid w:val="00CD319E"/>
    <w:rsid w:val="00CD321D"/>
    <w:rsid w:val="00CD39DF"/>
    <w:rsid w:val="00CD496E"/>
    <w:rsid w:val="00CD6290"/>
    <w:rsid w:val="00CD740A"/>
    <w:rsid w:val="00CD753D"/>
    <w:rsid w:val="00CE0FBB"/>
    <w:rsid w:val="00CE2098"/>
    <w:rsid w:val="00CE26FB"/>
    <w:rsid w:val="00CE639D"/>
    <w:rsid w:val="00CE6AB1"/>
    <w:rsid w:val="00CE6E38"/>
    <w:rsid w:val="00CF4995"/>
    <w:rsid w:val="00CF4CA5"/>
    <w:rsid w:val="00CF53B8"/>
    <w:rsid w:val="00CF555E"/>
    <w:rsid w:val="00CF5B92"/>
    <w:rsid w:val="00CF62D1"/>
    <w:rsid w:val="00CF6607"/>
    <w:rsid w:val="00CF66E1"/>
    <w:rsid w:val="00CF67F9"/>
    <w:rsid w:val="00CF7050"/>
    <w:rsid w:val="00CF79FB"/>
    <w:rsid w:val="00D00A37"/>
    <w:rsid w:val="00D01734"/>
    <w:rsid w:val="00D01C2A"/>
    <w:rsid w:val="00D02BA4"/>
    <w:rsid w:val="00D058A6"/>
    <w:rsid w:val="00D06799"/>
    <w:rsid w:val="00D073EE"/>
    <w:rsid w:val="00D07ECD"/>
    <w:rsid w:val="00D125B6"/>
    <w:rsid w:val="00D13D1D"/>
    <w:rsid w:val="00D16F86"/>
    <w:rsid w:val="00D17572"/>
    <w:rsid w:val="00D17DB8"/>
    <w:rsid w:val="00D22483"/>
    <w:rsid w:val="00D24EEC"/>
    <w:rsid w:val="00D24F88"/>
    <w:rsid w:val="00D253B4"/>
    <w:rsid w:val="00D25861"/>
    <w:rsid w:val="00D26C68"/>
    <w:rsid w:val="00D2753D"/>
    <w:rsid w:val="00D30549"/>
    <w:rsid w:val="00D32648"/>
    <w:rsid w:val="00D330DA"/>
    <w:rsid w:val="00D332FD"/>
    <w:rsid w:val="00D35F9B"/>
    <w:rsid w:val="00D360A9"/>
    <w:rsid w:val="00D37948"/>
    <w:rsid w:val="00D41E5B"/>
    <w:rsid w:val="00D43DDF"/>
    <w:rsid w:val="00D44B2F"/>
    <w:rsid w:val="00D44D5A"/>
    <w:rsid w:val="00D450A9"/>
    <w:rsid w:val="00D46304"/>
    <w:rsid w:val="00D473E1"/>
    <w:rsid w:val="00D47645"/>
    <w:rsid w:val="00D478DD"/>
    <w:rsid w:val="00D50D09"/>
    <w:rsid w:val="00D518D8"/>
    <w:rsid w:val="00D52D0D"/>
    <w:rsid w:val="00D533CE"/>
    <w:rsid w:val="00D534E9"/>
    <w:rsid w:val="00D5514B"/>
    <w:rsid w:val="00D55BAB"/>
    <w:rsid w:val="00D5685E"/>
    <w:rsid w:val="00D60485"/>
    <w:rsid w:val="00D608CB"/>
    <w:rsid w:val="00D6171E"/>
    <w:rsid w:val="00D627D3"/>
    <w:rsid w:val="00D62936"/>
    <w:rsid w:val="00D630A5"/>
    <w:rsid w:val="00D63B7F"/>
    <w:rsid w:val="00D647F2"/>
    <w:rsid w:val="00D64CDA"/>
    <w:rsid w:val="00D65B65"/>
    <w:rsid w:val="00D665C3"/>
    <w:rsid w:val="00D667B1"/>
    <w:rsid w:val="00D6719E"/>
    <w:rsid w:val="00D674CF"/>
    <w:rsid w:val="00D72716"/>
    <w:rsid w:val="00D729B6"/>
    <w:rsid w:val="00D736E3"/>
    <w:rsid w:val="00D7385C"/>
    <w:rsid w:val="00D73B19"/>
    <w:rsid w:val="00D76D14"/>
    <w:rsid w:val="00D77112"/>
    <w:rsid w:val="00D77212"/>
    <w:rsid w:val="00D7724D"/>
    <w:rsid w:val="00D77847"/>
    <w:rsid w:val="00D81D4D"/>
    <w:rsid w:val="00D82282"/>
    <w:rsid w:val="00D825F5"/>
    <w:rsid w:val="00D83DB1"/>
    <w:rsid w:val="00D8482F"/>
    <w:rsid w:val="00D84950"/>
    <w:rsid w:val="00D84BE2"/>
    <w:rsid w:val="00D84C75"/>
    <w:rsid w:val="00D84E16"/>
    <w:rsid w:val="00D860C0"/>
    <w:rsid w:val="00D86405"/>
    <w:rsid w:val="00D87492"/>
    <w:rsid w:val="00D879DE"/>
    <w:rsid w:val="00D90C4D"/>
    <w:rsid w:val="00D90C51"/>
    <w:rsid w:val="00D91B3E"/>
    <w:rsid w:val="00D9208A"/>
    <w:rsid w:val="00D922AB"/>
    <w:rsid w:val="00D92E84"/>
    <w:rsid w:val="00D93754"/>
    <w:rsid w:val="00D948B4"/>
    <w:rsid w:val="00D94C36"/>
    <w:rsid w:val="00D9538D"/>
    <w:rsid w:val="00D96ADC"/>
    <w:rsid w:val="00DA0FDB"/>
    <w:rsid w:val="00DA1896"/>
    <w:rsid w:val="00DA2A42"/>
    <w:rsid w:val="00DA555A"/>
    <w:rsid w:val="00DA57F6"/>
    <w:rsid w:val="00DA5989"/>
    <w:rsid w:val="00DA6132"/>
    <w:rsid w:val="00DB0571"/>
    <w:rsid w:val="00DB391A"/>
    <w:rsid w:val="00DB406B"/>
    <w:rsid w:val="00DB6A54"/>
    <w:rsid w:val="00DB712D"/>
    <w:rsid w:val="00DB7585"/>
    <w:rsid w:val="00DC0B24"/>
    <w:rsid w:val="00DC3F09"/>
    <w:rsid w:val="00DC5798"/>
    <w:rsid w:val="00DC625F"/>
    <w:rsid w:val="00DC72DC"/>
    <w:rsid w:val="00DC763B"/>
    <w:rsid w:val="00DC7D28"/>
    <w:rsid w:val="00DD04C8"/>
    <w:rsid w:val="00DD18DA"/>
    <w:rsid w:val="00DD2601"/>
    <w:rsid w:val="00DD3655"/>
    <w:rsid w:val="00DD413A"/>
    <w:rsid w:val="00DD4EFD"/>
    <w:rsid w:val="00DE1020"/>
    <w:rsid w:val="00DE12B6"/>
    <w:rsid w:val="00DE21D8"/>
    <w:rsid w:val="00DE250D"/>
    <w:rsid w:val="00DE27B0"/>
    <w:rsid w:val="00DE5753"/>
    <w:rsid w:val="00DE5E6F"/>
    <w:rsid w:val="00DE75E3"/>
    <w:rsid w:val="00DF1744"/>
    <w:rsid w:val="00DF1F33"/>
    <w:rsid w:val="00DF2CA4"/>
    <w:rsid w:val="00DF2F4B"/>
    <w:rsid w:val="00DF355B"/>
    <w:rsid w:val="00DF361E"/>
    <w:rsid w:val="00DF36C6"/>
    <w:rsid w:val="00DF40AB"/>
    <w:rsid w:val="00DF4471"/>
    <w:rsid w:val="00DF4E7E"/>
    <w:rsid w:val="00DF5BA1"/>
    <w:rsid w:val="00DF63D3"/>
    <w:rsid w:val="00DF6759"/>
    <w:rsid w:val="00E00071"/>
    <w:rsid w:val="00E01C89"/>
    <w:rsid w:val="00E0255A"/>
    <w:rsid w:val="00E06FA1"/>
    <w:rsid w:val="00E075F2"/>
    <w:rsid w:val="00E1123D"/>
    <w:rsid w:val="00E11488"/>
    <w:rsid w:val="00E12A64"/>
    <w:rsid w:val="00E12E2A"/>
    <w:rsid w:val="00E13EDB"/>
    <w:rsid w:val="00E1405A"/>
    <w:rsid w:val="00E146A1"/>
    <w:rsid w:val="00E159A9"/>
    <w:rsid w:val="00E204EC"/>
    <w:rsid w:val="00E20B66"/>
    <w:rsid w:val="00E21A73"/>
    <w:rsid w:val="00E21F73"/>
    <w:rsid w:val="00E2281B"/>
    <w:rsid w:val="00E2310C"/>
    <w:rsid w:val="00E236E6"/>
    <w:rsid w:val="00E23A15"/>
    <w:rsid w:val="00E24988"/>
    <w:rsid w:val="00E25F48"/>
    <w:rsid w:val="00E25FD0"/>
    <w:rsid w:val="00E26E57"/>
    <w:rsid w:val="00E30630"/>
    <w:rsid w:val="00E3099C"/>
    <w:rsid w:val="00E30DF9"/>
    <w:rsid w:val="00E3479F"/>
    <w:rsid w:val="00E3630C"/>
    <w:rsid w:val="00E36454"/>
    <w:rsid w:val="00E366BC"/>
    <w:rsid w:val="00E3682A"/>
    <w:rsid w:val="00E3712A"/>
    <w:rsid w:val="00E37DD9"/>
    <w:rsid w:val="00E37F31"/>
    <w:rsid w:val="00E40CAE"/>
    <w:rsid w:val="00E40FD3"/>
    <w:rsid w:val="00E41120"/>
    <w:rsid w:val="00E415B8"/>
    <w:rsid w:val="00E416D0"/>
    <w:rsid w:val="00E42CB4"/>
    <w:rsid w:val="00E44898"/>
    <w:rsid w:val="00E44913"/>
    <w:rsid w:val="00E450E7"/>
    <w:rsid w:val="00E453A3"/>
    <w:rsid w:val="00E45EB9"/>
    <w:rsid w:val="00E467E1"/>
    <w:rsid w:val="00E46A44"/>
    <w:rsid w:val="00E46B44"/>
    <w:rsid w:val="00E50677"/>
    <w:rsid w:val="00E52735"/>
    <w:rsid w:val="00E53D83"/>
    <w:rsid w:val="00E54368"/>
    <w:rsid w:val="00E54F31"/>
    <w:rsid w:val="00E57227"/>
    <w:rsid w:val="00E57C7F"/>
    <w:rsid w:val="00E60085"/>
    <w:rsid w:val="00E610EB"/>
    <w:rsid w:val="00E61370"/>
    <w:rsid w:val="00E61A1E"/>
    <w:rsid w:val="00E6264C"/>
    <w:rsid w:val="00E640FF"/>
    <w:rsid w:val="00E6421A"/>
    <w:rsid w:val="00E658C7"/>
    <w:rsid w:val="00E663E6"/>
    <w:rsid w:val="00E673FA"/>
    <w:rsid w:val="00E67BAC"/>
    <w:rsid w:val="00E70617"/>
    <w:rsid w:val="00E745A4"/>
    <w:rsid w:val="00E74A50"/>
    <w:rsid w:val="00E751A0"/>
    <w:rsid w:val="00E7649D"/>
    <w:rsid w:val="00E76537"/>
    <w:rsid w:val="00E76A76"/>
    <w:rsid w:val="00E77361"/>
    <w:rsid w:val="00E77373"/>
    <w:rsid w:val="00E82F2E"/>
    <w:rsid w:val="00E84434"/>
    <w:rsid w:val="00E854C1"/>
    <w:rsid w:val="00E85C43"/>
    <w:rsid w:val="00E8627D"/>
    <w:rsid w:val="00E87F8D"/>
    <w:rsid w:val="00E90806"/>
    <w:rsid w:val="00E90B04"/>
    <w:rsid w:val="00E925DE"/>
    <w:rsid w:val="00E935F2"/>
    <w:rsid w:val="00E9415F"/>
    <w:rsid w:val="00E95450"/>
    <w:rsid w:val="00E962D1"/>
    <w:rsid w:val="00E9694A"/>
    <w:rsid w:val="00E974AD"/>
    <w:rsid w:val="00EA029B"/>
    <w:rsid w:val="00EA035B"/>
    <w:rsid w:val="00EA0682"/>
    <w:rsid w:val="00EA084E"/>
    <w:rsid w:val="00EA0B48"/>
    <w:rsid w:val="00EA0CB2"/>
    <w:rsid w:val="00EA2351"/>
    <w:rsid w:val="00EA3283"/>
    <w:rsid w:val="00EA3BE8"/>
    <w:rsid w:val="00EA3BEF"/>
    <w:rsid w:val="00EA3CCB"/>
    <w:rsid w:val="00EA4E5F"/>
    <w:rsid w:val="00EA545B"/>
    <w:rsid w:val="00EA5C4D"/>
    <w:rsid w:val="00EA5E0E"/>
    <w:rsid w:val="00EA67F3"/>
    <w:rsid w:val="00EA70FA"/>
    <w:rsid w:val="00EA788B"/>
    <w:rsid w:val="00EA79A8"/>
    <w:rsid w:val="00EB1236"/>
    <w:rsid w:val="00EB3326"/>
    <w:rsid w:val="00EB3BED"/>
    <w:rsid w:val="00EB508F"/>
    <w:rsid w:val="00EB59BD"/>
    <w:rsid w:val="00EB7D49"/>
    <w:rsid w:val="00EC117C"/>
    <w:rsid w:val="00EC26A8"/>
    <w:rsid w:val="00EC359E"/>
    <w:rsid w:val="00EC3D42"/>
    <w:rsid w:val="00EC452F"/>
    <w:rsid w:val="00EC4CCC"/>
    <w:rsid w:val="00EC5EA7"/>
    <w:rsid w:val="00ED08B8"/>
    <w:rsid w:val="00ED16A4"/>
    <w:rsid w:val="00ED191E"/>
    <w:rsid w:val="00ED23E9"/>
    <w:rsid w:val="00ED2E90"/>
    <w:rsid w:val="00ED445D"/>
    <w:rsid w:val="00EE03E2"/>
    <w:rsid w:val="00EE389F"/>
    <w:rsid w:val="00EE3931"/>
    <w:rsid w:val="00EE3DBE"/>
    <w:rsid w:val="00EE478E"/>
    <w:rsid w:val="00EE5038"/>
    <w:rsid w:val="00EE577E"/>
    <w:rsid w:val="00EE5855"/>
    <w:rsid w:val="00EE6A16"/>
    <w:rsid w:val="00EF026F"/>
    <w:rsid w:val="00EF0FAF"/>
    <w:rsid w:val="00EF152D"/>
    <w:rsid w:val="00EF2BA3"/>
    <w:rsid w:val="00EF349A"/>
    <w:rsid w:val="00EF4724"/>
    <w:rsid w:val="00EF4B1F"/>
    <w:rsid w:val="00EF4CD0"/>
    <w:rsid w:val="00EF66D0"/>
    <w:rsid w:val="00EF6D0B"/>
    <w:rsid w:val="00EF7E78"/>
    <w:rsid w:val="00F005C5"/>
    <w:rsid w:val="00F009BE"/>
    <w:rsid w:val="00F00D15"/>
    <w:rsid w:val="00F02177"/>
    <w:rsid w:val="00F03583"/>
    <w:rsid w:val="00F036E5"/>
    <w:rsid w:val="00F05894"/>
    <w:rsid w:val="00F06299"/>
    <w:rsid w:val="00F07E5C"/>
    <w:rsid w:val="00F12586"/>
    <w:rsid w:val="00F13D58"/>
    <w:rsid w:val="00F14BA9"/>
    <w:rsid w:val="00F152D8"/>
    <w:rsid w:val="00F16CEC"/>
    <w:rsid w:val="00F20D61"/>
    <w:rsid w:val="00F21F57"/>
    <w:rsid w:val="00F2382D"/>
    <w:rsid w:val="00F24011"/>
    <w:rsid w:val="00F24E48"/>
    <w:rsid w:val="00F26F4D"/>
    <w:rsid w:val="00F2715C"/>
    <w:rsid w:val="00F30453"/>
    <w:rsid w:val="00F330C7"/>
    <w:rsid w:val="00F3726E"/>
    <w:rsid w:val="00F402CE"/>
    <w:rsid w:val="00F40656"/>
    <w:rsid w:val="00F41257"/>
    <w:rsid w:val="00F41915"/>
    <w:rsid w:val="00F41EB2"/>
    <w:rsid w:val="00F42516"/>
    <w:rsid w:val="00F42550"/>
    <w:rsid w:val="00F42DD9"/>
    <w:rsid w:val="00F45187"/>
    <w:rsid w:val="00F459A6"/>
    <w:rsid w:val="00F47B27"/>
    <w:rsid w:val="00F5152E"/>
    <w:rsid w:val="00F53A75"/>
    <w:rsid w:val="00F55CD1"/>
    <w:rsid w:val="00F56B27"/>
    <w:rsid w:val="00F56F90"/>
    <w:rsid w:val="00F57061"/>
    <w:rsid w:val="00F57925"/>
    <w:rsid w:val="00F57CE0"/>
    <w:rsid w:val="00F60B7B"/>
    <w:rsid w:val="00F616C1"/>
    <w:rsid w:val="00F619D4"/>
    <w:rsid w:val="00F643A3"/>
    <w:rsid w:val="00F64573"/>
    <w:rsid w:val="00F64898"/>
    <w:rsid w:val="00F65F08"/>
    <w:rsid w:val="00F6636D"/>
    <w:rsid w:val="00F674A5"/>
    <w:rsid w:val="00F71259"/>
    <w:rsid w:val="00F71448"/>
    <w:rsid w:val="00F72F4B"/>
    <w:rsid w:val="00F74028"/>
    <w:rsid w:val="00F748FE"/>
    <w:rsid w:val="00F759BC"/>
    <w:rsid w:val="00F779BA"/>
    <w:rsid w:val="00F77A7A"/>
    <w:rsid w:val="00F80520"/>
    <w:rsid w:val="00F806B9"/>
    <w:rsid w:val="00F816BF"/>
    <w:rsid w:val="00F81BB9"/>
    <w:rsid w:val="00F81C40"/>
    <w:rsid w:val="00F81FA7"/>
    <w:rsid w:val="00F81FC9"/>
    <w:rsid w:val="00F83D64"/>
    <w:rsid w:val="00F85E7A"/>
    <w:rsid w:val="00F87386"/>
    <w:rsid w:val="00F93130"/>
    <w:rsid w:val="00F93CC1"/>
    <w:rsid w:val="00F9410C"/>
    <w:rsid w:val="00F944A9"/>
    <w:rsid w:val="00F94B31"/>
    <w:rsid w:val="00F95CF3"/>
    <w:rsid w:val="00F970C0"/>
    <w:rsid w:val="00FA0B53"/>
    <w:rsid w:val="00FA0F79"/>
    <w:rsid w:val="00FA1754"/>
    <w:rsid w:val="00FA1D04"/>
    <w:rsid w:val="00FA46E8"/>
    <w:rsid w:val="00FA7F4B"/>
    <w:rsid w:val="00FB0E68"/>
    <w:rsid w:val="00FB2D2F"/>
    <w:rsid w:val="00FB3102"/>
    <w:rsid w:val="00FB4CA6"/>
    <w:rsid w:val="00FB64E9"/>
    <w:rsid w:val="00FB69C7"/>
    <w:rsid w:val="00FB71F7"/>
    <w:rsid w:val="00FB74E5"/>
    <w:rsid w:val="00FB7A8B"/>
    <w:rsid w:val="00FC0317"/>
    <w:rsid w:val="00FC0721"/>
    <w:rsid w:val="00FC0F6A"/>
    <w:rsid w:val="00FC3C61"/>
    <w:rsid w:val="00FC6AB6"/>
    <w:rsid w:val="00FC7041"/>
    <w:rsid w:val="00FD2271"/>
    <w:rsid w:val="00FD27BE"/>
    <w:rsid w:val="00FE0387"/>
    <w:rsid w:val="00FE12D2"/>
    <w:rsid w:val="00FE3A90"/>
    <w:rsid w:val="00FE3BD8"/>
    <w:rsid w:val="00FE5441"/>
    <w:rsid w:val="00FE5DB2"/>
    <w:rsid w:val="00FE6896"/>
    <w:rsid w:val="00FE72A5"/>
    <w:rsid w:val="00FE76F6"/>
    <w:rsid w:val="00FF1799"/>
    <w:rsid w:val="00FF1FDB"/>
    <w:rsid w:val="00FF4231"/>
    <w:rsid w:val="00FF7612"/>
    <w:rsid w:val="011B2E38"/>
    <w:rsid w:val="01521F42"/>
    <w:rsid w:val="0181317A"/>
    <w:rsid w:val="02245BBD"/>
    <w:rsid w:val="025F77FD"/>
    <w:rsid w:val="02C92703"/>
    <w:rsid w:val="02E2476B"/>
    <w:rsid w:val="037B4CD4"/>
    <w:rsid w:val="03964596"/>
    <w:rsid w:val="03F249DA"/>
    <w:rsid w:val="0427262A"/>
    <w:rsid w:val="058635C0"/>
    <w:rsid w:val="0633768F"/>
    <w:rsid w:val="066C5C25"/>
    <w:rsid w:val="069E2A0D"/>
    <w:rsid w:val="07090184"/>
    <w:rsid w:val="071655EC"/>
    <w:rsid w:val="07950B9A"/>
    <w:rsid w:val="07DA1E4F"/>
    <w:rsid w:val="08270B6E"/>
    <w:rsid w:val="09205CB9"/>
    <w:rsid w:val="093C27E8"/>
    <w:rsid w:val="09DA1E8A"/>
    <w:rsid w:val="09F56EEA"/>
    <w:rsid w:val="0A3227B1"/>
    <w:rsid w:val="0A342B82"/>
    <w:rsid w:val="0A403C01"/>
    <w:rsid w:val="0A827962"/>
    <w:rsid w:val="0AF00019"/>
    <w:rsid w:val="0B835206"/>
    <w:rsid w:val="0BD70BDD"/>
    <w:rsid w:val="0C1933C6"/>
    <w:rsid w:val="0C330475"/>
    <w:rsid w:val="0C5134C8"/>
    <w:rsid w:val="0C712043"/>
    <w:rsid w:val="0C90796C"/>
    <w:rsid w:val="0CB445EE"/>
    <w:rsid w:val="0CD040B9"/>
    <w:rsid w:val="0CD30BCB"/>
    <w:rsid w:val="0CE93FC6"/>
    <w:rsid w:val="0D2160AD"/>
    <w:rsid w:val="0D651221"/>
    <w:rsid w:val="0D824642"/>
    <w:rsid w:val="0DF64A2B"/>
    <w:rsid w:val="0E050A66"/>
    <w:rsid w:val="0F78649A"/>
    <w:rsid w:val="0FFA158B"/>
    <w:rsid w:val="10F241F4"/>
    <w:rsid w:val="113C6D55"/>
    <w:rsid w:val="115E1584"/>
    <w:rsid w:val="11B269F7"/>
    <w:rsid w:val="11B461E4"/>
    <w:rsid w:val="11F07372"/>
    <w:rsid w:val="120D2B57"/>
    <w:rsid w:val="128B71C5"/>
    <w:rsid w:val="12CB7EB1"/>
    <w:rsid w:val="13396210"/>
    <w:rsid w:val="146B482B"/>
    <w:rsid w:val="14EB4040"/>
    <w:rsid w:val="16154F7C"/>
    <w:rsid w:val="162C162E"/>
    <w:rsid w:val="16342843"/>
    <w:rsid w:val="163A03D4"/>
    <w:rsid w:val="174D6CD7"/>
    <w:rsid w:val="17A611F4"/>
    <w:rsid w:val="17F1416E"/>
    <w:rsid w:val="18D61DE5"/>
    <w:rsid w:val="18E43D2A"/>
    <w:rsid w:val="18F22B62"/>
    <w:rsid w:val="19660AF5"/>
    <w:rsid w:val="1A4B72B9"/>
    <w:rsid w:val="1A687788"/>
    <w:rsid w:val="1A952047"/>
    <w:rsid w:val="1B3C7030"/>
    <w:rsid w:val="1BD611B4"/>
    <w:rsid w:val="1BF3616B"/>
    <w:rsid w:val="1C031A8D"/>
    <w:rsid w:val="1CC90D33"/>
    <w:rsid w:val="1CCD12B6"/>
    <w:rsid w:val="1CD13C3B"/>
    <w:rsid w:val="1D4542F2"/>
    <w:rsid w:val="1D4A702D"/>
    <w:rsid w:val="1DC4017E"/>
    <w:rsid w:val="1E5D785F"/>
    <w:rsid w:val="1EA772E0"/>
    <w:rsid w:val="1EEE5425"/>
    <w:rsid w:val="1F240B97"/>
    <w:rsid w:val="1F760EE3"/>
    <w:rsid w:val="1FBF0A1B"/>
    <w:rsid w:val="20137C9A"/>
    <w:rsid w:val="206D222B"/>
    <w:rsid w:val="20F25388"/>
    <w:rsid w:val="2126565D"/>
    <w:rsid w:val="218D42E9"/>
    <w:rsid w:val="21A37B18"/>
    <w:rsid w:val="21AE69D0"/>
    <w:rsid w:val="21B84A94"/>
    <w:rsid w:val="21F76369"/>
    <w:rsid w:val="223F3A97"/>
    <w:rsid w:val="225079A5"/>
    <w:rsid w:val="22622979"/>
    <w:rsid w:val="228D621F"/>
    <w:rsid w:val="23340BFF"/>
    <w:rsid w:val="239059A2"/>
    <w:rsid w:val="239B11C1"/>
    <w:rsid w:val="241241CC"/>
    <w:rsid w:val="2417213A"/>
    <w:rsid w:val="24E42B5E"/>
    <w:rsid w:val="252D46D4"/>
    <w:rsid w:val="25CA1FE1"/>
    <w:rsid w:val="26351B89"/>
    <w:rsid w:val="26413A7C"/>
    <w:rsid w:val="26B02D81"/>
    <w:rsid w:val="26D92A88"/>
    <w:rsid w:val="27693B3B"/>
    <w:rsid w:val="27775FB1"/>
    <w:rsid w:val="27781048"/>
    <w:rsid w:val="27AD3DE6"/>
    <w:rsid w:val="27B1667A"/>
    <w:rsid w:val="27D155A7"/>
    <w:rsid w:val="27EA5F09"/>
    <w:rsid w:val="281E61CE"/>
    <w:rsid w:val="285F5C43"/>
    <w:rsid w:val="28B353A4"/>
    <w:rsid w:val="293A6AD1"/>
    <w:rsid w:val="2A3C48D7"/>
    <w:rsid w:val="2A736F37"/>
    <w:rsid w:val="2A7E21D7"/>
    <w:rsid w:val="2B3950CF"/>
    <w:rsid w:val="2BAE0891"/>
    <w:rsid w:val="2BAE295A"/>
    <w:rsid w:val="2BB1224E"/>
    <w:rsid w:val="2BF34BC9"/>
    <w:rsid w:val="2C720219"/>
    <w:rsid w:val="2C862CC7"/>
    <w:rsid w:val="2C8B4C38"/>
    <w:rsid w:val="2CAD48F1"/>
    <w:rsid w:val="2CB915BF"/>
    <w:rsid w:val="2D446506"/>
    <w:rsid w:val="2DAB2C4C"/>
    <w:rsid w:val="2DE65545"/>
    <w:rsid w:val="2E355F9A"/>
    <w:rsid w:val="2E580F97"/>
    <w:rsid w:val="2EBD5180"/>
    <w:rsid w:val="2F0458BF"/>
    <w:rsid w:val="2F095A7F"/>
    <w:rsid w:val="2F146F4C"/>
    <w:rsid w:val="2F662E71"/>
    <w:rsid w:val="31027D44"/>
    <w:rsid w:val="3157100B"/>
    <w:rsid w:val="31A92612"/>
    <w:rsid w:val="31F93F49"/>
    <w:rsid w:val="330A5E8A"/>
    <w:rsid w:val="331D6C21"/>
    <w:rsid w:val="33547431"/>
    <w:rsid w:val="33BE2874"/>
    <w:rsid w:val="34202BA0"/>
    <w:rsid w:val="34B26218"/>
    <w:rsid w:val="34B77486"/>
    <w:rsid w:val="34D16440"/>
    <w:rsid w:val="350A6272"/>
    <w:rsid w:val="35124B9C"/>
    <w:rsid w:val="35385736"/>
    <w:rsid w:val="35483AA0"/>
    <w:rsid w:val="35BCA720"/>
    <w:rsid w:val="36683D79"/>
    <w:rsid w:val="36DD78DE"/>
    <w:rsid w:val="375F19FA"/>
    <w:rsid w:val="37E10067"/>
    <w:rsid w:val="37F571B0"/>
    <w:rsid w:val="386627DB"/>
    <w:rsid w:val="386B345A"/>
    <w:rsid w:val="387025D2"/>
    <w:rsid w:val="39291468"/>
    <w:rsid w:val="398F41B8"/>
    <w:rsid w:val="39D32929"/>
    <w:rsid w:val="39D708D3"/>
    <w:rsid w:val="3A401E77"/>
    <w:rsid w:val="3A5102AE"/>
    <w:rsid w:val="3B220118"/>
    <w:rsid w:val="3B8511BD"/>
    <w:rsid w:val="3C896008"/>
    <w:rsid w:val="3CB0081F"/>
    <w:rsid w:val="3CBC71DB"/>
    <w:rsid w:val="3D0B0A36"/>
    <w:rsid w:val="3D116A98"/>
    <w:rsid w:val="3D2B7B8D"/>
    <w:rsid w:val="3D4C635B"/>
    <w:rsid w:val="3E782152"/>
    <w:rsid w:val="3EAC5C0D"/>
    <w:rsid w:val="3F38690D"/>
    <w:rsid w:val="3FB6232F"/>
    <w:rsid w:val="3FB80DE2"/>
    <w:rsid w:val="3FC76DEA"/>
    <w:rsid w:val="3FC918AB"/>
    <w:rsid w:val="3FE579FD"/>
    <w:rsid w:val="40466551"/>
    <w:rsid w:val="40890670"/>
    <w:rsid w:val="40B756B8"/>
    <w:rsid w:val="41106099"/>
    <w:rsid w:val="416C244D"/>
    <w:rsid w:val="417722E4"/>
    <w:rsid w:val="427458E1"/>
    <w:rsid w:val="42A8417A"/>
    <w:rsid w:val="43287234"/>
    <w:rsid w:val="434863BE"/>
    <w:rsid w:val="43D20ADD"/>
    <w:rsid w:val="44590106"/>
    <w:rsid w:val="44BC77EC"/>
    <w:rsid w:val="44FA3248"/>
    <w:rsid w:val="452B3604"/>
    <w:rsid w:val="456E01CD"/>
    <w:rsid w:val="459C13D9"/>
    <w:rsid w:val="45BB11D3"/>
    <w:rsid w:val="45F52E83"/>
    <w:rsid w:val="461055CC"/>
    <w:rsid w:val="46F94220"/>
    <w:rsid w:val="47056033"/>
    <w:rsid w:val="478E64B4"/>
    <w:rsid w:val="47C73595"/>
    <w:rsid w:val="47DD10E5"/>
    <w:rsid w:val="483C4C98"/>
    <w:rsid w:val="48856705"/>
    <w:rsid w:val="49386E0C"/>
    <w:rsid w:val="49EC0064"/>
    <w:rsid w:val="49F97F0C"/>
    <w:rsid w:val="4A74352C"/>
    <w:rsid w:val="4AC95862"/>
    <w:rsid w:val="4B5611FD"/>
    <w:rsid w:val="4B7E115E"/>
    <w:rsid w:val="4B9D4D6D"/>
    <w:rsid w:val="4BC97191"/>
    <w:rsid w:val="4C3B1A47"/>
    <w:rsid w:val="4C9C2FE2"/>
    <w:rsid w:val="4EA550A0"/>
    <w:rsid w:val="4F380A34"/>
    <w:rsid w:val="4F4A6D0D"/>
    <w:rsid w:val="4F743D20"/>
    <w:rsid w:val="4F8D2C39"/>
    <w:rsid w:val="500F5C1E"/>
    <w:rsid w:val="504B72C7"/>
    <w:rsid w:val="507013E3"/>
    <w:rsid w:val="50802B94"/>
    <w:rsid w:val="51B0261D"/>
    <w:rsid w:val="51FE0FE5"/>
    <w:rsid w:val="52154D11"/>
    <w:rsid w:val="529B0532"/>
    <w:rsid w:val="52B22222"/>
    <w:rsid w:val="52D37A10"/>
    <w:rsid w:val="54A06503"/>
    <w:rsid w:val="55006F88"/>
    <w:rsid w:val="551754FD"/>
    <w:rsid w:val="555C23A0"/>
    <w:rsid w:val="55E662EC"/>
    <w:rsid w:val="56691252"/>
    <w:rsid w:val="56A948DB"/>
    <w:rsid w:val="579C2294"/>
    <w:rsid w:val="57B34F2B"/>
    <w:rsid w:val="584C0094"/>
    <w:rsid w:val="587D51DB"/>
    <w:rsid w:val="58B404D1"/>
    <w:rsid w:val="58B56E27"/>
    <w:rsid w:val="58C21280"/>
    <w:rsid w:val="59185FD0"/>
    <w:rsid w:val="59426C92"/>
    <w:rsid w:val="59C55934"/>
    <w:rsid w:val="5B0902FD"/>
    <w:rsid w:val="5C326F72"/>
    <w:rsid w:val="5C3345B7"/>
    <w:rsid w:val="5C5F0FD2"/>
    <w:rsid w:val="5CA22B8E"/>
    <w:rsid w:val="5D074448"/>
    <w:rsid w:val="5D9018E3"/>
    <w:rsid w:val="5DB37F34"/>
    <w:rsid w:val="5DF85003"/>
    <w:rsid w:val="5E861468"/>
    <w:rsid w:val="5EBF55F9"/>
    <w:rsid w:val="5FB74129"/>
    <w:rsid w:val="5FC93F5D"/>
    <w:rsid w:val="60A16B33"/>
    <w:rsid w:val="61195304"/>
    <w:rsid w:val="61491807"/>
    <w:rsid w:val="61A14BC4"/>
    <w:rsid w:val="61BF24AB"/>
    <w:rsid w:val="61EA37E0"/>
    <w:rsid w:val="61EE78EC"/>
    <w:rsid w:val="6209084F"/>
    <w:rsid w:val="62E27895"/>
    <w:rsid w:val="63CB3E35"/>
    <w:rsid w:val="65030018"/>
    <w:rsid w:val="66186FE6"/>
    <w:rsid w:val="663E63C4"/>
    <w:rsid w:val="668F2B06"/>
    <w:rsid w:val="66D57033"/>
    <w:rsid w:val="673C6ECE"/>
    <w:rsid w:val="675E6B93"/>
    <w:rsid w:val="67A6247F"/>
    <w:rsid w:val="68126926"/>
    <w:rsid w:val="6842759D"/>
    <w:rsid w:val="68771A3E"/>
    <w:rsid w:val="689C0DA3"/>
    <w:rsid w:val="689D2962"/>
    <w:rsid w:val="697F4323"/>
    <w:rsid w:val="6AB808B5"/>
    <w:rsid w:val="6ABB33A4"/>
    <w:rsid w:val="6AC60B48"/>
    <w:rsid w:val="6BEF7C67"/>
    <w:rsid w:val="6C1F7166"/>
    <w:rsid w:val="6C821243"/>
    <w:rsid w:val="6CBC0D8B"/>
    <w:rsid w:val="6D5A475B"/>
    <w:rsid w:val="6DA53478"/>
    <w:rsid w:val="6EA45867"/>
    <w:rsid w:val="6F7A0D26"/>
    <w:rsid w:val="6F8E4227"/>
    <w:rsid w:val="6FB15394"/>
    <w:rsid w:val="6FDF70DA"/>
    <w:rsid w:val="70055143"/>
    <w:rsid w:val="70566822"/>
    <w:rsid w:val="705C0FC6"/>
    <w:rsid w:val="70A66060"/>
    <w:rsid w:val="71471956"/>
    <w:rsid w:val="71661DB7"/>
    <w:rsid w:val="71777BEA"/>
    <w:rsid w:val="71FB7C45"/>
    <w:rsid w:val="729C701E"/>
    <w:rsid w:val="72B3709A"/>
    <w:rsid w:val="73171221"/>
    <w:rsid w:val="734C0143"/>
    <w:rsid w:val="734D08F1"/>
    <w:rsid w:val="73EA0B03"/>
    <w:rsid w:val="741616D9"/>
    <w:rsid w:val="74426AAA"/>
    <w:rsid w:val="748B1CAD"/>
    <w:rsid w:val="74AE50F0"/>
    <w:rsid w:val="7502464D"/>
    <w:rsid w:val="75037C1E"/>
    <w:rsid w:val="754F4DA3"/>
    <w:rsid w:val="758A154D"/>
    <w:rsid w:val="75954400"/>
    <w:rsid w:val="75975562"/>
    <w:rsid w:val="759D5D2D"/>
    <w:rsid w:val="76065314"/>
    <w:rsid w:val="76170497"/>
    <w:rsid w:val="76364AB7"/>
    <w:rsid w:val="7676734A"/>
    <w:rsid w:val="781B7D45"/>
    <w:rsid w:val="78242788"/>
    <w:rsid w:val="78826EEF"/>
    <w:rsid w:val="78F138E1"/>
    <w:rsid w:val="791666C4"/>
    <w:rsid w:val="7961682E"/>
    <w:rsid w:val="79C311DC"/>
    <w:rsid w:val="79C40D55"/>
    <w:rsid w:val="79C83864"/>
    <w:rsid w:val="7A745A5C"/>
    <w:rsid w:val="7B1F45AC"/>
    <w:rsid w:val="7B2D1934"/>
    <w:rsid w:val="7B387682"/>
    <w:rsid w:val="7B54266E"/>
    <w:rsid w:val="7BA42308"/>
    <w:rsid w:val="7BB068AE"/>
    <w:rsid w:val="7BC359B7"/>
    <w:rsid w:val="7C0977CC"/>
    <w:rsid w:val="7C574303"/>
    <w:rsid w:val="7C7744B1"/>
    <w:rsid w:val="7E0C2354"/>
    <w:rsid w:val="7E6D1BD5"/>
    <w:rsid w:val="7EB933F5"/>
    <w:rsid w:val="7EC30067"/>
    <w:rsid w:val="7F6F2ECD"/>
    <w:rsid w:val="7FE01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5">
    <w:name w:val="heading 2"/>
    <w:basedOn w:val="1"/>
    <w:next w:val="1"/>
    <w:link w:val="6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7"/>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Cs w:val="20"/>
    </w:rPr>
  </w:style>
  <w:style w:type="paragraph" w:styleId="8">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qFormat/>
    <w:uiPriority w:val="0"/>
    <w:pPr>
      <w:widowControl/>
      <w:tabs>
        <w:tab w:val="left" w:pos="0"/>
        <w:tab w:val="left" w:pos="993"/>
        <w:tab w:val="left" w:pos="1134"/>
      </w:tabs>
      <w:spacing w:line="500" w:lineRule="exact"/>
      <w:ind w:firstLine="567"/>
    </w:pPr>
    <w:rPr>
      <w:rFonts w:ascii="宋体"/>
      <w:kern w:val="0"/>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89"/>
    <w:qFormat/>
    <w:uiPriority w:val="0"/>
    <w:pPr>
      <w:ind w:firstLine="420"/>
    </w:pPr>
    <w:rPr>
      <w:sz w:val="21"/>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130"/>
    <w:semiHidden/>
    <w:qFormat/>
    <w:uiPriority w:val="0"/>
    <w:pPr>
      <w:adjustRightInd w:val="0"/>
      <w:spacing w:line="360" w:lineRule="atLeast"/>
      <w:jc w:val="left"/>
      <w:textAlignment w:val="baseline"/>
    </w:pPr>
    <w:rPr>
      <w:kern w:val="0"/>
      <w:sz w:val="24"/>
      <w:szCs w:val="20"/>
    </w:rPr>
  </w:style>
  <w:style w:type="paragraph" w:styleId="18">
    <w:name w:val="Body Text 3"/>
    <w:basedOn w:val="1"/>
    <w:qFormat/>
    <w:uiPriority w:val="0"/>
    <w:pPr>
      <w:snapToGrid w:val="0"/>
      <w:spacing w:before="50" w:after="50"/>
    </w:pPr>
  </w:style>
  <w:style w:type="paragraph" w:styleId="19">
    <w:name w:val="List Bullet 3"/>
    <w:basedOn w:val="1"/>
    <w:qFormat/>
    <w:uiPriority w:val="0"/>
    <w:pPr>
      <w:tabs>
        <w:tab w:val="left" w:pos="1200"/>
      </w:tabs>
      <w:ind w:left="1200" w:hanging="360"/>
    </w:pPr>
    <w:rPr>
      <w:sz w:val="21"/>
    </w:rPr>
  </w:style>
  <w:style w:type="paragraph" w:styleId="20">
    <w:name w:val="Body Text"/>
    <w:basedOn w:val="1"/>
    <w:next w:val="21"/>
    <w:qFormat/>
    <w:uiPriority w:val="0"/>
    <w:pPr>
      <w:spacing w:line="0" w:lineRule="atLeast"/>
    </w:pPr>
    <w:rPr>
      <w:sz w:val="30"/>
      <w:szCs w:val="20"/>
    </w:rPr>
  </w:style>
  <w:style w:type="paragraph" w:styleId="21">
    <w:name w:val="Body Text First Indent"/>
    <w:basedOn w:val="20"/>
    <w:next w:val="22"/>
    <w:qFormat/>
    <w:uiPriority w:val="0"/>
    <w:pPr>
      <w:spacing w:after="120" w:line="240" w:lineRule="auto"/>
      <w:ind w:firstLine="420" w:firstLineChars="100"/>
    </w:pPr>
    <w:rPr>
      <w:sz w:val="28"/>
    </w:rPr>
  </w:style>
  <w:style w:type="paragraph" w:styleId="22">
    <w:name w:val="toc 6"/>
    <w:basedOn w:val="1"/>
    <w:next w:val="1"/>
    <w:qFormat/>
    <w:uiPriority w:val="99"/>
    <w:pPr>
      <w:ind w:left="2100" w:leftChars="1000"/>
    </w:pPr>
    <w:rPr>
      <w:rFonts w:ascii="Calibri" w:hAnsi="Calibri"/>
      <w:szCs w:val="22"/>
    </w:rPr>
  </w:style>
  <w:style w:type="paragraph" w:styleId="23">
    <w:name w:val="List Number 3"/>
    <w:basedOn w:val="1"/>
    <w:qFormat/>
    <w:uiPriority w:val="0"/>
    <w:pPr>
      <w:tabs>
        <w:tab w:val="left" w:pos="1200"/>
      </w:tabs>
      <w:ind w:left="1200" w:hanging="360"/>
    </w:pPr>
    <w:rPr>
      <w:sz w:val="21"/>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3"/>
    <w:basedOn w:val="1"/>
    <w:next w:val="1"/>
    <w:semiHidden/>
    <w:qFormat/>
    <w:uiPriority w:val="0"/>
    <w:pPr>
      <w:widowControl/>
      <w:ind w:left="400" w:right="255"/>
    </w:pPr>
    <w:rPr>
      <w:kern w:val="0"/>
      <w:sz w:val="24"/>
      <w:szCs w:val="20"/>
    </w:rPr>
  </w:style>
  <w:style w:type="paragraph" w:styleId="27">
    <w:name w:val="Plain Text"/>
    <w:basedOn w:val="1"/>
    <w:link w:val="71"/>
    <w:qFormat/>
    <w:uiPriority w:val="0"/>
    <w:pPr>
      <w:adjustRightInd w:val="0"/>
      <w:snapToGrid w:val="0"/>
    </w:pPr>
    <w:rPr>
      <w:rFonts w:ascii="宋体" w:hAnsi="Courier New" w:cs="Courier New"/>
      <w:sz w:val="21"/>
      <w:szCs w:val="21"/>
    </w:rPr>
  </w:style>
  <w:style w:type="paragraph" w:styleId="28">
    <w:name w:val="Date"/>
    <w:basedOn w:val="1"/>
    <w:next w:val="1"/>
    <w:qFormat/>
    <w:uiPriority w:val="0"/>
    <w:rPr>
      <w:szCs w:val="20"/>
    </w:rPr>
  </w:style>
  <w:style w:type="paragraph" w:styleId="29">
    <w:name w:val="Body Text Indent 2"/>
    <w:basedOn w:val="1"/>
    <w:link w:val="132"/>
    <w:qFormat/>
    <w:uiPriority w:val="0"/>
    <w:pPr>
      <w:ind w:firstLine="560" w:firstLineChars="200"/>
    </w:pPr>
    <w:rPr>
      <w:rFonts w:ascii="宋体" w:hAnsi="宋体"/>
      <w:szCs w:val="20"/>
    </w:rPr>
  </w:style>
  <w:style w:type="paragraph" w:styleId="30">
    <w:name w:val="Balloon Text"/>
    <w:basedOn w:val="1"/>
    <w:semiHidden/>
    <w:qFormat/>
    <w:uiPriority w:val="0"/>
    <w:rPr>
      <w:sz w:val="18"/>
      <w:szCs w:val="18"/>
    </w:rPr>
  </w:style>
  <w:style w:type="paragraph" w:styleId="31">
    <w:name w:val="footer"/>
    <w:basedOn w:val="1"/>
    <w:link w:val="65"/>
    <w:qFormat/>
    <w:uiPriority w:val="0"/>
    <w:pPr>
      <w:tabs>
        <w:tab w:val="center" w:pos="4153"/>
        <w:tab w:val="right" w:pos="8306"/>
      </w:tabs>
      <w:snapToGrid w:val="0"/>
      <w:jc w:val="left"/>
    </w:pPr>
    <w:rPr>
      <w:sz w:val="18"/>
      <w:szCs w:val="18"/>
    </w:rPr>
  </w:style>
  <w:style w:type="paragraph" w:styleId="32">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style>
  <w:style w:type="paragraph" w:styleId="34">
    <w:name w:val="List"/>
    <w:basedOn w:val="1"/>
    <w:qFormat/>
    <w:uiPriority w:val="0"/>
    <w:pPr>
      <w:ind w:left="200" w:hanging="200" w:hangingChars="200"/>
    </w:pPr>
  </w:style>
  <w:style w:type="paragraph" w:styleId="35">
    <w:name w:val="Body Text Indent 3"/>
    <w:basedOn w:val="1"/>
    <w:qFormat/>
    <w:uiPriority w:val="0"/>
    <w:pPr>
      <w:ind w:firstLine="419" w:firstLineChars="161"/>
    </w:pPr>
    <w:rPr>
      <w:rFonts w:ascii="宋体" w:hAnsi="宋体"/>
      <w:szCs w:val="20"/>
    </w:rPr>
  </w:style>
  <w:style w:type="paragraph" w:styleId="36">
    <w:name w:val="toc 2"/>
    <w:basedOn w:val="1"/>
    <w:next w:val="1"/>
    <w:qFormat/>
    <w:uiPriority w:val="39"/>
    <w:pPr>
      <w:ind w:left="420" w:leftChars="200"/>
    </w:pPr>
  </w:style>
  <w:style w:type="paragraph" w:styleId="3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annotation subject"/>
    <w:basedOn w:val="17"/>
    <w:next w:val="17"/>
    <w:link w:val="131"/>
    <w:qFormat/>
    <w:uiPriority w:val="0"/>
    <w:pPr>
      <w:adjustRightInd/>
      <w:spacing w:line="240" w:lineRule="auto"/>
      <w:textAlignment w:val="auto"/>
    </w:pPr>
    <w:rPr>
      <w:b/>
      <w:bCs/>
      <w:kern w:val="2"/>
      <w:sz w:val="28"/>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333333"/>
      <w:sz w:val="21"/>
      <w:u w:val="none"/>
    </w:rPr>
  </w:style>
  <w:style w:type="character" w:styleId="47">
    <w:name w:val="Emphasis"/>
    <w:qFormat/>
    <w:uiPriority w:val="0"/>
    <w:rPr>
      <w:color w:val="CC0033"/>
    </w:rPr>
  </w:style>
  <w:style w:type="character" w:styleId="48">
    <w:name w:val="HTML Definition"/>
    <w:qFormat/>
    <w:uiPriority w:val="0"/>
    <w:rPr>
      <w:sz w:val="21"/>
    </w:rPr>
  </w:style>
  <w:style w:type="character" w:styleId="49">
    <w:name w:val="HTML Typewriter"/>
    <w:qFormat/>
    <w:uiPriority w:val="0"/>
    <w:rPr>
      <w:rFonts w:hint="default" w:ascii="monospace" w:hAnsi="monospace" w:eastAsia="monospace" w:cs="monospace"/>
      <w:sz w:val="20"/>
    </w:rPr>
  </w:style>
  <w:style w:type="character" w:styleId="50">
    <w:name w:val="HTML Acronym"/>
    <w:basedOn w:val="43"/>
    <w:qFormat/>
    <w:uiPriority w:val="0"/>
  </w:style>
  <w:style w:type="character" w:styleId="51">
    <w:name w:val="HTML Variable"/>
    <w:qFormat/>
    <w:uiPriority w:val="0"/>
    <w:rPr>
      <w:sz w:val="21"/>
    </w:rPr>
  </w:style>
  <w:style w:type="character" w:styleId="52">
    <w:name w:val="Hyperlink"/>
    <w:qFormat/>
    <w:uiPriority w:val="99"/>
    <w:rPr>
      <w:color w:val="333333"/>
      <w:sz w:val="21"/>
      <w:u w:val="none"/>
    </w:rPr>
  </w:style>
  <w:style w:type="character" w:styleId="53">
    <w:name w:val="HTML Code"/>
    <w:qFormat/>
    <w:uiPriority w:val="0"/>
    <w:rPr>
      <w:rFonts w:ascii="monospace" w:hAnsi="monospace" w:eastAsia="monospace" w:cs="monospace"/>
      <w:sz w:val="20"/>
    </w:rPr>
  </w:style>
  <w:style w:type="character" w:styleId="54">
    <w:name w:val="annotation reference"/>
    <w:basedOn w:val="43"/>
    <w:qFormat/>
    <w:uiPriority w:val="0"/>
    <w:rPr>
      <w:sz w:val="21"/>
      <w:szCs w:val="21"/>
    </w:rPr>
  </w:style>
  <w:style w:type="character" w:styleId="55">
    <w:name w:val="HTML Cite"/>
    <w:qFormat/>
    <w:uiPriority w:val="0"/>
    <w:rPr>
      <w:sz w:val="21"/>
    </w:rPr>
  </w:style>
  <w:style w:type="character" w:styleId="56">
    <w:name w:val="HTML Keyboard"/>
    <w:qFormat/>
    <w:uiPriority w:val="0"/>
    <w:rPr>
      <w:rFonts w:hint="default" w:ascii="monospace" w:hAnsi="monospace" w:eastAsia="monospace" w:cs="monospace"/>
      <w:sz w:val="20"/>
    </w:rPr>
  </w:style>
  <w:style w:type="character" w:styleId="57">
    <w:name w:val="HTML Sample"/>
    <w:qFormat/>
    <w:uiPriority w:val="0"/>
    <w:rPr>
      <w:rFonts w:hint="default" w:ascii="monospace" w:hAnsi="monospace" w:eastAsia="monospace" w:cs="monospace"/>
      <w:sz w:val="21"/>
    </w:rPr>
  </w:style>
  <w:style w:type="paragraph" w:customStyle="1" w:styleId="58">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59">
    <w:name w:val="flname7"/>
    <w:basedOn w:val="43"/>
    <w:qFormat/>
    <w:uiPriority w:val="0"/>
  </w:style>
  <w:style w:type="character" w:customStyle="1" w:styleId="60">
    <w:name w:val="font3"/>
    <w:basedOn w:val="43"/>
    <w:qFormat/>
    <w:uiPriority w:val="0"/>
  </w:style>
  <w:style w:type="character" w:customStyle="1" w:styleId="61">
    <w:name w:val="style2"/>
    <w:basedOn w:val="43"/>
    <w:qFormat/>
    <w:uiPriority w:val="0"/>
  </w:style>
  <w:style w:type="character" w:customStyle="1" w:styleId="62">
    <w:name w:val="标题 1 Char Char"/>
    <w:qFormat/>
    <w:uiPriority w:val="0"/>
    <w:rPr>
      <w:rFonts w:eastAsia="宋体"/>
      <w:b/>
      <w:spacing w:val="-2"/>
      <w:sz w:val="24"/>
      <w:lang w:val="en-US" w:eastAsia="zh-CN" w:bidi="ar-SA"/>
    </w:rPr>
  </w:style>
  <w:style w:type="character" w:customStyle="1" w:styleId="63">
    <w:name w:val="font51"/>
    <w:qFormat/>
    <w:uiPriority w:val="0"/>
    <w:rPr>
      <w:rFonts w:hint="eastAsia" w:ascii="宋体" w:hAnsi="宋体" w:eastAsia="宋体" w:cs="宋体"/>
      <w:color w:val="000000"/>
      <w:sz w:val="18"/>
      <w:szCs w:val="18"/>
      <w:u w:val="none"/>
    </w:rPr>
  </w:style>
  <w:style w:type="character" w:customStyle="1" w:styleId="64">
    <w:name w:val="Char Char2"/>
    <w:qFormat/>
    <w:uiPriority w:val="0"/>
    <w:rPr>
      <w:rFonts w:ascii="宋体" w:hAnsi="Courier New" w:eastAsia="宋体"/>
      <w:sz w:val="21"/>
      <w:lang w:val="en-US" w:eastAsia="zh-CN" w:bidi="ar-SA"/>
    </w:rPr>
  </w:style>
  <w:style w:type="character" w:customStyle="1" w:styleId="65">
    <w:name w:val="页脚 Char"/>
    <w:link w:val="31"/>
    <w:semiHidden/>
    <w:qFormat/>
    <w:uiPriority w:val="0"/>
    <w:rPr>
      <w:rFonts w:eastAsia="宋体"/>
      <w:kern w:val="2"/>
      <w:sz w:val="18"/>
      <w:szCs w:val="18"/>
      <w:lang w:val="en-US" w:eastAsia="zh-CN" w:bidi="ar-SA"/>
    </w:rPr>
  </w:style>
  <w:style w:type="character" w:customStyle="1" w:styleId="66">
    <w:name w:val="标题 2 Char"/>
    <w:link w:val="5"/>
    <w:qFormat/>
    <w:uiPriority w:val="0"/>
    <w:rPr>
      <w:rFonts w:ascii="Arial" w:hAnsi="Arial" w:eastAsia="黑体"/>
      <w:b/>
      <w:bCs/>
      <w:kern w:val="2"/>
      <w:sz w:val="32"/>
      <w:szCs w:val="32"/>
      <w:lang w:val="en-US" w:eastAsia="zh-CN" w:bidi="ar-SA"/>
    </w:rPr>
  </w:style>
  <w:style w:type="character" w:customStyle="1" w:styleId="67">
    <w:name w:val="正文（首行缩进两字） Char Char Char Char1"/>
    <w:qFormat/>
    <w:uiPriority w:val="0"/>
    <w:rPr>
      <w:rFonts w:eastAsia="宋体"/>
      <w:kern w:val="2"/>
      <w:sz w:val="21"/>
      <w:lang w:val="en-US" w:eastAsia="zh-CN" w:bidi="ar-SA"/>
    </w:rPr>
  </w:style>
  <w:style w:type="character" w:customStyle="1" w:styleId="68">
    <w:name w:val="Char Char6"/>
    <w:qFormat/>
    <w:uiPriority w:val="0"/>
    <w:rPr>
      <w:rFonts w:eastAsia="宋体"/>
      <w:kern w:val="2"/>
      <w:sz w:val="18"/>
      <w:szCs w:val="18"/>
      <w:lang w:val="en-US" w:eastAsia="zh-CN" w:bidi="ar-SA"/>
    </w:rPr>
  </w:style>
  <w:style w:type="character" w:customStyle="1" w:styleId="69">
    <w:name w:val="para"/>
    <w:basedOn w:val="43"/>
    <w:qFormat/>
    <w:uiPriority w:val="0"/>
  </w:style>
  <w:style w:type="character" w:customStyle="1" w:styleId="70">
    <w:name w:val="font71"/>
    <w:qFormat/>
    <w:uiPriority w:val="0"/>
    <w:rPr>
      <w:rFonts w:hint="default" w:ascii="Arial" w:hAnsi="Arial" w:cs="Arial"/>
      <w:color w:val="000000"/>
      <w:sz w:val="18"/>
      <w:szCs w:val="18"/>
      <w:u w:val="none"/>
    </w:rPr>
  </w:style>
  <w:style w:type="character" w:customStyle="1" w:styleId="71">
    <w:name w:val="纯文本 Char"/>
    <w:link w:val="27"/>
    <w:qFormat/>
    <w:uiPriority w:val="0"/>
    <w:rPr>
      <w:rFonts w:ascii="宋体" w:hAnsi="Courier New" w:eastAsia="宋体" w:cs="Courier New"/>
      <w:kern w:val="2"/>
      <w:sz w:val="21"/>
      <w:szCs w:val="21"/>
      <w:lang w:val="en-US" w:eastAsia="zh-CN" w:bidi="ar-SA"/>
    </w:rPr>
  </w:style>
  <w:style w:type="character" w:customStyle="1" w:styleId="72">
    <w:name w:val="title14"/>
    <w:basedOn w:val="43"/>
    <w:qFormat/>
    <w:uiPriority w:val="0"/>
  </w:style>
  <w:style w:type="character" w:customStyle="1" w:styleId="73">
    <w:name w:val="style1"/>
    <w:basedOn w:val="43"/>
    <w:qFormat/>
    <w:uiPriority w:val="0"/>
  </w:style>
  <w:style w:type="character" w:customStyle="1" w:styleId="74">
    <w:name w:val="style51"/>
    <w:qFormat/>
    <w:uiPriority w:val="0"/>
    <w:rPr>
      <w:sz w:val="18"/>
      <w:szCs w:val="18"/>
    </w:rPr>
  </w:style>
  <w:style w:type="character" w:customStyle="1" w:styleId="75">
    <w:name w:val="Char Char10"/>
    <w:qFormat/>
    <w:uiPriority w:val="0"/>
    <w:rPr>
      <w:rFonts w:ascii="宋体" w:hAnsi="Courier New" w:eastAsia="宋体"/>
      <w:kern w:val="2"/>
      <w:sz w:val="24"/>
      <w:szCs w:val="24"/>
      <w:lang w:val="en-US" w:eastAsia="zh-CN" w:bidi="ar-SA"/>
    </w:rPr>
  </w:style>
  <w:style w:type="character" w:customStyle="1" w:styleId="76">
    <w:name w:val="maywed421"/>
    <w:qFormat/>
    <w:uiPriority w:val="0"/>
    <w:rPr>
      <w:color w:val="366FB6"/>
      <w:u w:val="none"/>
    </w:rPr>
  </w:style>
  <w:style w:type="character" w:customStyle="1" w:styleId="77">
    <w:name w:val="标题 3 Char"/>
    <w:link w:val="6"/>
    <w:qFormat/>
    <w:uiPriority w:val="0"/>
    <w:rPr>
      <w:b/>
      <w:sz w:val="32"/>
    </w:rPr>
  </w:style>
  <w:style w:type="character" w:customStyle="1" w:styleId="78">
    <w:name w:val="a Char"/>
    <w:link w:val="79"/>
    <w:qFormat/>
    <w:uiPriority w:val="0"/>
    <w:rPr>
      <w:rFonts w:ascii="宋体" w:hAnsi="宋体" w:eastAsia="仿宋_GB2312"/>
      <w:sz w:val="24"/>
      <w:lang w:val="en-US" w:eastAsia="zh-CN" w:bidi="ar-SA"/>
    </w:rPr>
  </w:style>
  <w:style w:type="paragraph" w:customStyle="1" w:styleId="79">
    <w:name w:val="a"/>
    <w:basedOn w:val="1"/>
    <w:link w:val="78"/>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80">
    <w:name w:val="ptb181"/>
    <w:qFormat/>
    <w:uiPriority w:val="0"/>
    <w:rPr>
      <w:rFonts w:hint="default" w:ascii="Verdana" w:hAnsi="Verdana"/>
      <w:b/>
      <w:bCs/>
      <w:color w:val="000000"/>
      <w:sz w:val="26"/>
      <w:szCs w:val="26"/>
    </w:rPr>
  </w:style>
  <w:style w:type="character" w:customStyle="1" w:styleId="81">
    <w:name w:val="141"/>
    <w:qFormat/>
    <w:uiPriority w:val="0"/>
    <w:rPr>
      <w:color w:val="333333"/>
      <w:sz w:val="21"/>
      <w:szCs w:val="21"/>
      <w:u w:val="none"/>
    </w:rPr>
  </w:style>
  <w:style w:type="character" w:customStyle="1" w:styleId="82">
    <w:name w:val="页眉 Char"/>
    <w:link w:val="32"/>
    <w:semiHidden/>
    <w:qFormat/>
    <w:uiPriority w:val="0"/>
    <w:rPr>
      <w:rFonts w:eastAsia="宋体"/>
      <w:kern w:val="2"/>
      <w:sz w:val="18"/>
      <w:szCs w:val="18"/>
      <w:lang w:val="en-US" w:eastAsia="zh-CN" w:bidi="ar-SA"/>
    </w:rPr>
  </w:style>
  <w:style w:type="character" w:customStyle="1" w:styleId="83">
    <w:name w:val="节标题 1.1 Char Char"/>
    <w:qFormat/>
    <w:uiPriority w:val="0"/>
    <w:rPr>
      <w:rFonts w:ascii="Arial" w:hAnsi="Arial" w:eastAsia="黑体"/>
      <w:b/>
      <w:bCs/>
      <w:kern w:val="2"/>
      <w:sz w:val="32"/>
      <w:szCs w:val="32"/>
      <w:lang w:val="en-US" w:eastAsia="zh-CN" w:bidi="ar-SA"/>
    </w:rPr>
  </w:style>
  <w:style w:type="character" w:customStyle="1" w:styleId="84">
    <w:name w:val="Char Char1"/>
    <w:qFormat/>
    <w:uiPriority w:val="0"/>
    <w:rPr>
      <w:kern w:val="2"/>
      <w:sz w:val="18"/>
      <w:szCs w:val="18"/>
    </w:rPr>
  </w:style>
  <w:style w:type="character" w:customStyle="1" w:styleId="85">
    <w:name w:val="b titlename wangputoptitle"/>
    <w:basedOn w:val="43"/>
    <w:qFormat/>
    <w:uiPriority w:val="0"/>
  </w:style>
  <w:style w:type="character" w:customStyle="1" w:styleId="86">
    <w:name w:val="正文（首行缩进两字） Char Char Char Char11"/>
    <w:qFormat/>
    <w:uiPriority w:val="0"/>
    <w:rPr>
      <w:rFonts w:eastAsia="宋体"/>
      <w:kern w:val="2"/>
      <w:sz w:val="21"/>
      <w:lang w:val="en-US" w:eastAsia="zh-CN" w:bidi="ar-SA"/>
    </w:rPr>
  </w:style>
  <w:style w:type="character" w:customStyle="1" w:styleId="87">
    <w:name w:val="style5"/>
    <w:basedOn w:val="43"/>
    <w:qFormat/>
    <w:uiPriority w:val="0"/>
  </w:style>
  <w:style w:type="character" w:customStyle="1" w:styleId="88">
    <w:name w:val="sdtype"/>
    <w:qFormat/>
    <w:uiPriority w:val="0"/>
  </w:style>
  <w:style w:type="character" w:customStyle="1" w:styleId="89">
    <w:name w:val="正文缩进 Char"/>
    <w:link w:val="14"/>
    <w:qFormat/>
    <w:uiPriority w:val="0"/>
    <w:rPr>
      <w:rFonts w:eastAsia="宋体"/>
      <w:kern w:val="2"/>
      <w:sz w:val="21"/>
      <w:lang w:val="en-US" w:eastAsia="zh-CN" w:bidi="ar-SA"/>
    </w:rPr>
  </w:style>
  <w:style w:type="paragraph" w:customStyle="1" w:styleId="90">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91">
    <w:name w:val="Char1"/>
    <w:basedOn w:val="1"/>
    <w:qFormat/>
    <w:uiPriority w:val="0"/>
    <w:rPr>
      <w:rFonts w:ascii="仿宋_GB2312" w:eastAsia="仿宋_GB2312"/>
      <w:b/>
      <w:sz w:val="32"/>
      <w:szCs w:val="32"/>
    </w:rPr>
  </w:style>
  <w:style w:type="paragraph" w:customStyle="1" w:styleId="92">
    <w:name w:val="Char Char24 Char Char Char Char"/>
    <w:basedOn w:val="1"/>
    <w:qFormat/>
    <w:uiPriority w:val="0"/>
    <w:pPr>
      <w:widowControl/>
      <w:spacing w:after="160" w:line="240" w:lineRule="exact"/>
      <w:jc w:val="left"/>
    </w:pPr>
    <w:rPr>
      <w:rFonts w:ascii="仿宋_GB2312" w:eastAsia="仿宋_GB2312"/>
      <w:spacing w:val="20"/>
    </w:rPr>
  </w:style>
  <w:style w:type="paragraph" w:customStyle="1" w:styleId="93">
    <w:name w:val="彩色列表 - 强调文字颜色 11"/>
    <w:basedOn w:val="1"/>
    <w:qFormat/>
    <w:uiPriority w:val="72"/>
    <w:pPr>
      <w:ind w:left="720"/>
      <w:contextualSpacing/>
    </w:pPr>
  </w:style>
  <w:style w:type="paragraph" w:customStyle="1" w:styleId="94">
    <w:name w:val="Char Char Char Char Char Char Char"/>
    <w:basedOn w:val="1"/>
    <w:qFormat/>
    <w:uiPriority w:val="0"/>
    <w:pPr>
      <w:tabs>
        <w:tab w:val="left" w:pos="432"/>
      </w:tabs>
      <w:ind w:left="432" w:hanging="432"/>
    </w:pPr>
    <w:rPr>
      <w:rFonts w:ascii="Tahoma" w:hAnsi="Tahoma"/>
      <w:sz w:val="24"/>
      <w:szCs w:val="20"/>
    </w:rPr>
  </w:style>
  <w:style w:type="paragraph" w:customStyle="1" w:styleId="95">
    <w:name w:val="修订1"/>
    <w:unhideWhenUsed/>
    <w:qFormat/>
    <w:uiPriority w:val="99"/>
    <w:rPr>
      <w:rFonts w:ascii="Times New Roman" w:hAnsi="Times New Roman" w:eastAsia="宋体" w:cs="Times New Roman"/>
      <w:kern w:val="2"/>
      <w:sz w:val="28"/>
      <w:szCs w:val="24"/>
      <w:lang w:val="en-US" w:eastAsia="zh-CN" w:bidi="ar-SA"/>
    </w:rPr>
  </w:style>
  <w:style w:type="paragraph" w:customStyle="1" w:styleId="96">
    <w:name w:val="_Style 9"/>
    <w:basedOn w:val="1"/>
    <w:qFormat/>
    <w:uiPriority w:val="0"/>
  </w:style>
  <w:style w:type="paragraph" w:customStyle="1" w:styleId="97">
    <w:name w:val="样式 表格正文 + 两端对齐"/>
    <w:basedOn w:val="1"/>
    <w:qFormat/>
    <w:uiPriority w:val="0"/>
    <w:pPr>
      <w:spacing w:line="300" w:lineRule="auto"/>
    </w:pPr>
    <w:rPr>
      <w:sz w:val="24"/>
      <w:szCs w:val="20"/>
    </w:rPr>
  </w:style>
  <w:style w:type="paragraph" w:customStyle="1" w:styleId="98">
    <w:name w:val="table_lines"/>
    <w:basedOn w:val="1"/>
    <w:qFormat/>
    <w:uiPriority w:val="0"/>
    <w:pPr>
      <w:widowControl/>
      <w:jc w:val="left"/>
    </w:pPr>
    <w:rPr>
      <w:kern w:val="0"/>
      <w:sz w:val="20"/>
      <w:szCs w:val="20"/>
      <w:lang w:val="de-DE" w:eastAsia="de-DE"/>
    </w:rPr>
  </w:style>
  <w:style w:type="paragraph" w:customStyle="1" w:styleId="99">
    <w:name w:val="正文段"/>
    <w:basedOn w:val="1"/>
    <w:qFormat/>
    <w:uiPriority w:val="0"/>
    <w:pPr>
      <w:widowControl/>
      <w:snapToGrid w:val="0"/>
      <w:spacing w:afterLines="50"/>
      <w:ind w:firstLine="200" w:firstLineChars="200"/>
    </w:pPr>
    <w:rPr>
      <w:kern w:val="0"/>
      <w:sz w:val="24"/>
      <w:szCs w:val="20"/>
    </w:rPr>
  </w:style>
  <w:style w:type="paragraph" w:customStyle="1" w:styleId="100">
    <w:name w:val="Char Char Char"/>
    <w:basedOn w:val="16"/>
    <w:qFormat/>
    <w:uiPriority w:val="0"/>
    <w:rPr>
      <w:rFonts w:ascii="Tahoma" w:hAnsi="Tahoma"/>
      <w:sz w:val="24"/>
    </w:rPr>
  </w:style>
  <w:style w:type="paragraph" w:customStyle="1" w:styleId="10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02">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03">
    <w:name w:val="列出段落1"/>
    <w:basedOn w:val="1"/>
    <w:qFormat/>
    <w:uiPriority w:val="34"/>
    <w:pPr>
      <w:ind w:firstLine="420" w:firstLineChars="200"/>
    </w:pPr>
    <w:rPr>
      <w:rFonts w:ascii="Calibri" w:hAnsi="Calibri"/>
      <w:sz w:val="21"/>
      <w:szCs w:val="22"/>
    </w:rPr>
  </w:style>
  <w:style w:type="paragraph" w:customStyle="1" w:styleId="10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5">
    <w:name w:val="paragraph1"/>
    <w:basedOn w:val="1"/>
    <w:qFormat/>
    <w:uiPriority w:val="0"/>
    <w:pPr>
      <w:spacing w:afterLines="30" w:line="360" w:lineRule="auto"/>
      <w:ind w:firstLine="420" w:firstLineChars="200"/>
    </w:pPr>
    <w:rPr>
      <w:rFonts w:eastAsia="楷体_GB2312"/>
      <w:sz w:val="24"/>
      <w:szCs w:val="20"/>
    </w:rPr>
  </w:style>
  <w:style w:type="paragraph" w:customStyle="1" w:styleId="106">
    <w:name w:val="文档正文"/>
    <w:basedOn w:val="1"/>
    <w:qFormat/>
    <w:uiPriority w:val="0"/>
    <w:pPr>
      <w:adjustRightInd w:val="0"/>
      <w:spacing w:line="312" w:lineRule="atLeast"/>
      <w:ind w:firstLine="567"/>
      <w:textAlignment w:val="baseline"/>
    </w:pPr>
    <w:rPr>
      <w:rFonts w:ascii="长城仿宋" w:eastAsia="长城仿宋"/>
      <w:kern w:val="0"/>
      <w:szCs w:val="20"/>
    </w:rPr>
  </w:style>
  <w:style w:type="paragraph" w:customStyle="1" w:styleId="107">
    <w:name w:val="Char Char7 Char"/>
    <w:basedOn w:val="1"/>
    <w:qFormat/>
    <w:uiPriority w:val="0"/>
    <w:pPr>
      <w:tabs>
        <w:tab w:val="left" w:pos="425"/>
      </w:tabs>
      <w:ind w:left="420" w:leftChars="200" w:firstLine="270" w:firstLineChars="150"/>
    </w:pPr>
    <w:rPr>
      <w:sz w:val="21"/>
    </w:rPr>
  </w:style>
  <w:style w:type="paragraph" w:customStyle="1" w:styleId="108">
    <w:name w:val="Char1 Char Char Char"/>
    <w:basedOn w:val="1"/>
    <w:qFormat/>
    <w:uiPriority w:val="0"/>
    <w:rPr>
      <w:rFonts w:ascii="Tahoma" w:hAnsi="Tahoma"/>
      <w:sz w:val="24"/>
      <w:szCs w:val="20"/>
    </w:rPr>
  </w:style>
  <w:style w:type="paragraph" w:customStyle="1" w:styleId="109">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列表编号 3 New"/>
    <w:basedOn w:val="1"/>
    <w:qFormat/>
    <w:uiPriority w:val="0"/>
    <w:pPr>
      <w:widowControl/>
      <w:tabs>
        <w:tab w:val="left" w:pos="482"/>
      </w:tabs>
      <w:spacing w:afterLines="50"/>
      <w:ind w:left="432" w:hanging="432"/>
      <w:jc w:val="left"/>
    </w:pPr>
    <w:rPr>
      <w:kern w:val="0"/>
      <w:sz w:val="24"/>
      <w:szCs w:val="20"/>
    </w:rPr>
  </w:style>
  <w:style w:type="paragraph" w:customStyle="1" w:styleId="111">
    <w:name w:val="Char Char Char Char Char Char Char1"/>
    <w:basedOn w:val="1"/>
    <w:qFormat/>
    <w:uiPriority w:val="0"/>
    <w:pPr>
      <w:tabs>
        <w:tab w:val="left" w:pos="432"/>
      </w:tabs>
      <w:ind w:left="432" w:hanging="432"/>
    </w:pPr>
    <w:rPr>
      <w:rFonts w:ascii="Tahoma" w:hAnsi="Tahoma"/>
      <w:sz w:val="24"/>
      <w:szCs w:val="20"/>
    </w:rPr>
  </w:style>
  <w:style w:type="paragraph" w:customStyle="1" w:styleId="11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3">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5">
    <w:name w:val="table_1stline"/>
    <w:basedOn w:val="1"/>
    <w:qFormat/>
    <w:uiPriority w:val="0"/>
    <w:pPr>
      <w:widowControl/>
      <w:spacing w:before="120"/>
      <w:jc w:val="left"/>
    </w:pPr>
    <w:rPr>
      <w:bCs/>
      <w:kern w:val="0"/>
      <w:sz w:val="20"/>
      <w:szCs w:val="20"/>
      <w:lang w:val="de-DE" w:eastAsia="de-DE"/>
    </w:rPr>
  </w:style>
  <w:style w:type="paragraph" w:customStyle="1" w:styleId="116">
    <w:name w:val="unnamed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8">
    <w:name w:val="默认段落字体 Para Char Char Char Char Char Char Char Char Char1 Char Char Char Char"/>
    <w:basedOn w:val="1"/>
    <w:qFormat/>
    <w:uiPriority w:val="0"/>
    <w:rPr>
      <w:rFonts w:ascii="Tahoma" w:hAnsi="Tahoma"/>
      <w:sz w:val="24"/>
      <w:szCs w:val="20"/>
    </w:rPr>
  </w:style>
  <w:style w:type="paragraph" w:customStyle="1" w:styleId="119">
    <w:name w:val="Char Char Char 字元 字元"/>
    <w:basedOn w:val="1"/>
    <w:qFormat/>
    <w:uiPriority w:val="0"/>
    <w:pPr>
      <w:spacing w:line="360" w:lineRule="auto"/>
      <w:ind w:firstLine="200" w:firstLineChars="200"/>
    </w:pPr>
    <w:rPr>
      <w:rFonts w:ascii="宋体" w:hAnsi="宋体" w:cs="宋体"/>
      <w:sz w:val="24"/>
    </w:rPr>
  </w:style>
  <w:style w:type="paragraph" w:customStyle="1" w:styleId="120">
    <w:name w:val="+正文"/>
    <w:basedOn w:val="1"/>
    <w:qFormat/>
    <w:uiPriority w:val="0"/>
    <w:pPr>
      <w:spacing w:line="360" w:lineRule="auto"/>
      <w:ind w:firstLine="200" w:firstLineChars="200"/>
    </w:pPr>
    <w:rPr>
      <w:sz w:val="24"/>
      <w:szCs w:val="28"/>
    </w:rPr>
  </w:style>
  <w:style w:type="paragraph" w:customStyle="1" w:styleId="121">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3">
    <w:name w:val="普通文字 Char1"/>
    <w:qFormat/>
    <w:uiPriority w:val="0"/>
    <w:rPr>
      <w:rFonts w:ascii="宋体" w:hAnsi="Courier New" w:eastAsia="宋体" w:cs="Courier New"/>
      <w:kern w:val="2"/>
      <w:sz w:val="21"/>
      <w:szCs w:val="21"/>
      <w:lang w:val="en-US" w:eastAsia="zh-CN" w:bidi="ar-SA"/>
    </w:rPr>
  </w:style>
  <w:style w:type="paragraph" w:customStyle="1" w:styleId="124">
    <w:name w:val="2级标题"/>
    <w:basedOn w:val="1"/>
    <w:link w:val="127"/>
    <w:qFormat/>
    <w:uiPriority w:val="0"/>
    <w:pPr>
      <w:keepLines/>
      <w:spacing w:before="240" w:after="120" w:line="360" w:lineRule="auto"/>
      <w:contextualSpacing/>
      <w:jc w:val="left"/>
      <w:outlineLvl w:val="1"/>
    </w:pPr>
    <w:rPr>
      <w:rFonts w:ascii="黑体" w:hAnsi="黑体" w:eastAsia="黑体"/>
      <w:b/>
      <w:kern w:val="0"/>
      <w:sz w:val="32"/>
      <w:szCs w:val="36"/>
      <w:lang w:eastAsia="en-US" w:bidi="en-US"/>
    </w:rPr>
  </w:style>
  <w:style w:type="paragraph" w:customStyle="1" w:styleId="125">
    <w:name w:val="3级标题"/>
    <w:basedOn w:val="1"/>
    <w:link w:val="128"/>
    <w:qFormat/>
    <w:uiPriority w:val="0"/>
    <w:pPr>
      <w:keepLines/>
      <w:spacing w:before="120" w:after="120" w:line="360" w:lineRule="auto"/>
      <w:contextualSpacing/>
      <w:jc w:val="left"/>
      <w:outlineLvl w:val="2"/>
    </w:pPr>
    <w:rPr>
      <w:rFonts w:ascii="黑体" w:hAnsi="黑体" w:eastAsia="黑体"/>
      <w:b/>
      <w:kern w:val="0"/>
      <w:szCs w:val="36"/>
      <w:lang w:eastAsia="en-US" w:bidi="en-US"/>
    </w:rPr>
  </w:style>
  <w:style w:type="paragraph" w:customStyle="1" w:styleId="126">
    <w:name w:val="!正文"/>
    <w:link w:val="129"/>
    <w:qFormat/>
    <w:uiPriority w:val="0"/>
    <w:pPr>
      <w:spacing w:line="360" w:lineRule="auto"/>
      <w:ind w:firstLine="200" w:firstLineChars="200"/>
    </w:pPr>
    <w:rPr>
      <w:rFonts w:ascii="Times New Roman" w:hAnsi="Times New Roman" w:eastAsia="宋体" w:cs="Times New Roman"/>
      <w:kern w:val="2"/>
      <w:sz w:val="24"/>
      <w:szCs w:val="22"/>
      <w:lang w:val="zh-CN" w:eastAsia="zh-CN" w:bidi="ar-SA"/>
    </w:rPr>
  </w:style>
  <w:style w:type="character" w:customStyle="1" w:styleId="127">
    <w:name w:val="2级标题 Char"/>
    <w:link w:val="124"/>
    <w:qFormat/>
    <w:uiPriority w:val="0"/>
    <w:rPr>
      <w:rFonts w:ascii="黑体" w:hAnsi="黑体" w:eastAsia="黑体"/>
      <w:b/>
      <w:sz w:val="32"/>
      <w:szCs w:val="36"/>
      <w:lang w:eastAsia="en-US" w:bidi="en-US"/>
    </w:rPr>
  </w:style>
  <w:style w:type="character" w:customStyle="1" w:styleId="128">
    <w:name w:val="3级标题 Char"/>
    <w:link w:val="125"/>
    <w:qFormat/>
    <w:uiPriority w:val="0"/>
    <w:rPr>
      <w:rFonts w:ascii="黑体" w:hAnsi="黑体" w:eastAsia="黑体"/>
      <w:b/>
      <w:sz w:val="28"/>
      <w:szCs w:val="36"/>
      <w:lang w:eastAsia="en-US" w:bidi="en-US"/>
    </w:rPr>
  </w:style>
  <w:style w:type="character" w:customStyle="1" w:styleId="129">
    <w:name w:val="!正文 Char"/>
    <w:link w:val="126"/>
    <w:qFormat/>
    <w:uiPriority w:val="0"/>
    <w:rPr>
      <w:kern w:val="2"/>
      <w:sz w:val="24"/>
      <w:szCs w:val="22"/>
      <w:lang w:val="zh-CN" w:bidi="ar-SA"/>
    </w:rPr>
  </w:style>
  <w:style w:type="character" w:customStyle="1" w:styleId="130">
    <w:name w:val="批注文字 Char"/>
    <w:basedOn w:val="43"/>
    <w:link w:val="17"/>
    <w:semiHidden/>
    <w:qFormat/>
    <w:uiPriority w:val="0"/>
    <w:rPr>
      <w:sz w:val="24"/>
    </w:rPr>
  </w:style>
  <w:style w:type="character" w:customStyle="1" w:styleId="131">
    <w:name w:val="批注主题 Char"/>
    <w:basedOn w:val="130"/>
    <w:link w:val="40"/>
    <w:qFormat/>
    <w:uiPriority w:val="0"/>
    <w:rPr>
      <w:sz w:val="24"/>
    </w:rPr>
  </w:style>
  <w:style w:type="character" w:customStyle="1" w:styleId="132">
    <w:name w:val="正文文本缩进 2 Char"/>
    <w:link w:val="29"/>
    <w:qFormat/>
    <w:uiPriority w:val="0"/>
    <w:rPr>
      <w:rFonts w:ascii="宋体" w:hAnsi="宋体"/>
      <w:kern w:val="2"/>
      <w:sz w:val="28"/>
    </w:rPr>
  </w:style>
  <w:style w:type="paragraph" w:customStyle="1" w:styleId="133">
    <w:name w:val="表格文字"/>
    <w:basedOn w:val="1"/>
    <w:next w:val="20"/>
    <w:qFormat/>
    <w:uiPriority w:val="0"/>
    <w:pPr>
      <w:adjustRightInd w:val="0"/>
      <w:spacing w:line="420" w:lineRule="atLeast"/>
      <w:jc w:val="left"/>
      <w:textAlignment w:val="baseline"/>
    </w:pPr>
    <w:rPr>
      <w:kern w:val="0"/>
    </w:rPr>
  </w:style>
  <w:style w:type="paragraph" w:customStyle="1" w:styleId="134">
    <w:name w:val="章正文"/>
    <w:basedOn w:val="1"/>
    <w:qFormat/>
    <w:uiPriority w:val="0"/>
    <w:pPr>
      <w:spacing w:beforeLines="50" w:after="120" w:line="300" w:lineRule="auto"/>
      <w:ind w:firstLine="480"/>
    </w:pPr>
    <w:rPr>
      <w:rFonts w:ascii="Helvetica" w:hAnsi="Helvetica"/>
      <w:kern w:val="0"/>
      <w:sz w:val="24"/>
    </w:rPr>
  </w:style>
  <w:style w:type="paragraph" w:customStyle="1" w:styleId="135">
    <w:name w:val="Table Paragraph"/>
    <w:basedOn w:val="1"/>
    <w:qFormat/>
    <w:uiPriority w:val="1"/>
    <w:rPr>
      <w:rFonts w:ascii="宋体" w:hAnsi="宋体" w:cs="宋体"/>
      <w:lang w:val="zh-CN" w:bidi="zh-CN"/>
    </w:rPr>
  </w:style>
  <w:style w:type="paragraph" w:customStyle="1" w:styleId="136">
    <w:name w:val="样式 标题 1 + 段后: 0.5 行"/>
    <w:basedOn w:val="4"/>
    <w:qFormat/>
    <w:uiPriority w:val="0"/>
    <w:pPr>
      <w:spacing w:before="120" w:afterLines="50"/>
      <w:ind w:left="0" w:firstLine="0"/>
    </w:pPr>
    <w:rPr>
      <w:rFonts w:eastAsia="宋体" w:cs="宋体"/>
      <w:bCs/>
      <w:snapToGrid w:val="0"/>
      <w:sz w:val="28"/>
    </w:rPr>
  </w:style>
  <w:style w:type="paragraph" w:customStyle="1" w:styleId="137">
    <w:name w:val="_Style 8"/>
    <w:basedOn w:val="1"/>
    <w:next w:val="1"/>
    <w:qFormat/>
    <w:uiPriority w:val="0"/>
    <w:pPr>
      <w:pBdr>
        <w:bottom w:val="single" w:color="auto" w:sz="6" w:space="1"/>
      </w:pBdr>
      <w:jc w:val="center"/>
    </w:pPr>
    <w:rPr>
      <w:rFonts w:ascii="Arial"/>
      <w:vanish/>
      <w:sz w:val="16"/>
    </w:rPr>
  </w:style>
  <w:style w:type="paragraph" w:customStyle="1" w:styleId="138">
    <w:name w:val="Other|1"/>
    <w:basedOn w:val="1"/>
    <w:qFormat/>
    <w:uiPriority w:val="0"/>
    <w:pPr>
      <w:spacing w:line="345" w:lineRule="exact"/>
      <w:jc w:val="left"/>
    </w:pPr>
    <w:rPr>
      <w:rFonts w:ascii="MingLiU" w:hAnsi="MingLiU" w:eastAsia="MingLiU" w:cs="MingLiU"/>
      <w:kern w:val="0"/>
      <w:sz w:val="20"/>
      <w:szCs w:val="20"/>
      <w:lang w:val="zh-TW" w:eastAsia="zh-TW" w:bidi="zh-TW"/>
    </w:rPr>
  </w:style>
  <w:style w:type="paragraph" w:customStyle="1" w:styleId="13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40">
    <w:name w:val="c-icon28"/>
    <w:basedOn w:val="43"/>
    <w:qFormat/>
    <w:uiPriority w:val="0"/>
  </w:style>
  <w:style w:type="character" w:customStyle="1" w:styleId="141">
    <w:name w:val="hover24"/>
    <w:basedOn w:val="43"/>
    <w:qFormat/>
    <w:uiPriority w:val="0"/>
  </w:style>
  <w:style w:type="character" w:customStyle="1" w:styleId="142">
    <w:name w:val="hover25"/>
    <w:basedOn w:val="43"/>
    <w:qFormat/>
    <w:uiPriority w:val="0"/>
    <w:rPr>
      <w:color w:val="315EFB"/>
    </w:rPr>
  </w:style>
  <w:style w:type="paragraph" w:customStyle="1" w:styleId="143">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xinxizhongxin</Company>
  <Pages>63</Pages>
  <Words>32225</Words>
  <Characters>5763</Characters>
  <Lines>48</Lines>
  <Paragraphs>75</Paragraphs>
  <TotalTime>18</TotalTime>
  <ScaleCrop>false</ScaleCrop>
  <LinksUpToDate>false</LinksUpToDate>
  <CharactersWithSpaces>37913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2021-03-23T06:08:00Z</dcterms:created>
  <dc:creator>xueyong</dc:creator>
  <cp:lastModifiedBy>？</cp:lastModifiedBy>
  <cp:lastPrinted>2021-07-02T08:41:00Z</cp:lastPrinted>
  <dcterms:modified xsi:type="dcterms:W3CDTF">2021-07-02T08:52:46Z</dcterms:modified>
  <dc:title>目         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79198BE569C84680816AB3C6530B2CBB</vt:lpwstr>
  </property>
</Properties>
</file>