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default"/>
          <w:lang w:val="en-US"/>
        </w:rPr>
      </w:pPr>
      <w:r>
        <w:rPr>
          <w:rFonts w:hint="eastAsia" w:asciiTheme="majorEastAsia" w:hAnsiTheme="majorEastAsia" w:eastAsiaTheme="majorEastAsia" w:cstheme="majorEastAsia"/>
          <w:b/>
          <w:color w:val="000000"/>
          <w:sz w:val="48"/>
          <w:szCs w:val="48"/>
          <w:lang w:val="en-US" w:eastAsia="zh-CN"/>
        </w:rPr>
        <w:t>湖州南浔頔塘府架空层场景装修工程</w:t>
      </w:r>
    </w:p>
    <w:p>
      <w:pPr>
        <w:pStyle w:val="2"/>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jc w:val="center"/>
        <w:rPr>
          <w:rFonts w:ascii="宋体" w:hAnsi="宋体"/>
          <w:b/>
          <w:sz w:val="30"/>
          <w:szCs w:val="30"/>
        </w:rPr>
      </w:pPr>
    </w:p>
    <w:p>
      <w:pPr>
        <w:pStyle w:val="2"/>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7</w:t>
      </w:r>
      <w:r>
        <w:rPr>
          <w:rFonts w:hint="eastAsia" w:ascii="宋体" w:hAnsi="宋体"/>
          <w:b/>
          <w:sz w:val="30"/>
          <w:szCs w:val="30"/>
        </w:rPr>
        <w:t xml:space="preserve">月 </w:t>
      </w:r>
    </w:p>
    <w:p>
      <w:pPr>
        <w:rPr>
          <w:rFonts w:ascii="宋体" w:hAnsi="宋体"/>
          <w:b/>
          <w:sz w:val="30"/>
          <w:szCs w:val="30"/>
        </w:rPr>
      </w:pPr>
    </w:p>
    <w:p>
      <w:pPr>
        <w:pStyle w:val="2"/>
        <w:ind w:left="0" w:leftChars="0" w:firstLine="0" w:firstLineChars="0"/>
        <w:jc w:val="both"/>
      </w:pPr>
    </w:p>
    <w:p>
      <w:pPr>
        <w:pStyle w:val="2"/>
        <w:ind w:left="0" w:leftChars="0" w:firstLine="0" w:firstLineChars="0"/>
        <w:jc w:val="both"/>
      </w:pPr>
    </w:p>
    <w:p>
      <w:pPr>
        <w:autoSpaceDE w:val="0"/>
        <w:autoSpaceDN w:val="0"/>
        <w:adjustRightInd w:val="0"/>
        <w:spacing w:line="240" w:lineRule="auto"/>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kern w:val="0"/>
          <w:sz w:val="21"/>
          <w:szCs w:val="21"/>
          <w:u w:val="single"/>
          <w:lang w:val="en-US" w:eastAsia="zh-CN"/>
        </w:rPr>
        <w:t xml:space="preserve"> </w:t>
      </w:r>
      <w:r>
        <w:rPr>
          <w:rFonts w:hint="eastAsia" w:ascii="宋体" w:hAnsi="宋体" w:eastAsia="宋体" w:cs="宋体"/>
          <w:color w:val="FF0000"/>
          <w:kern w:val="0"/>
          <w:sz w:val="21"/>
          <w:szCs w:val="21"/>
          <w:u w:val="single"/>
          <w:lang w:val="en-US" w:eastAsia="zh-CN" w:bidi="ar-SA"/>
        </w:rPr>
        <w:t>湖州南浔頔塘府架空层场景装修工程</w:t>
      </w:r>
      <w:r>
        <w:rPr>
          <w:rFonts w:hint="eastAsia" w:ascii="宋体" w:hAnsi="宋体" w:cs="宋体"/>
          <w:color w:val="FF0000"/>
          <w:kern w:val="0"/>
          <w:sz w:val="21"/>
          <w:szCs w:val="21"/>
          <w:u w:val="single"/>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pacing w:line="400" w:lineRule="exact"/>
        <w:ind w:left="0" w:leftChars="0" w:firstLine="0" w:firstLineChars="0"/>
        <w:textAlignment w:val="auto"/>
        <w:rPr>
          <w:rFonts w:hint="default" w:eastAsiaTheme="majorEastAsia"/>
          <w:color w:val="000000" w:themeColor="text1"/>
          <w:sz w:val="21"/>
          <w:szCs w:val="21"/>
          <w:lang w:val="en-US"/>
        </w:rPr>
      </w:pPr>
      <w:r>
        <w:rPr>
          <w:rFonts w:hint="eastAsia" w:ascii="宋体" w:hAnsi="宋体" w:cs="TimesNewRomanPSMT"/>
          <w:b/>
          <w:bCs/>
          <w:kern w:val="0"/>
          <w:sz w:val="21"/>
          <w:szCs w:val="21"/>
        </w:rPr>
        <w:t>2.1 工程概况：</w:t>
      </w:r>
      <w:r>
        <w:rPr>
          <w:rFonts w:hint="eastAsia" w:ascii="宋体" w:hAnsi="宋体" w:cs="宋体"/>
          <w:color w:val="FF0000"/>
          <w:kern w:val="0"/>
          <w:sz w:val="21"/>
          <w:szCs w:val="21"/>
          <w:u w:val="none"/>
          <w:lang w:val="en-US" w:eastAsia="zh-CN"/>
        </w:rPr>
        <w:t>湖州頔塘府东苑5#共享交流空间（约9.2㎡）、乐活空间1（约70㎡），东苑12#乐活空间2（约75㎡），西苑4#奇妙空间（约100㎡），代际交流空间（约50㎡），东苑4#物流中转站（约160㎡），东苑7#红叶空间1（约90㎡），红叶空间2（约90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0"/>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eastAsia="宋体" w:cs="宋体"/>
          <w:b w:val="0"/>
          <w:bCs w:val="0"/>
          <w:color w:val="FF0000"/>
          <w:kern w:val="0"/>
          <w:sz w:val="21"/>
          <w:szCs w:val="21"/>
          <w:u w:val="none"/>
          <w:lang w:val="en-US" w:eastAsia="zh-CN" w:bidi="ar-SA"/>
        </w:rPr>
        <w:t>东苑5#共享交流空间（约9.2㎡）、乐活空间1（约70㎡），东苑12#乐活空间2（约75㎡）</w:t>
      </w:r>
      <w:r>
        <w:rPr>
          <w:rFonts w:hint="eastAsia" w:cs="宋体"/>
          <w:b w:val="0"/>
          <w:bCs w:val="0"/>
          <w:color w:val="FF0000"/>
          <w:kern w:val="0"/>
          <w:sz w:val="21"/>
          <w:szCs w:val="21"/>
          <w:u w:val="none"/>
          <w:lang w:val="en-US" w:eastAsia="zh-CN" w:bidi="ar-SA"/>
        </w:rPr>
        <w:t>，</w:t>
      </w:r>
      <w:r>
        <w:rPr>
          <w:rFonts w:hint="eastAsia" w:ascii="宋体" w:hAnsi="宋体" w:eastAsia="宋体" w:cs="宋体"/>
          <w:b w:val="0"/>
          <w:bCs w:val="0"/>
          <w:color w:val="FF0000"/>
          <w:kern w:val="0"/>
          <w:sz w:val="21"/>
          <w:szCs w:val="21"/>
          <w:u w:val="none"/>
          <w:lang w:val="en-US" w:eastAsia="zh-CN" w:bidi="ar-SA"/>
        </w:rPr>
        <w:t>西苑4#奇妙空间（约100㎡），代际交流空间（约50㎡）</w:t>
      </w:r>
      <w:r>
        <w:rPr>
          <w:rFonts w:hint="eastAsia" w:cs="宋体"/>
          <w:b w:val="0"/>
          <w:bCs w:val="0"/>
          <w:color w:val="FF0000"/>
          <w:kern w:val="0"/>
          <w:sz w:val="21"/>
          <w:szCs w:val="21"/>
          <w:u w:val="none"/>
          <w:lang w:val="en-US" w:eastAsia="zh-CN" w:bidi="ar-SA"/>
        </w:rPr>
        <w:t>，</w:t>
      </w:r>
      <w:r>
        <w:rPr>
          <w:rFonts w:hint="eastAsia" w:ascii="宋体" w:hAnsi="宋体" w:eastAsia="宋体" w:cs="宋体"/>
          <w:b w:val="0"/>
          <w:bCs w:val="0"/>
          <w:color w:val="FF0000"/>
          <w:kern w:val="0"/>
          <w:sz w:val="21"/>
          <w:szCs w:val="21"/>
          <w:u w:val="none"/>
          <w:lang w:val="en-US" w:eastAsia="zh-CN" w:bidi="ar-SA"/>
        </w:rPr>
        <w:t>东苑4#物流中转站</w:t>
      </w:r>
      <w:r>
        <w:rPr>
          <w:rFonts w:hint="eastAsia" w:cs="宋体"/>
          <w:b w:val="0"/>
          <w:bCs w:val="0"/>
          <w:color w:val="FF0000"/>
          <w:kern w:val="0"/>
          <w:sz w:val="21"/>
          <w:szCs w:val="21"/>
          <w:u w:val="none"/>
          <w:lang w:val="en-US" w:eastAsia="zh-CN" w:bidi="ar-SA"/>
        </w:rPr>
        <w:t>（便民服务中心）</w:t>
      </w:r>
      <w:r>
        <w:rPr>
          <w:rFonts w:hint="eastAsia" w:ascii="宋体" w:hAnsi="宋体" w:eastAsia="宋体" w:cs="宋体"/>
          <w:b w:val="0"/>
          <w:bCs w:val="0"/>
          <w:color w:val="FF0000"/>
          <w:kern w:val="0"/>
          <w:sz w:val="21"/>
          <w:szCs w:val="21"/>
          <w:u w:val="none"/>
          <w:lang w:val="en-US" w:eastAsia="zh-CN" w:bidi="ar-SA"/>
        </w:rPr>
        <w:t>（约160㎡）</w:t>
      </w:r>
      <w:r>
        <w:rPr>
          <w:rFonts w:hint="eastAsia" w:cs="宋体"/>
          <w:b w:val="0"/>
          <w:bCs w:val="0"/>
          <w:color w:val="FF0000"/>
          <w:kern w:val="0"/>
          <w:sz w:val="21"/>
          <w:szCs w:val="21"/>
          <w:u w:val="none"/>
          <w:lang w:val="en-US" w:eastAsia="zh-CN" w:bidi="ar-SA"/>
        </w:rPr>
        <w:t>，</w:t>
      </w:r>
      <w:r>
        <w:rPr>
          <w:rFonts w:hint="eastAsia" w:ascii="宋体" w:hAnsi="宋体" w:cs="宋体"/>
          <w:b w:val="0"/>
          <w:bCs w:val="0"/>
          <w:color w:val="FF0000"/>
          <w:kern w:val="0"/>
          <w:sz w:val="21"/>
          <w:szCs w:val="21"/>
          <w:u w:val="none"/>
          <w:lang w:val="en-US" w:eastAsia="zh-CN"/>
        </w:rPr>
        <w:t>东苑7#红叶空间1（约90㎡），红叶空间2（约90㎡）</w:t>
      </w:r>
      <w:r>
        <w:rPr>
          <w:rFonts w:hint="eastAsia" w:cs="宋体"/>
          <w:b w:val="0"/>
          <w:bCs w:val="0"/>
          <w:color w:val="FF0000"/>
          <w:kern w:val="0"/>
          <w:sz w:val="21"/>
          <w:szCs w:val="21"/>
          <w:u w:val="none"/>
          <w:lang w:val="en-US" w:eastAsia="zh-CN"/>
        </w:rPr>
        <w:t>；</w:t>
      </w:r>
      <w:r>
        <w:rPr>
          <w:rFonts w:hint="eastAsia" w:ascii="宋体" w:hAnsi="宋体" w:cs="宋体"/>
          <w:b w:val="0"/>
          <w:bCs w:val="0"/>
          <w:color w:val="FF0000"/>
          <w:kern w:val="0"/>
          <w:sz w:val="21"/>
          <w:szCs w:val="21"/>
          <w:u w:val="none"/>
          <w:lang w:val="en-US" w:eastAsia="zh-CN"/>
        </w:rPr>
        <w:t>设计图纸范围内的室内装修、水电及相关设施设备等工程施工</w:t>
      </w:r>
      <w:r>
        <w:rPr>
          <w:rFonts w:hint="eastAsia" w:cs="宋体"/>
          <w:b w:val="0"/>
          <w:bCs w:val="0"/>
          <w:color w:val="FF0000"/>
          <w:kern w:val="0"/>
          <w:sz w:val="21"/>
          <w:szCs w:val="21"/>
          <w:u w:val="none"/>
          <w:lang w:val="en-US" w:eastAsia="zh-CN"/>
        </w:rPr>
        <w:t>，工程施工范围以业主单位要求为准，直至满足功能性要求并达到竣工验收合格为止。</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eastAsia="宋体" w:cs="宋体"/>
          <w:color w:val="FF0000"/>
          <w:kern w:val="0"/>
          <w:sz w:val="21"/>
          <w:szCs w:val="21"/>
          <w:u w:val="single"/>
          <w:lang w:val="en-US" w:eastAsia="zh-CN" w:bidi="ar-SA"/>
        </w:rPr>
        <w:t>湖州南浔頔塘府架空层场景装修工程</w:t>
      </w:r>
      <w:r>
        <w:rPr>
          <w:rFonts w:hint="eastAsia" w:ascii="宋体" w:hAnsi="宋体" w:cs="宋体"/>
          <w:color w:val="FF0000"/>
          <w:kern w:val="0"/>
          <w:sz w:val="21"/>
          <w:szCs w:val="21"/>
          <w:u w:val="single"/>
          <w:lang w:val="en-US" w:eastAsia="zh-CN" w:bidi="ar-SA"/>
        </w:rPr>
        <w:t>劳务分包工程</w:t>
      </w:r>
      <w:r>
        <w:rPr>
          <w:rFonts w:hint="eastAsia" w:ascii="宋体" w:hAnsi="宋体" w:cs="宋体"/>
          <w:kern w:val="0"/>
          <w:sz w:val="21"/>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ascii="宋体" w:hAnsi="宋体" w:cs="宋体"/>
          <w:b w:val="0"/>
          <w:bCs w:val="0"/>
          <w:color w:val="FF0000"/>
          <w:kern w:val="0"/>
          <w:sz w:val="21"/>
          <w:szCs w:val="21"/>
          <w:u w:val="none"/>
          <w:lang w:val="en-US" w:eastAsia="zh-CN"/>
        </w:rPr>
        <w:t>设计图纸范围内的室内装修、水电及相关设施设备等工程施工</w:t>
      </w:r>
      <w:r>
        <w:rPr>
          <w:rFonts w:hint="eastAsia" w:cs="宋体"/>
          <w:b w:val="0"/>
          <w:bCs w:val="0"/>
          <w:color w:val="FF0000"/>
          <w:kern w:val="0"/>
          <w:sz w:val="21"/>
          <w:szCs w:val="21"/>
          <w:u w:val="none"/>
          <w:lang w:val="en-US" w:eastAsia="zh-CN"/>
        </w:rPr>
        <w:t>，工程施工范围以业主单位要求为准，直至满足功能性要求并达到竣工验收合格为止</w:t>
      </w:r>
      <w:r>
        <w:rPr>
          <w:rFonts w:hint="eastAsia" w:ascii="宋体" w:hAnsi="宋体" w:cs="TimesNewRomanPSMT"/>
          <w:color w:val="FF0000"/>
          <w:kern w:val="0"/>
          <w:sz w:val="21"/>
          <w:szCs w:val="21"/>
        </w:rPr>
        <w:t>。</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rPr>
        <w:t>湖州</w:t>
      </w:r>
      <w:r>
        <w:rPr>
          <w:rFonts w:hint="eastAsia" w:ascii="宋体" w:hAnsi="宋体" w:cs="TimesNewRomanPSMT"/>
          <w:color w:val="FF0000"/>
          <w:kern w:val="0"/>
          <w:sz w:val="21"/>
          <w:szCs w:val="21"/>
          <w:lang w:val="en-US" w:eastAsia="zh-CN"/>
        </w:rPr>
        <w:t>南浔区</w:t>
      </w:r>
      <w:r>
        <w:rPr>
          <w:rFonts w:hint="eastAsia" w:ascii="宋体" w:hAnsi="宋体" w:cs="TimesNewRomanPSMT"/>
          <w:color w:val="FF0000"/>
          <w:kern w:val="0"/>
          <w:sz w:val="21"/>
          <w:szCs w:val="21"/>
        </w:rPr>
        <w:t>南浔镇</w:t>
      </w:r>
      <w:r>
        <w:rPr>
          <w:rFonts w:hint="eastAsia" w:ascii="宋体" w:hAnsi="宋体" w:cs="宋体"/>
          <w:color w:val="FF0000"/>
          <w:kern w:val="0"/>
          <w:sz w:val="21"/>
          <w:szCs w:val="21"/>
          <w:u w:val="none"/>
          <w:lang w:val="en-US" w:eastAsia="zh-CN"/>
        </w:rPr>
        <w:t>頔塘府</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为已入湖州南浔城投城市建设集团有限公司劳务资质分包库。</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2021年7月5日至2021年7月7日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18</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暂估总价130万元）</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sz w:val="21"/>
          <w:szCs w:val="21"/>
        </w:rPr>
        <w:t>《工程量清单</w:t>
      </w:r>
      <w:r>
        <w:rPr>
          <w:rFonts w:hint="eastAsia" w:ascii="宋体" w:hAnsi="宋体" w:cs="宋体"/>
          <w:kern w:val="0"/>
          <w:sz w:val="21"/>
          <w:szCs w:val="21"/>
        </w:rPr>
        <w:t>》</w:t>
      </w:r>
      <w:r>
        <w:rPr>
          <w:rFonts w:hint="eastAsia" w:ascii="宋体" w:hAnsi="宋体" w:cs="仿宋_GB2312"/>
          <w:kern w:val="0"/>
          <w:sz w:val="21"/>
          <w:szCs w:val="21"/>
        </w:rPr>
        <w:t>、《施工方案》</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编列内容</w:t>
            </w:r>
          </w:p>
        </w:tc>
      </w:tr>
      <w:tr>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18"/>
                <w:szCs w:val="18"/>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eastAsia="宋体" w:cs="宋体"/>
                <w:color w:val="FF0000"/>
                <w:kern w:val="0"/>
                <w:sz w:val="21"/>
                <w:szCs w:val="21"/>
                <w:u w:val="none"/>
                <w:lang w:val="en-US" w:eastAsia="zh-CN" w:bidi="ar-SA"/>
              </w:rPr>
              <w:t>湖州南浔頔塘府架空层场景装修工程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spacing w:line="240" w:lineRule="auto"/>
              <w:rPr>
                <w:rFonts w:hint="default" w:hAnsi="宋体"/>
                <w:color w:val="FF0000"/>
                <w:szCs w:val="21"/>
                <w:lang w:val="en-US"/>
              </w:rPr>
            </w:pPr>
            <w:r>
              <w:rPr>
                <w:rFonts w:hint="eastAsia" w:ascii="宋体" w:hAnsi="宋体" w:eastAsia="宋体" w:cs="宋体"/>
                <w:b w:val="0"/>
                <w:bCs w:val="0"/>
                <w:color w:val="FF0000"/>
                <w:kern w:val="0"/>
                <w:sz w:val="21"/>
                <w:szCs w:val="21"/>
                <w:u w:val="none"/>
                <w:lang w:val="en-US" w:eastAsia="zh-CN" w:bidi="ar-SA"/>
              </w:rPr>
              <w:t>东苑5#共享交流空间（约9.2㎡）、乐活空间1（约70㎡），东苑12#乐活空间2（约75㎡）</w:t>
            </w:r>
            <w:r>
              <w:rPr>
                <w:rFonts w:hint="eastAsia" w:cs="宋体"/>
                <w:b w:val="0"/>
                <w:bCs w:val="0"/>
                <w:color w:val="FF0000"/>
                <w:kern w:val="0"/>
                <w:sz w:val="21"/>
                <w:szCs w:val="21"/>
                <w:u w:val="none"/>
                <w:lang w:val="en-US" w:eastAsia="zh-CN" w:bidi="ar-SA"/>
              </w:rPr>
              <w:t>，</w:t>
            </w:r>
            <w:r>
              <w:rPr>
                <w:rFonts w:hint="eastAsia" w:ascii="宋体" w:hAnsi="宋体" w:eastAsia="宋体" w:cs="宋体"/>
                <w:b w:val="0"/>
                <w:bCs w:val="0"/>
                <w:color w:val="FF0000"/>
                <w:kern w:val="0"/>
                <w:sz w:val="21"/>
                <w:szCs w:val="21"/>
                <w:u w:val="none"/>
                <w:lang w:val="en-US" w:eastAsia="zh-CN" w:bidi="ar-SA"/>
              </w:rPr>
              <w:t>西苑4#奇妙空间（约100㎡），代际交流空间（约50㎡）</w:t>
            </w:r>
            <w:r>
              <w:rPr>
                <w:rFonts w:hint="eastAsia" w:cs="宋体"/>
                <w:b w:val="0"/>
                <w:bCs w:val="0"/>
                <w:color w:val="FF0000"/>
                <w:kern w:val="0"/>
                <w:sz w:val="21"/>
                <w:szCs w:val="21"/>
                <w:u w:val="none"/>
                <w:lang w:val="en-US" w:eastAsia="zh-CN" w:bidi="ar-SA"/>
              </w:rPr>
              <w:t>，</w:t>
            </w:r>
            <w:r>
              <w:rPr>
                <w:rFonts w:hint="eastAsia" w:ascii="宋体" w:hAnsi="宋体" w:eastAsia="宋体" w:cs="宋体"/>
                <w:b w:val="0"/>
                <w:bCs w:val="0"/>
                <w:color w:val="FF0000"/>
                <w:kern w:val="0"/>
                <w:sz w:val="21"/>
                <w:szCs w:val="21"/>
                <w:u w:val="none"/>
                <w:lang w:val="en-US" w:eastAsia="zh-CN" w:bidi="ar-SA"/>
              </w:rPr>
              <w:t>东苑4#物流中转站</w:t>
            </w:r>
            <w:r>
              <w:rPr>
                <w:rFonts w:hint="eastAsia" w:cs="宋体"/>
                <w:b w:val="0"/>
                <w:bCs w:val="0"/>
                <w:color w:val="FF0000"/>
                <w:kern w:val="0"/>
                <w:sz w:val="21"/>
                <w:szCs w:val="21"/>
                <w:u w:val="none"/>
                <w:lang w:val="en-US" w:eastAsia="zh-CN" w:bidi="ar-SA"/>
              </w:rPr>
              <w:t>（便民服务中心）</w:t>
            </w:r>
            <w:r>
              <w:rPr>
                <w:rFonts w:hint="eastAsia" w:ascii="宋体" w:hAnsi="宋体" w:eastAsia="宋体" w:cs="宋体"/>
                <w:b w:val="0"/>
                <w:bCs w:val="0"/>
                <w:color w:val="FF0000"/>
                <w:kern w:val="0"/>
                <w:sz w:val="21"/>
                <w:szCs w:val="21"/>
                <w:u w:val="none"/>
                <w:lang w:val="en-US" w:eastAsia="zh-CN" w:bidi="ar-SA"/>
              </w:rPr>
              <w:t>（约160㎡）</w:t>
            </w:r>
            <w:r>
              <w:rPr>
                <w:rFonts w:hint="eastAsia" w:cs="宋体"/>
                <w:b w:val="0"/>
                <w:bCs w:val="0"/>
                <w:color w:val="FF0000"/>
                <w:kern w:val="0"/>
                <w:sz w:val="21"/>
                <w:szCs w:val="21"/>
                <w:u w:val="none"/>
                <w:lang w:val="en-US" w:eastAsia="zh-CN" w:bidi="ar-SA"/>
              </w:rPr>
              <w:t>，</w:t>
            </w:r>
            <w:r>
              <w:rPr>
                <w:rFonts w:hint="eastAsia" w:ascii="宋体" w:hAnsi="宋体" w:cs="宋体"/>
                <w:b w:val="0"/>
                <w:bCs w:val="0"/>
                <w:color w:val="FF0000"/>
                <w:kern w:val="0"/>
                <w:sz w:val="21"/>
                <w:szCs w:val="21"/>
                <w:u w:val="none"/>
                <w:lang w:val="en-US" w:eastAsia="zh-CN"/>
              </w:rPr>
              <w:t>东苑7#红叶空间1（约90㎡），红叶空间2（约90㎡）</w:t>
            </w:r>
            <w:r>
              <w:rPr>
                <w:rFonts w:hint="eastAsia" w:cs="宋体"/>
                <w:b w:val="0"/>
                <w:bCs w:val="0"/>
                <w:color w:val="FF0000"/>
                <w:kern w:val="0"/>
                <w:sz w:val="21"/>
                <w:szCs w:val="21"/>
                <w:u w:val="none"/>
                <w:lang w:val="en-US" w:eastAsia="zh-CN"/>
              </w:rPr>
              <w:t>；</w:t>
            </w:r>
            <w:r>
              <w:rPr>
                <w:rFonts w:hint="eastAsia" w:ascii="宋体" w:hAnsi="宋体" w:cs="宋体"/>
                <w:b w:val="0"/>
                <w:bCs w:val="0"/>
                <w:color w:val="FF0000"/>
                <w:kern w:val="0"/>
                <w:sz w:val="21"/>
                <w:szCs w:val="21"/>
                <w:u w:val="none"/>
                <w:lang w:val="en-US" w:eastAsia="zh-CN"/>
              </w:rPr>
              <w:t>设计图纸范围内的室内装修、水电及相关设施设备等工程施工</w:t>
            </w:r>
            <w:r>
              <w:rPr>
                <w:rFonts w:hint="eastAsia" w:cs="宋体"/>
                <w:b w:val="0"/>
                <w:bCs w:val="0"/>
                <w:color w:val="FF0000"/>
                <w:kern w:val="0"/>
                <w:sz w:val="21"/>
                <w:szCs w:val="21"/>
                <w:u w:val="none"/>
                <w:lang w:val="en-US" w:eastAsia="zh-CN"/>
              </w:rPr>
              <w:t>，工程施工范围以业主单位要求为准，直至满足功能性要求并达到竣工验收合格为止。</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0000FF"/>
                <w:sz w:val="21"/>
                <w:szCs w:val="21"/>
                <w:lang w:val="en-US" w:eastAsia="zh-CN"/>
              </w:rPr>
              <w:t>45</w:t>
            </w:r>
            <w:r>
              <w:rPr>
                <w:rFonts w:hint="eastAsia" w:hAnsi="宋体"/>
                <w:color w:val="0000FF"/>
                <w:sz w:val="21"/>
                <w:szCs w:val="21"/>
              </w:rPr>
              <w:t>日历天</w:t>
            </w:r>
            <w:r>
              <w:rPr>
                <w:rFonts w:hint="eastAsia" w:hAnsi="宋体"/>
                <w:color w:val="0000FF"/>
                <w:sz w:val="21"/>
                <w:szCs w:val="21"/>
                <w:lang w:eastAsia="zh-CN"/>
              </w:rPr>
              <w:t>，</w:t>
            </w:r>
            <w:r>
              <w:rPr>
                <w:rFonts w:hint="eastAsia" w:hAnsi="宋体"/>
                <w:color w:val="0000FF"/>
                <w:sz w:val="21"/>
                <w:szCs w:val="21"/>
                <w:lang w:val="en-US" w:eastAsia="zh-CN"/>
              </w:rPr>
              <w:t>具体以业主要求为准</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9"/>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2021年7月12日（具体以业主要求为准）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7</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7</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图纸；</w:t>
      </w:r>
      <w:r>
        <w:rPr>
          <w:rFonts w:hint="eastAsia" w:ascii="宋体" w:hAnsi="宋体" w:cs="仿宋_GB2312"/>
          <w:color w:val="FF0000"/>
          <w:kern w:val="0"/>
          <w:szCs w:val="21"/>
        </w:rPr>
        <w:t>（</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ascii="宋体" w:hAnsi="宋体" w:cs="仿宋_GB2312"/>
          <w:kern w:val="0"/>
          <w:szCs w:val="21"/>
        </w:rPr>
        <w:t>、《分包项目管理人员表》、《项目管理组织机构》，分包项目管理人员名单附相对应人员的有效证件。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 评标办法: 综合评分法。</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spacing w:after="0" w:line="240" w:lineRule="auto"/>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96590983"/>
      <w:bookmarkStart w:id="3" w:name="_Toc246996219"/>
      <w:bookmarkStart w:id="4" w:name="_Toc152045575"/>
      <w:bookmarkStart w:id="5" w:name="_Toc246996962"/>
      <w:bookmarkStart w:id="6" w:name="_Toc179632593"/>
      <w:bookmarkStart w:id="7" w:name="_Toc296602462"/>
      <w:bookmarkStart w:id="8" w:name="_Toc152042351"/>
      <w:bookmarkStart w:id="9" w:name="_Toc144974543"/>
      <w:bookmarkStart w:id="10" w:name="_Toc24708573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152045576"/>
      <w:bookmarkStart w:id="12" w:name="_Toc247085734"/>
      <w:bookmarkStart w:id="13" w:name="_Toc246996220"/>
      <w:bookmarkStart w:id="14" w:name="_Toc144974544"/>
      <w:bookmarkStart w:id="15" w:name="_Toc246996963"/>
      <w:bookmarkStart w:id="16" w:name="_Toc296602463"/>
      <w:bookmarkStart w:id="17" w:name="_Toc152042352"/>
      <w:bookmarkStart w:id="18" w:name="_Toc179632594"/>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247085735"/>
      <w:bookmarkStart w:id="20" w:name="_Toc152045577"/>
      <w:bookmarkStart w:id="21" w:name="_Toc152042353"/>
      <w:bookmarkStart w:id="22" w:name="_Toc179632595"/>
      <w:bookmarkStart w:id="23" w:name="_Toc296602464"/>
      <w:bookmarkStart w:id="24" w:name="_Toc144974545"/>
      <w:bookmarkStart w:id="25" w:name="_Toc246996964"/>
      <w:bookmarkStart w:id="26" w:name="_Toc246996221"/>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179632596"/>
      <w:bookmarkStart w:id="28" w:name="_Toc246996965"/>
      <w:bookmarkStart w:id="29" w:name="_Toc246996222"/>
      <w:bookmarkStart w:id="30" w:name="_Toc152042354"/>
      <w:bookmarkStart w:id="31" w:name="_Toc152045578"/>
      <w:bookmarkStart w:id="32" w:name="_Toc247085736"/>
      <w:bookmarkStart w:id="33" w:name="_Toc296602465"/>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246996223"/>
      <w:bookmarkStart w:id="37" w:name="_Toc247085737"/>
      <w:bookmarkStart w:id="38" w:name="_Toc152042356"/>
      <w:bookmarkStart w:id="39" w:name="_Toc179632597"/>
      <w:bookmarkStart w:id="40" w:name="_Toc246996966"/>
      <w:bookmarkStart w:id="41" w:name="_Toc296602466"/>
      <w:bookmarkStart w:id="42" w:name="_Toc152045579"/>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pPr>
      <w:r>
        <w:rPr>
          <w:rFonts w:hint="eastAsia" w:ascii="宋体" w:hAnsi="宋体" w:cs="TimesNewRomanPSMT"/>
          <w:kern w:val="0"/>
          <w:szCs w:val="21"/>
        </w:rPr>
        <w:t>投标人和其他利害关系人认为本次招标活动违反法律、法规和规章规定的，有权向南浔城投集团纪检部门投诉。</w:t>
      </w:r>
    </w:p>
    <w:p>
      <w:pPr>
        <w:pStyle w:val="2"/>
        <w:spacing w:after="0" w:line="240" w:lineRule="auto"/>
        <w:ind w:left="0" w:leftChars="0" w:right="0" w:rightChars="0" w:firstLine="0" w:firstLineChars="0"/>
        <w:rPr>
          <w:rFonts w:hint="eastAsia"/>
          <w:b/>
          <w:bCs/>
          <w:lang w:val="en-US" w:eastAsia="zh-CN"/>
        </w:rPr>
      </w:pPr>
      <w:r>
        <w:rPr>
          <w:rFonts w:hint="eastAsia"/>
          <w:b/>
          <w:bCs/>
          <w:lang w:val="en-US" w:eastAsia="zh-CN"/>
        </w:rPr>
        <w:t>第三章评分方法</w:t>
      </w:r>
    </w:p>
    <w:tbl>
      <w:tblPr>
        <w:tblStyle w:val="13"/>
        <w:tblpPr w:leftFromText="180" w:rightFromText="180" w:vertAnchor="text" w:horzAnchor="page" w:tblpX="763" w:tblpY="192"/>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385"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hint="default" w:ascii="宋体" w:cs="宋体"/>
                <w:kern w:val="0"/>
                <w:szCs w:val="21"/>
                <w:lang w:val="en-US"/>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rPr>
          <w:rFonts w:hint="default"/>
          <w:b/>
          <w:bCs/>
          <w:lang w:val="en-US" w:eastAsia="zh-CN"/>
        </w:rPr>
      </w:pPr>
    </w:p>
    <w:p>
      <w:pPr>
        <w:pStyle w:val="2"/>
        <w:spacing w:after="0" w:line="240" w:lineRule="auto"/>
        <w:ind w:left="0" w:leftChars="0" w:right="0" w:rightChars="0" w:firstLine="0" w:firstLineChars="0"/>
        <w:rPr>
          <w:rFonts w:hint="default"/>
          <w:b/>
          <w:bCs/>
          <w:lang w:val="en-US" w:eastAsia="zh-CN"/>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水泥砂浆、轻质砖、标准砖、地砖、石材、墙砖、涂料、板材、钢化玻璃、铝板、洁具、管材、电线、灯具、洁具等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工程完工</w:t>
      </w:r>
      <w:r>
        <w:rPr>
          <w:rFonts w:hint="eastAsia" w:ascii="宋体" w:hAnsi="宋体" w:cs="宋体"/>
          <w:b/>
          <w:color w:val="FF0000"/>
          <w:kern w:val="2"/>
          <w:sz w:val="21"/>
          <w:szCs w:val="21"/>
          <w:u w:val="none"/>
        </w:rPr>
        <w:t>支付至实际完成工程量的</w:t>
      </w:r>
      <w:r>
        <w:rPr>
          <w:rFonts w:hint="eastAsia" w:ascii="宋体" w:hAnsi="宋体" w:cs="宋体"/>
          <w:b/>
          <w:color w:val="FF0000"/>
          <w:kern w:val="2"/>
          <w:sz w:val="21"/>
          <w:szCs w:val="21"/>
          <w:u w:val="none"/>
          <w:lang w:val="en-US" w:eastAsia="zh-CN"/>
        </w:rPr>
        <w:t>50</w:t>
      </w:r>
      <w:r>
        <w:rPr>
          <w:rFonts w:hint="eastAsia" w:ascii="宋体" w:hAnsi="宋体" w:cs="宋体"/>
          <w:b/>
          <w:color w:val="FF0000"/>
          <w:kern w:val="2"/>
          <w:sz w:val="21"/>
          <w:szCs w:val="21"/>
          <w:u w:val="none"/>
        </w:rPr>
        <w:t>%，审计完成支付至审计价的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ind w:left="63"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14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ind w:left="0" w:leftChars="0" w:right="63"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五、</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六、</w:t>
      </w:r>
      <w:r>
        <w:rPr>
          <w:rFonts w:hint="eastAsia" w:ascii="宋体" w:hAnsi="宋体" w:cs="仿宋_GB2312"/>
          <w:kern w:val="0"/>
          <w:szCs w:val="21"/>
        </w:rPr>
        <w:t>《项目管理组织机构》</w:t>
      </w:r>
    </w:p>
    <w:p>
      <w:pPr>
        <w:pStyle w:val="2"/>
        <w:ind w:left="0" w:leftChars="0" w:firstLine="0" w:firstLineChars="0"/>
        <w:jc w:val="both"/>
        <w:rPr>
          <w:rFonts w:hint="eastAsia" w:ascii="宋体" w:hAnsi="宋体" w:cs="仿宋_GB2312"/>
          <w:kern w:val="0"/>
          <w:szCs w:val="21"/>
          <w:lang w:eastAsia="zh-CN"/>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pStyle w:val="2"/>
        <w:ind w:left="0" w:leftChars="0" w:firstLine="0" w:firstLineChars="0"/>
        <w:jc w:val="both"/>
        <w:rPr>
          <w:rFonts w:eastAsia="黑体"/>
          <w:b/>
          <w:bCs/>
          <w:sz w:val="32"/>
        </w:rPr>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bookmarkStart w:id="44" w:name="_GoBack"/>
      <w:bookmarkEnd w:id="44"/>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24535"/>
    <w:multiLevelType w:val="singleLevel"/>
    <w:tmpl w:val="21A24535"/>
    <w:lvl w:ilvl="0" w:tentative="0">
      <w:start w:val="6"/>
      <w:numFmt w:val="decimal"/>
      <w:suff w:val="space"/>
      <w:lvlText w:val="%1."/>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3A5A36"/>
    <w:rsid w:val="02555A6F"/>
    <w:rsid w:val="02A16E5B"/>
    <w:rsid w:val="02D15D88"/>
    <w:rsid w:val="02E749BB"/>
    <w:rsid w:val="032D0193"/>
    <w:rsid w:val="0367677F"/>
    <w:rsid w:val="03676E56"/>
    <w:rsid w:val="03A00125"/>
    <w:rsid w:val="043A0533"/>
    <w:rsid w:val="04573C41"/>
    <w:rsid w:val="0462666F"/>
    <w:rsid w:val="047A724B"/>
    <w:rsid w:val="04A27AD6"/>
    <w:rsid w:val="04DA4E56"/>
    <w:rsid w:val="04EB7E87"/>
    <w:rsid w:val="05124135"/>
    <w:rsid w:val="051E0E9A"/>
    <w:rsid w:val="052D6729"/>
    <w:rsid w:val="059841B5"/>
    <w:rsid w:val="05BF6198"/>
    <w:rsid w:val="05F7114B"/>
    <w:rsid w:val="05F717DB"/>
    <w:rsid w:val="07870DD4"/>
    <w:rsid w:val="07933142"/>
    <w:rsid w:val="07A05E7D"/>
    <w:rsid w:val="07DF3C55"/>
    <w:rsid w:val="08103BAC"/>
    <w:rsid w:val="08687625"/>
    <w:rsid w:val="08785560"/>
    <w:rsid w:val="08995DA8"/>
    <w:rsid w:val="08D46119"/>
    <w:rsid w:val="09361A12"/>
    <w:rsid w:val="09451A80"/>
    <w:rsid w:val="099F3E40"/>
    <w:rsid w:val="09B54D47"/>
    <w:rsid w:val="09B745A5"/>
    <w:rsid w:val="09CF5737"/>
    <w:rsid w:val="0A2441B5"/>
    <w:rsid w:val="0A5A5EBE"/>
    <w:rsid w:val="0AAC6BE4"/>
    <w:rsid w:val="0AB32181"/>
    <w:rsid w:val="0AB61377"/>
    <w:rsid w:val="0ADE2021"/>
    <w:rsid w:val="0AE66846"/>
    <w:rsid w:val="0B4A311D"/>
    <w:rsid w:val="0B7C0129"/>
    <w:rsid w:val="0BA056F7"/>
    <w:rsid w:val="0BAF2250"/>
    <w:rsid w:val="0C090849"/>
    <w:rsid w:val="0C715A9F"/>
    <w:rsid w:val="0CA72033"/>
    <w:rsid w:val="0CB57E44"/>
    <w:rsid w:val="0CBB11BF"/>
    <w:rsid w:val="0D00419D"/>
    <w:rsid w:val="0D060ACA"/>
    <w:rsid w:val="0D1E7589"/>
    <w:rsid w:val="0D2C79B1"/>
    <w:rsid w:val="0D395ADB"/>
    <w:rsid w:val="0DA10CD9"/>
    <w:rsid w:val="0DAA3778"/>
    <w:rsid w:val="0DC937C0"/>
    <w:rsid w:val="0DDE73FA"/>
    <w:rsid w:val="0E703A00"/>
    <w:rsid w:val="0EB964D6"/>
    <w:rsid w:val="0ED9012F"/>
    <w:rsid w:val="0EE11F93"/>
    <w:rsid w:val="0F062706"/>
    <w:rsid w:val="0F07103E"/>
    <w:rsid w:val="0F2E3A4B"/>
    <w:rsid w:val="0FA00107"/>
    <w:rsid w:val="0FAE4BA9"/>
    <w:rsid w:val="0FDA2C64"/>
    <w:rsid w:val="100F0015"/>
    <w:rsid w:val="10163297"/>
    <w:rsid w:val="10B412E9"/>
    <w:rsid w:val="11151C5F"/>
    <w:rsid w:val="11342AE3"/>
    <w:rsid w:val="11547BE0"/>
    <w:rsid w:val="11E20196"/>
    <w:rsid w:val="122C41A2"/>
    <w:rsid w:val="1260013F"/>
    <w:rsid w:val="12666D58"/>
    <w:rsid w:val="12C90B50"/>
    <w:rsid w:val="135E32A2"/>
    <w:rsid w:val="13745BA1"/>
    <w:rsid w:val="13CD26E2"/>
    <w:rsid w:val="149B3D57"/>
    <w:rsid w:val="14BD4BDD"/>
    <w:rsid w:val="14DD050E"/>
    <w:rsid w:val="14F50E75"/>
    <w:rsid w:val="14F711DC"/>
    <w:rsid w:val="151B72C0"/>
    <w:rsid w:val="15461AA9"/>
    <w:rsid w:val="1546360D"/>
    <w:rsid w:val="15A47628"/>
    <w:rsid w:val="15DF0493"/>
    <w:rsid w:val="1636706C"/>
    <w:rsid w:val="16661441"/>
    <w:rsid w:val="16692D06"/>
    <w:rsid w:val="16711CA5"/>
    <w:rsid w:val="16C0024D"/>
    <w:rsid w:val="17193619"/>
    <w:rsid w:val="172B78C9"/>
    <w:rsid w:val="174C7528"/>
    <w:rsid w:val="1766153D"/>
    <w:rsid w:val="177D0DF0"/>
    <w:rsid w:val="178D7750"/>
    <w:rsid w:val="17E76070"/>
    <w:rsid w:val="17FC683D"/>
    <w:rsid w:val="18367CDA"/>
    <w:rsid w:val="18A373BF"/>
    <w:rsid w:val="18F5009D"/>
    <w:rsid w:val="191C650D"/>
    <w:rsid w:val="19C26E47"/>
    <w:rsid w:val="1A377E4D"/>
    <w:rsid w:val="1A417455"/>
    <w:rsid w:val="1A55578A"/>
    <w:rsid w:val="1A761E92"/>
    <w:rsid w:val="1A8643C5"/>
    <w:rsid w:val="1A8804E1"/>
    <w:rsid w:val="1ABE2171"/>
    <w:rsid w:val="1B5A6839"/>
    <w:rsid w:val="1B7431C3"/>
    <w:rsid w:val="1BA96FBE"/>
    <w:rsid w:val="1BC70C49"/>
    <w:rsid w:val="1BF965A1"/>
    <w:rsid w:val="1C107DE9"/>
    <w:rsid w:val="1C133FA6"/>
    <w:rsid w:val="1C3800B2"/>
    <w:rsid w:val="1C5B3FD4"/>
    <w:rsid w:val="1C811351"/>
    <w:rsid w:val="1C97489E"/>
    <w:rsid w:val="1C9F69B8"/>
    <w:rsid w:val="1CD70817"/>
    <w:rsid w:val="1CDA4153"/>
    <w:rsid w:val="1D8E30F7"/>
    <w:rsid w:val="1E851020"/>
    <w:rsid w:val="1EF403AD"/>
    <w:rsid w:val="1F207B44"/>
    <w:rsid w:val="1FA03DAE"/>
    <w:rsid w:val="1FAA3C18"/>
    <w:rsid w:val="1FED51FB"/>
    <w:rsid w:val="203D5C7A"/>
    <w:rsid w:val="204A18F4"/>
    <w:rsid w:val="204F4146"/>
    <w:rsid w:val="20CC075D"/>
    <w:rsid w:val="210B711D"/>
    <w:rsid w:val="217A2E8F"/>
    <w:rsid w:val="21AD2AA9"/>
    <w:rsid w:val="22B34C3F"/>
    <w:rsid w:val="22ED209B"/>
    <w:rsid w:val="23073830"/>
    <w:rsid w:val="236D774B"/>
    <w:rsid w:val="2417309F"/>
    <w:rsid w:val="243E2265"/>
    <w:rsid w:val="2472448D"/>
    <w:rsid w:val="252400AA"/>
    <w:rsid w:val="25372ADE"/>
    <w:rsid w:val="254F32AC"/>
    <w:rsid w:val="25BB1B2D"/>
    <w:rsid w:val="25D87FB3"/>
    <w:rsid w:val="25DE77BD"/>
    <w:rsid w:val="25EC2C8E"/>
    <w:rsid w:val="2648468A"/>
    <w:rsid w:val="264A1A74"/>
    <w:rsid w:val="27225448"/>
    <w:rsid w:val="27266761"/>
    <w:rsid w:val="2746156A"/>
    <w:rsid w:val="278D5A4A"/>
    <w:rsid w:val="27936D0C"/>
    <w:rsid w:val="280B7FEB"/>
    <w:rsid w:val="28450F6C"/>
    <w:rsid w:val="284C16B1"/>
    <w:rsid w:val="28577024"/>
    <w:rsid w:val="28A66FD2"/>
    <w:rsid w:val="29081179"/>
    <w:rsid w:val="2926030A"/>
    <w:rsid w:val="298D54E1"/>
    <w:rsid w:val="29912B2A"/>
    <w:rsid w:val="29933E95"/>
    <w:rsid w:val="2A502BDE"/>
    <w:rsid w:val="2A610E88"/>
    <w:rsid w:val="2AA236A8"/>
    <w:rsid w:val="2AF77B9D"/>
    <w:rsid w:val="2AFB52E4"/>
    <w:rsid w:val="2B040840"/>
    <w:rsid w:val="2B2733B9"/>
    <w:rsid w:val="2B297FDE"/>
    <w:rsid w:val="2B2E699C"/>
    <w:rsid w:val="2B797A36"/>
    <w:rsid w:val="2C023541"/>
    <w:rsid w:val="2C2C542E"/>
    <w:rsid w:val="2C7173E0"/>
    <w:rsid w:val="2C8E4D82"/>
    <w:rsid w:val="2CD03054"/>
    <w:rsid w:val="2CD87789"/>
    <w:rsid w:val="2D0A27D8"/>
    <w:rsid w:val="2D3C001D"/>
    <w:rsid w:val="2D505B75"/>
    <w:rsid w:val="2D7E320A"/>
    <w:rsid w:val="2DD122C7"/>
    <w:rsid w:val="2E085135"/>
    <w:rsid w:val="2E4D7EDF"/>
    <w:rsid w:val="2E5C0F57"/>
    <w:rsid w:val="2E784EE0"/>
    <w:rsid w:val="2EC921D2"/>
    <w:rsid w:val="2EE66A28"/>
    <w:rsid w:val="2F153231"/>
    <w:rsid w:val="2F244316"/>
    <w:rsid w:val="2F2B4635"/>
    <w:rsid w:val="2F3C7172"/>
    <w:rsid w:val="2F6912D0"/>
    <w:rsid w:val="2FB14A43"/>
    <w:rsid w:val="2FE47620"/>
    <w:rsid w:val="2FEE4A3B"/>
    <w:rsid w:val="2FEE5699"/>
    <w:rsid w:val="300C7997"/>
    <w:rsid w:val="302A57BB"/>
    <w:rsid w:val="303B7986"/>
    <w:rsid w:val="30AE1D52"/>
    <w:rsid w:val="30E7266C"/>
    <w:rsid w:val="30EA5331"/>
    <w:rsid w:val="311A0F54"/>
    <w:rsid w:val="315111F1"/>
    <w:rsid w:val="316A42B7"/>
    <w:rsid w:val="316C2015"/>
    <w:rsid w:val="317B512E"/>
    <w:rsid w:val="31DD28EC"/>
    <w:rsid w:val="31F34B0C"/>
    <w:rsid w:val="31F74D74"/>
    <w:rsid w:val="32293DF3"/>
    <w:rsid w:val="329C70DF"/>
    <w:rsid w:val="329D0E07"/>
    <w:rsid w:val="32F857F4"/>
    <w:rsid w:val="33352B46"/>
    <w:rsid w:val="334A7AE4"/>
    <w:rsid w:val="336A45BE"/>
    <w:rsid w:val="33D93647"/>
    <w:rsid w:val="33E24E2C"/>
    <w:rsid w:val="33F3561C"/>
    <w:rsid w:val="33F4138D"/>
    <w:rsid w:val="341325A0"/>
    <w:rsid w:val="344C2238"/>
    <w:rsid w:val="34B93D28"/>
    <w:rsid w:val="34C01173"/>
    <w:rsid w:val="34C67B9A"/>
    <w:rsid w:val="34E300BF"/>
    <w:rsid w:val="351F234A"/>
    <w:rsid w:val="35530BF6"/>
    <w:rsid w:val="360D6341"/>
    <w:rsid w:val="36AA2F1D"/>
    <w:rsid w:val="37727DA2"/>
    <w:rsid w:val="37BC4D26"/>
    <w:rsid w:val="37C2711A"/>
    <w:rsid w:val="3822589D"/>
    <w:rsid w:val="38761F63"/>
    <w:rsid w:val="394E7DD5"/>
    <w:rsid w:val="396A5DF5"/>
    <w:rsid w:val="39734A06"/>
    <w:rsid w:val="39A8483F"/>
    <w:rsid w:val="39CB45BD"/>
    <w:rsid w:val="39FC39DC"/>
    <w:rsid w:val="3A0F0192"/>
    <w:rsid w:val="3A142266"/>
    <w:rsid w:val="3A451C64"/>
    <w:rsid w:val="3A6A62BD"/>
    <w:rsid w:val="3AE64A6A"/>
    <w:rsid w:val="3AF10675"/>
    <w:rsid w:val="3B4343B6"/>
    <w:rsid w:val="3B4D3B9C"/>
    <w:rsid w:val="3B6D0AC3"/>
    <w:rsid w:val="3B920879"/>
    <w:rsid w:val="3C36656E"/>
    <w:rsid w:val="3CEC1361"/>
    <w:rsid w:val="3D2C178A"/>
    <w:rsid w:val="3D6067DA"/>
    <w:rsid w:val="3DA12DAE"/>
    <w:rsid w:val="3DD570E9"/>
    <w:rsid w:val="3DF20FA0"/>
    <w:rsid w:val="3E0747AF"/>
    <w:rsid w:val="3E1A638D"/>
    <w:rsid w:val="3EB1152D"/>
    <w:rsid w:val="3EE44295"/>
    <w:rsid w:val="3F30557D"/>
    <w:rsid w:val="3F3C3A0D"/>
    <w:rsid w:val="3FCD4482"/>
    <w:rsid w:val="3FD203D8"/>
    <w:rsid w:val="3FDA2369"/>
    <w:rsid w:val="3FF85F20"/>
    <w:rsid w:val="40212731"/>
    <w:rsid w:val="402772FD"/>
    <w:rsid w:val="402E1A6D"/>
    <w:rsid w:val="406A0379"/>
    <w:rsid w:val="41231EC9"/>
    <w:rsid w:val="423C377E"/>
    <w:rsid w:val="436F71BF"/>
    <w:rsid w:val="437012D3"/>
    <w:rsid w:val="437A2EB2"/>
    <w:rsid w:val="442C5A9F"/>
    <w:rsid w:val="4438633C"/>
    <w:rsid w:val="443C5FEA"/>
    <w:rsid w:val="44500D2A"/>
    <w:rsid w:val="44F7272B"/>
    <w:rsid w:val="45657083"/>
    <w:rsid w:val="456617F3"/>
    <w:rsid w:val="45B10D60"/>
    <w:rsid w:val="45CC74A1"/>
    <w:rsid w:val="4640722E"/>
    <w:rsid w:val="464B6C7B"/>
    <w:rsid w:val="464F5C1E"/>
    <w:rsid w:val="46881C02"/>
    <w:rsid w:val="46AB7B44"/>
    <w:rsid w:val="46F7316C"/>
    <w:rsid w:val="470F4577"/>
    <w:rsid w:val="473B3EDA"/>
    <w:rsid w:val="4752442F"/>
    <w:rsid w:val="475E748F"/>
    <w:rsid w:val="4765523D"/>
    <w:rsid w:val="47901A9F"/>
    <w:rsid w:val="47922799"/>
    <w:rsid w:val="47D97FC7"/>
    <w:rsid w:val="48000BC3"/>
    <w:rsid w:val="480F276E"/>
    <w:rsid w:val="484527E2"/>
    <w:rsid w:val="48613C38"/>
    <w:rsid w:val="48C30900"/>
    <w:rsid w:val="494B6911"/>
    <w:rsid w:val="49AB468B"/>
    <w:rsid w:val="4A600199"/>
    <w:rsid w:val="4BE50202"/>
    <w:rsid w:val="4C203459"/>
    <w:rsid w:val="4C4F5739"/>
    <w:rsid w:val="4CC625AA"/>
    <w:rsid w:val="4D1F409E"/>
    <w:rsid w:val="4D6F1D0C"/>
    <w:rsid w:val="4D755439"/>
    <w:rsid w:val="4DBC074D"/>
    <w:rsid w:val="4DC73A64"/>
    <w:rsid w:val="4DE60D42"/>
    <w:rsid w:val="4E175D28"/>
    <w:rsid w:val="4E69264D"/>
    <w:rsid w:val="4EC206EE"/>
    <w:rsid w:val="4ED652C6"/>
    <w:rsid w:val="4EFB7579"/>
    <w:rsid w:val="4F0931EA"/>
    <w:rsid w:val="4F676E75"/>
    <w:rsid w:val="504101F5"/>
    <w:rsid w:val="50484332"/>
    <w:rsid w:val="505D1263"/>
    <w:rsid w:val="50E10D0C"/>
    <w:rsid w:val="51564AF1"/>
    <w:rsid w:val="51EC3B57"/>
    <w:rsid w:val="51F5100B"/>
    <w:rsid w:val="522D1344"/>
    <w:rsid w:val="528A7AE7"/>
    <w:rsid w:val="529A2FFC"/>
    <w:rsid w:val="53832185"/>
    <w:rsid w:val="53920CEE"/>
    <w:rsid w:val="53CC50AE"/>
    <w:rsid w:val="543812D4"/>
    <w:rsid w:val="543F749E"/>
    <w:rsid w:val="54904D93"/>
    <w:rsid w:val="54B81E43"/>
    <w:rsid w:val="55662A4C"/>
    <w:rsid w:val="55F33201"/>
    <w:rsid w:val="560F30B7"/>
    <w:rsid w:val="563E6EEB"/>
    <w:rsid w:val="56737795"/>
    <w:rsid w:val="56A2724A"/>
    <w:rsid w:val="56AB1218"/>
    <w:rsid w:val="56BC578B"/>
    <w:rsid w:val="57255C57"/>
    <w:rsid w:val="578F351C"/>
    <w:rsid w:val="57C12963"/>
    <w:rsid w:val="57DC33A1"/>
    <w:rsid w:val="586303D1"/>
    <w:rsid w:val="588501DB"/>
    <w:rsid w:val="58DA7D32"/>
    <w:rsid w:val="58E30090"/>
    <w:rsid w:val="593512BC"/>
    <w:rsid w:val="59370951"/>
    <w:rsid w:val="59422BD6"/>
    <w:rsid w:val="594611C8"/>
    <w:rsid w:val="599855CB"/>
    <w:rsid w:val="59AC7755"/>
    <w:rsid w:val="59D35FCF"/>
    <w:rsid w:val="59E27657"/>
    <w:rsid w:val="59E618A3"/>
    <w:rsid w:val="5A03560E"/>
    <w:rsid w:val="5A2D770C"/>
    <w:rsid w:val="5A3857B2"/>
    <w:rsid w:val="5A8D6E22"/>
    <w:rsid w:val="5B170EC1"/>
    <w:rsid w:val="5B523BA8"/>
    <w:rsid w:val="5B5C3848"/>
    <w:rsid w:val="5B617A31"/>
    <w:rsid w:val="5B9073F7"/>
    <w:rsid w:val="5BAA245B"/>
    <w:rsid w:val="5C084785"/>
    <w:rsid w:val="5C2C1905"/>
    <w:rsid w:val="5C756A96"/>
    <w:rsid w:val="5C8B657B"/>
    <w:rsid w:val="5CF76BF4"/>
    <w:rsid w:val="5D2C444A"/>
    <w:rsid w:val="5D320FCB"/>
    <w:rsid w:val="5D525483"/>
    <w:rsid w:val="5D694EF6"/>
    <w:rsid w:val="5D6A11C4"/>
    <w:rsid w:val="5DA12F2E"/>
    <w:rsid w:val="5DAE13CF"/>
    <w:rsid w:val="5DCD250B"/>
    <w:rsid w:val="5DDC456A"/>
    <w:rsid w:val="5E4279B3"/>
    <w:rsid w:val="5E57556F"/>
    <w:rsid w:val="5E6A285E"/>
    <w:rsid w:val="5E7078F9"/>
    <w:rsid w:val="5E711CDA"/>
    <w:rsid w:val="5E781148"/>
    <w:rsid w:val="5E8848F0"/>
    <w:rsid w:val="5EA61714"/>
    <w:rsid w:val="5EA83096"/>
    <w:rsid w:val="5F3A110B"/>
    <w:rsid w:val="5F544ADE"/>
    <w:rsid w:val="5FC0322F"/>
    <w:rsid w:val="5FD37C5B"/>
    <w:rsid w:val="606D64A0"/>
    <w:rsid w:val="60C46ED4"/>
    <w:rsid w:val="60D25A15"/>
    <w:rsid w:val="60F84A17"/>
    <w:rsid w:val="612753A8"/>
    <w:rsid w:val="61347170"/>
    <w:rsid w:val="61612908"/>
    <w:rsid w:val="61737677"/>
    <w:rsid w:val="61797104"/>
    <w:rsid w:val="619E2C47"/>
    <w:rsid w:val="61A27AD0"/>
    <w:rsid w:val="62467775"/>
    <w:rsid w:val="628A613F"/>
    <w:rsid w:val="62936CE6"/>
    <w:rsid w:val="62CC2286"/>
    <w:rsid w:val="63365241"/>
    <w:rsid w:val="63613D1C"/>
    <w:rsid w:val="6363722B"/>
    <w:rsid w:val="63D52DC3"/>
    <w:rsid w:val="63EE2185"/>
    <w:rsid w:val="64103523"/>
    <w:rsid w:val="64130890"/>
    <w:rsid w:val="64144701"/>
    <w:rsid w:val="64474BA2"/>
    <w:rsid w:val="64DA205C"/>
    <w:rsid w:val="65531F1D"/>
    <w:rsid w:val="657151FB"/>
    <w:rsid w:val="65735D84"/>
    <w:rsid w:val="65CA5EB8"/>
    <w:rsid w:val="66444926"/>
    <w:rsid w:val="668A54E2"/>
    <w:rsid w:val="66B81965"/>
    <w:rsid w:val="66EE52A3"/>
    <w:rsid w:val="671B2005"/>
    <w:rsid w:val="675020B8"/>
    <w:rsid w:val="679A55A8"/>
    <w:rsid w:val="67AE12CE"/>
    <w:rsid w:val="68105AAB"/>
    <w:rsid w:val="689322AD"/>
    <w:rsid w:val="68D9424D"/>
    <w:rsid w:val="68EC2959"/>
    <w:rsid w:val="692D1F13"/>
    <w:rsid w:val="693A030E"/>
    <w:rsid w:val="693E4DC3"/>
    <w:rsid w:val="6A0D0E38"/>
    <w:rsid w:val="6ABA4B0F"/>
    <w:rsid w:val="6B2B2B84"/>
    <w:rsid w:val="6C7B2A22"/>
    <w:rsid w:val="6CDD11CD"/>
    <w:rsid w:val="6CE05267"/>
    <w:rsid w:val="6CE40271"/>
    <w:rsid w:val="6D556F64"/>
    <w:rsid w:val="6D9F74C0"/>
    <w:rsid w:val="6DE33D6B"/>
    <w:rsid w:val="6E4A0B0A"/>
    <w:rsid w:val="6E500CD1"/>
    <w:rsid w:val="6E5C208F"/>
    <w:rsid w:val="6EB1189B"/>
    <w:rsid w:val="6F055553"/>
    <w:rsid w:val="6F2A0302"/>
    <w:rsid w:val="6FE724EF"/>
    <w:rsid w:val="70694A66"/>
    <w:rsid w:val="706B4B17"/>
    <w:rsid w:val="70801458"/>
    <w:rsid w:val="70C94A80"/>
    <w:rsid w:val="7123259E"/>
    <w:rsid w:val="713A5025"/>
    <w:rsid w:val="71680B0F"/>
    <w:rsid w:val="71854B70"/>
    <w:rsid w:val="71F95237"/>
    <w:rsid w:val="722D514D"/>
    <w:rsid w:val="72CF0E9B"/>
    <w:rsid w:val="733A35E5"/>
    <w:rsid w:val="7353025C"/>
    <w:rsid w:val="73557AEB"/>
    <w:rsid w:val="737F302F"/>
    <w:rsid w:val="739F6EDB"/>
    <w:rsid w:val="73F522EE"/>
    <w:rsid w:val="74271298"/>
    <w:rsid w:val="74766500"/>
    <w:rsid w:val="748962D3"/>
    <w:rsid w:val="74C817E9"/>
    <w:rsid w:val="74D13C2A"/>
    <w:rsid w:val="75322E1E"/>
    <w:rsid w:val="75BF0392"/>
    <w:rsid w:val="75F25DC7"/>
    <w:rsid w:val="75FA5640"/>
    <w:rsid w:val="75FD2911"/>
    <w:rsid w:val="761F46F4"/>
    <w:rsid w:val="764C4219"/>
    <w:rsid w:val="76C0056C"/>
    <w:rsid w:val="76F43E80"/>
    <w:rsid w:val="76FD1966"/>
    <w:rsid w:val="774A57ED"/>
    <w:rsid w:val="77737FCB"/>
    <w:rsid w:val="77763557"/>
    <w:rsid w:val="779F3D83"/>
    <w:rsid w:val="784E71DF"/>
    <w:rsid w:val="785A6DAA"/>
    <w:rsid w:val="789E6EBD"/>
    <w:rsid w:val="78C20EA8"/>
    <w:rsid w:val="790B57D8"/>
    <w:rsid w:val="790B6D58"/>
    <w:rsid w:val="79291E78"/>
    <w:rsid w:val="79AF1C6D"/>
    <w:rsid w:val="79CA7B2C"/>
    <w:rsid w:val="79CC6A81"/>
    <w:rsid w:val="7A2F1CB5"/>
    <w:rsid w:val="7AA179F0"/>
    <w:rsid w:val="7AA8278C"/>
    <w:rsid w:val="7AE84FBC"/>
    <w:rsid w:val="7AF761D9"/>
    <w:rsid w:val="7B320699"/>
    <w:rsid w:val="7BD27F57"/>
    <w:rsid w:val="7BF6377E"/>
    <w:rsid w:val="7C1266C5"/>
    <w:rsid w:val="7C84703D"/>
    <w:rsid w:val="7CB53C71"/>
    <w:rsid w:val="7CB63B55"/>
    <w:rsid w:val="7CBC31DA"/>
    <w:rsid w:val="7CCB3D37"/>
    <w:rsid w:val="7D2E1A4A"/>
    <w:rsid w:val="7D846C0E"/>
    <w:rsid w:val="7D963331"/>
    <w:rsid w:val="7D9C539A"/>
    <w:rsid w:val="7DB55021"/>
    <w:rsid w:val="7E1259A1"/>
    <w:rsid w:val="7ECF6A67"/>
    <w:rsid w:val="7EEC1F1A"/>
    <w:rsid w:val="7EF121CF"/>
    <w:rsid w:val="7F1F3F0B"/>
    <w:rsid w:val="7F3A4641"/>
    <w:rsid w:val="7F4F4E90"/>
    <w:rsid w:val="7F5C6627"/>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3"/>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0"/>
    <w:semiHidden/>
    <w:qFormat/>
    <w:uiPriority w:val="0"/>
    <w:pPr>
      <w:jc w:val="left"/>
    </w:pPr>
    <w:rPr>
      <w:rFonts w:ascii="Arial" w:hAnsi="Arial" w:cs="Arial"/>
    </w:rPr>
  </w:style>
  <w:style w:type="paragraph" w:styleId="8">
    <w:name w:val="Body Text Indent"/>
    <w:basedOn w:val="1"/>
    <w:link w:val="24"/>
    <w:qFormat/>
    <w:uiPriority w:val="0"/>
    <w:pPr>
      <w:tabs>
        <w:tab w:val="left" w:pos="7060"/>
      </w:tabs>
      <w:spacing w:line="360" w:lineRule="auto"/>
      <w:ind w:firstLine="560" w:firstLineChars="200"/>
    </w:pPr>
    <w:rPr>
      <w:rFonts w:eastAsia="新宋体"/>
      <w:sz w:val="28"/>
    </w:rPr>
  </w:style>
  <w:style w:type="paragraph" w:styleId="9">
    <w:name w:val="Balloon Text"/>
    <w:basedOn w:val="1"/>
    <w:link w:val="25"/>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rPr>
  </w:style>
  <w:style w:type="character" w:styleId="17">
    <w:name w:val="Hyperlink"/>
    <w:qFormat/>
    <w:uiPriority w:val="0"/>
    <w:rPr>
      <w:color w:val="0000FF"/>
      <w:u w:val="single"/>
    </w:rPr>
  </w:style>
  <w:style w:type="paragraph" w:customStyle="1" w:styleId="18">
    <w:name w:val="Char"/>
    <w:basedOn w:val="1"/>
    <w:qFormat/>
    <w:uiPriority w:val="0"/>
    <w:pPr>
      <w:adjustRightInd w:val="0"/>
      <w:snapToGrid w:val="0"/>
    </w:pPr>
    <w:rPr>
      <w:szCs w:val="20"/>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批注文字 Char"/>
    <w:basedOn w:val="14"/>
    <w:link w:val="7"/>
    <w:semiHidden/>
    <w:qFormat/>
    <w:uiPriority w:val="0"/>
    <w:rPr>
      <w:rFonts w:ascii="Arial" w:hAnsi="Arial" w:eastAsia="宋体" w:cs="Arial"/>
      <w:szCs w:val="24"/>
    </w:rPr>
  </w:style>
  <w:style w:type="character" w:customStyle="1" w:styleId="21">
    <w:name w:val="页眉 Char"/>
    <w:basedOn w:val="14"/>
    <w:link w:val="11"/>
    <w:qFormat/>
    <w:uiPriority w:val="99"/>
    <w:rPr>
      <w:rFonts w:ascii="Times New Roman" w:hAnsi="Times New Roman" w:eastAsia="宋体" w:cs="Times New Roman"/>
      <w:sz w:val="18"/>
      <w:szCs w:val="18"/>
    </w:rPr>
  </w:style>
  <w:style w:type="character" w:customStyle="1" w:styleId="22">
    <w:name w:val="页脚 Char"/>
    <w:basedOn w:val="14"/>
    <w:link w:val="10"/>
    <w:qFormat/>
    <w:uiPriority w:val="99"/>
    <w:rPr>
      <w:rFonts w:ascii="Times New Roman" w:hAnsi="Times New Roman" w:eastAsia="宋体" w:cs="Times New Roman"/>
      <w:sz w:val="18"/>
      <w:szCs w:val="18"/>
    </w:rPr>
  </w:style>
  <w:style w:type="character" w:customStyle="1" w:styleId="23">
    <w:name w:val="标题 3 Char"/>
    <w:basedOn w:val="14"/>
    <w:link w:val="5"/>
    <w:qFormat/>
    <w:uiPriority w:val="0"/>
    <w:rPr>
      <w:rFonts w:ascii="Times New Roman" w:hAnsi="Times New Roman" w:eastAsia="宋体" w:cs="Times New Roman"/>
      <w:b/>
      <w:bCs/>
      <w:sz w:val="32"/>
      <w:szCs w:val="32"/>
    </w:rPr>
  </w:style>
  <w:style w:type="character" w:customStyle="1" w:styleId="24">
    <w:name w:val="正文文本缩进 Char"/>
    <w:basedOn w:val="14"/>
    <w:link w:val="8"/>
    <w:qFormat/>
    <w:uiPriority w:val="0"/>
    <w:rPr>
      <w:rFonts w:ascii="Times New Roman" w:hAnsi="Times New Roman" w:eastAsia="新宋体" w:cs="Times New Roman"/>
      <w:sz w:val="28"/>
      <w:szCs w:val="24"/>
    </w:rPr>
  </w:style>
  <w:style w:type="character" w:customStyle="1" w:styleId="25">
    <w:name w:val="批注框文本 Char"/>
    <w:basedOn w:val="14"/>
    <w:link w:val="9"/>
    <w:semiHidden/>
    <w:qFormat/>
    <w:uiPriority w:val="99"/>
    <w:rPr>
      <w:rFonts w:ascii="Times New Roman" w:hAnsi="Times New Roman" w:eastAsia="宋体" w:cs="Times New Roman"/>
      <w:sz w:val="18"/>
      <w:szCs w:val="1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13</Pages>
  <Words>10034</Words>
  <Characters>10600</Characters>
  <Lines>82</Lines>
  <Paragraphs>23</Paragraphs>
  <TotalTime>0</TotalTime>
  <ScaleCrop>false</ScaleCrop>
  <LinksUpToDate>false</LinksUpToDate>
  <CharactersWithSpaces>11055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2021-07-01T08:46:00Z</cp:lastPrinted>
  <dcterms:modified xsi:type="dcterms:W3CDTF">2021-07-05T07:36:32Z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6C7A591E7EB7451AB1F76F941FD7FC59</vt:lpwstr>
  </property>
</Properties>
</file>