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rFonts w:hint="eastAsia"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2021年增山小区、南林花园（苑）、世贸名流小区既有建筑加装电梯基坑劳务分包工程</w:t>
      </w:r>
    </w:p>
    <w:p>
      <w:pPr>
        <w:pStyle w:val="13"/>
        <w:rPr>
          <w:rFonts w:hint="eastAsia" w:asciiTheme="majorEastAsia" w:hAnsiTheme="majorEastAsia" w:eastAsiaTheme="majorEastAsia" w:cstheme="majorEastAsia"/>
          <w:b/>
          <w:color w:val="auto"/>
          <w:spacing w:val="-11"/>
          <w:sz w:val="48"/>
          <w:szCs w:val="48"/>
          <w:lang w:val="en-US" w:eastAsia="zh-CN"/>
        </w:rPr>
      </w:pPr>
    </w:p>
    <w:p>
      <w:pPr>
        <w:pStyle w:val="13"/>
        <w:rPr>
          <w:rFonts w:hint="eastAsia" w:asciiTheme="majorEastAsia" w:hAnsiTheme="majorEastAsia" w:eastAsiaTheme="majorEastAsia" w:cstheme="majorEastAsia"/>
          <w:b/>
          <w:color w:val="auto"/>
          <w:spacing w:val="-11"/>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color w:val="auto"/>
        </w:rPr>
      </w:pPr>
    </w:p>
    <w:p>
      <w:pPr>
        <w:pStyle w:val="13"/>
        <w:rPr>
          <w:color w:val="auto"/>
        </w:rPr>
      </w:pPr>
    </w:p>
    <w:p>
      <w:pPr>
        <w:jc w:val="center"/>
        <w:rPr>
          <w:rFonts w:hint="default" w:ascii="宋体" w:hAnsi="宋体" w:eastAsia="宋体"/>
          <w:b/>
          <w:bCs/>
          <w:color w:val="auto"/>
          <w:sz w:val="36"/>
          <w:szCs w:val="36"/>
          <w:lang w:val="en-US" w:eastAsia="zh-CN"/>
        </w:rPr>
      </w:pPr>
      <w:r>
        <w:rPr>
          <w:rFonts w:hint="eastAsia" w:ascii="宋体" w:hAnsi="宋体"/>
          <w:b/>
          <w:bCs/>
          <w:color w:val="auto"/>
          <w:sz w:val="36"/>
          <w:szCs w:val="36"/>
        </w:rPr>
        <w:t>招标编号：</w:t>
      </w:r>
    </w:p>
    <w:p>
      <w:pPr>
        <w:pStyle w:val="13"/>
        <w:rPr>
          <w:rFonts w:hint="eastAsia"/>
          <w:color w:val="auto"/>
          <w:lang w:eastAsia="zh-CN"/>
        </w:rPr>
      </w:pP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13"/>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color w:val="auto"/>
        </w:rPr>
      </w:pPr>
      <w:r>
        <w:rPr>
          <w:rFonts w:hint="eastAsia" w:ascii="宋体" w:hAnsi="宋体"/>
          <w:b/>
          <w:color w:val="auto"/>
          <w:sz w:val="30"/>
          <w:szCs w:val="30"/>
        </w:rPr>
        <w:t>2021年</w:t>
      </w:r>
      <w:r>
        <w:rPr>
          <w:rFonts w:hint="eastAsia" w:ascii="宋体" w:hAnsi="宋体"/>
          <w:b/>
          <w:color w:val="auto"/>
          <w:sz w:val="30"/>
          <w:szCs w:val="30"/>
          <w:lang w:val="en-US" w:eastAsia="zh-CN"/>
        </w:rPr>
        <w:t>12</w:t>
      </w:r>
      <w:r>
        <w:rPr>
          <w:rFonts w:hint="eastAsia" w:ascii="宋体" w:hAnsi="宋体"/>
          <w:b/>
          <w:color w:val="auto"/>
          <w:sz w:val="30"/>
          <w:szCs w:val="30"/>
        </w:rPr>
        <w:t xml:space="preserve">月 </w:t>
      </w:r>
    </w:p>
    <w:p>
      <w:pPr>
        <w:keepNext w:val="0"/>
        <w:keepLines w:val="0"/>
        <w:pageBreakBefore w:val="0"/>
        <w:kinsoku/>
        <w:overflowPunct/>
        <w:topLinePunct w:val="0"/>
        <w:bidi w:val="0"/>
        <w:snapToGrid/>
        <w:spacing w:line="32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13"/>
        <w:keepNext w:val="0"/>
        <w:keepLines w:val="0"/>
        <w:pageBreakBefore w:val="0"/>
        <w:kinsoku/>
        <w:overflowPunct/>
        <w:topLinePunct w:val="0"/>
        <w:bidi w:val="0"/>
        <w:snapToGrid/>
        <w:spacing w:line="320" w:lineRule="exact"/>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宋体"/>
          <w:color w:val="auto"/>
          <w:kern w:val="0"/>
          <w:sz w:val="21"/>
          <w:szCs w:val="21"/>
          <w:u w:val="single"/>
          <w:lang w:val="en-US" w:eastAsia="zh-CN"/>
        </w:rPr>
        <w:t xml:space="preserve"> 2021年增山小区、南林花园（苑）、世贸名流小区既有建筑加装电梯基坑劳务分包工程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pStyle w:val="30"/>
        <w:keepNext w:val="0"/>
        <w:keepLines w:val="0"/>
        <w:pageBreakBefore w:val="0"/>
        <w:numPr>
          <w:ilvl w:val="0"/>
          <w:numId w:val="0"/>
        </w:numPr>
        <w:kinsoku/>
        <w:overflowPunct/>
        <w:topLinePunct w:val="0"/>
        <w:bidi w:val="0"/>
        <w:snapToGrid/>
        <w:spacing w:line="320" w:lineRule="exact"/>
        <w:ind w:leftChars="0"/>
        <w:rPr>
          <w:rFonts w:hint="default" w:eastAsiaTheme="majorEastAsia"/>
          <w:color w:val="auto"/>
          <w:sz w:val="21"/>
          <w:szCs w:val="21"/>
          <w:lang w:val="en-US"/>
        </w:rPr>
      </w:pPr>
      <w:r>
        <w:rPr>
          <w:rFonts w:hint="eastAsia" w:ascii="宋体" w:hAnsi="宋体" w:eastAsia="宋体" w:cs="TimesNewRomanPSMT"/>
          <w:b/>
          <w:bCs/>
          <w:color w:val="auto"/>
          <w:kern w:val="0"/>
          <w:sz w:val="21"/>
          <w:szCs w:val="21"/>
          <w:lang w:val="en-US" w:eastAsia="zh-CN" w:bidi="ar"/>
        </w:rPr>
        <w:t>2.1 工程概况</w:t>
      </w:r>
      <w:r>
        <w:rPr>
          <w:rFonts w:hint="eastAsia" w:ascii="宋体" w:hAnsi="宋体" w:cs="TimesNewRomanPSMT"/>
          <w:b/>
          <w:bCs/>
          <w:color w:val="auto"/>
          <w:kern w:val="0"/>
          <w:sz w:val="21"/>
          <w:szCs w:val="21"/>
        </w:rPr>
        <w:t>：</w:t>
      </w:r>
      <w:r>
        <w:rPr>
          <w:rFonts w:hint="eastAsia" w:ascii="宋体" w:hAnsi="宋体" w:eastAsia="宋体" w:cs="宋体"/>
          <w:b w:val="0"/>
          <w:bCs w:val="0"/>
          <w:color w:val="auto"/>
          <w:kern w:val="0"/>
          <w:sz w:val="21"/>
          <w:szCs w:val="21"/>
          <w:u w:val="none"/>
          <w:lang w:val="en-US" w:eastAsia="zh-CN" w:bidi="ar-SA"/>
        </w:rPr>
        <w:t>2021年增山小区、南林花</w:t>
      </w:r>
      <w:r>
        <w:rPr>
          <w:rFonts w:hint="eastAsia" w:ascii="宋体" w:hAnsi="宋体" w:cs="宋体"/>
          <w:color w:val="auto"/>
          <w:kern w:val="0"/>
          <w:sz w:val="21"/>
          <w:szCs w:val="21"/>
          <w:u w:val="none"/>
          <w:lang w:val="en-US" w:eastAsia="zh-CN"/>
        </w:rPr>
        <w:t>园（苑）</w:t>
      </w:r>
      <w:r>
        <w:rPr>
          <w:rFonts w:hint="eastAsia" w:ascii="宋体" w:hAnsi="宋体" w:eastAsia="宋体" w:cs="宋体"/>
          <w:b w:val="0"/>
          <w:bCs w:val="0"/>
          <w:color w:val="auto"/>
          <w:kern w:val="0"/>
          <w:sz w:val="21"/>
          <w:szCs w:val="21"/>
          <w:u w:val="none"/>
          <w:lang w:val="en-US" w:eastAsia="zh-CN" w:bidi="ar-SA"/>
        </w:rPr>
        <w:t>、世贸名流小区既有建筑加装电梯基坑</w:t>
      </w:r>
      <w:r>
        <w:rPr>
          <w:rFonts w:hint="eastAsia" w:ascii="宋体" w:hAnsi="宋体" w:cs="宋体"/>
          <w:b w:val="0"/>
          <w:bCs w:val="0"/>
          <w:color w:val="auto"/>
          <w:kern w:val="0"/>
          <w:sz w:val="21"/>
          <w:szCs w:val="21"/>
          <w:u w:val="none"/>
          <w:lang w:val="en-US" w:eastAsia="zh-CN" w:bidi="ar-SA"/>
        </w:rPr>
        <w:t>劳务</w:t>
      </w:r>
      <w:r>
        <w:rPr>
          <w:rFonts w:hint="eastAsia" w:ascii="宋体" w:hAnsi="宋体" w:eastAsia="宋体" w:cs="宋体"/>
          <w:b w:val="0"/>
          <w:bCs w:val="0"/>
          <w:color w:val="auto"/>
          <w:kern w:val="0"/>
          <w:sz w:val="21"/>
          <w:szCs w:val="21"/>
          <w:u w:val="none"/>
          <w:lang w:val="en-US" w:eastAsia="zh-CN" w:bidi="ar-SA"/>
        </w:rPr>
        <w:t>分包工程</w:t>
      </w:r>
      <w:r>
        <w:rPr>
          <w:rFonts w:hint="eastAsia" w:ascii="宋体" w:hAnsi="宋体" w:cs="宋体"/>
          <w:b w:val="0"/>
          <w:bCs w:val="0"/>
          <w:color w:val="auto"/>
          <w:kern w:val="0"/>
          <w:sz w:val="21"/>
          <w:szCs w:val="21"/>
          <w:u w:val="none"/>
          <w:lang w:val="en-US" w:eastAsia="zh-CN" w:bidi="ar-SA"/>
        </w:rPr>
        <w:t>，共36台电梯基坑（数量按实计算），</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w:t>
      </w:r>
      <w:r>
        <w:rPr>
          <w:rFonts w:hint="eastAsia" w:cs="宋体"/>
          <w:b w:val="0"/>
          <w:bCs w:val="0"/>
          <w:color w:val="auto"/>
          <w:kern w:val="0"/>
          <w:sz w:val="21"/>
          <w:szCs w:val="21"/>
          <w:u w:val="none"/>
          <w:lang w:val="en-US" w:eastAsia="zh-CN" w:bidi="ar-SA"/>
        </w:rPr>
        <w:t>（</w:t>
      </w:r>
      <w:r>
        <w:rPr>
          <w:rFonts w:hint="eastAsia" w:ascii="宋体" w:hAnsi="宋体" w:cs="宋体"/>
          <w:b w:val="0"/>
          <w:bCs w:val="0"/>
          <w:color w:val="auto"/>
          <w:kern w:val="0"/>
          <w:sz w:val="21"/>
          <w:szCs w:val="21"/>
          <w:u w:val="none"/>
          <w:lang w:val="en-US" w:eastAsia="zh-CN" w:bidi="ar-SA"/>
        </w:rPr>
        <w:t>施工时现场共同确认</w:t>
      </w:r>
      <w:r>
        <w:rPr>
          <w:rFonts w:hint="eastAsia" w:cs="宋体"/>
          <w:b w:val="0"/>
          <w:bCs w:val="0"/>
          <w:color w:val="auto"/>
          <w:kern w:val="0"/>
          <w:sz w:val="21"/>
          <w:szCs w:val="21"/>
          <w:u w:val="none"/>
          <w:lang w:val="en-US" w:eastAsia="zh-CN" w:bidi="ar-SA"/>
        </w:rPr>
        <w:t>）</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20" w:lineRule="exact"/>
        <w:ind w:left="0" w:right="0" w:firstLine="0"/>
        <w:textAlignment w:val="auto"/>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eastAsia="宋体" w:cs="宋体"/>
          <w:b w:val="0"/>
          <w:bCs w:val="0"/>
          <w:color w:val="auto"/>
          <w:kern w:val="0"/>
          <w:sz w:val="21"/>
          <w:szCs w:val="21"/>
          <w:u w:val="none"/>
          <w:lang w:val="en-US" w:eastAsia="zh-CN" w:bidi="ar-SA"/>
        </w:rPr>
        <w:t>2021年增山小区、南林花</w:t>
      </w:r>
      <w:r>
        <w:rPr>
          <w:rFonts w:hint="eastAsia" w:ascii="宋体" w:hAnsi="宋体" w:cs="宋体"/>
          <w:b w:val="0"/>
          <w:bCs w:val="0"/>
          <w:color w:val="auto"/>
          <w:kern w:val="0"/>
          <w:sz w:val="21"/>
          <w:szCs w:val="21"/>
          <w:u w:val="none"/>
          <w:lang w:val="en-US" w:eastAsia="zh-CN"/>
        </w:rPr>
        <w:t>园（苑）</w:t>
      </w:r>
      <w:r>
        <w:rPr>
          <w:rFonts w:hint="eastAsia" w:ascii="宋体" w:hAnsi="宋体" w:eastAsia="宋体" w:cs="宋体"/>
          <w:b w:val="0"/>
          <w:bCs w:val="0"/>
          <w:color w:val="auto"/>
          <w:kern w:val="0"/>
          <w:sz w:val="21"/>
          <w:szCs w:val="21"/>
          <w:u w:val="none"/>
          <w:lang w:val="en-US" w:eastAsia="zh-CN" w:bidi="ar-SA"/>
        </w:rPr>
        <w:t>、世贸名流小区既有建筑加装电梯基坑</w:t>
      </w:r>
      <w:r>
        <w:rPr>
          <w:rFonts w:hint="eastAsia" w:cs="宋体"/>
          <w:b w:val="0"/>
          <w:bCs w:val="0"/>
          <w:color w:val="auto"/>
          <w:kern w:val="0"/>
          <w:sz w:val="21"/>
          <w:szCs w:val="21"/>
          <w:u w:val="none"/>
          <w:lang w:val="en-US" w:eastAsia="zh-CN" w:bidi="ar-SA"/>
        </w:rPr>
        <w:t>劳务</w:t>
      </w:r>
      <w:r>
        <w:rPr>
          <w:rFonts w:hint="eastAsia" w:ascii="宋体" w:hAnsi="宋体" w:eastAsia="宋体" w:cs="宋体"/>
          <w:b w:val="0"/>
          <w:bCs w:val="0"/>
          <w:color w:val="auto"/>
          <w:kern w:val="0"/>
          <w:sz w:val="21"/>
          <w:szCs w:val="21"/>
          <w:u w:val="none"/>
          <w:lang w:val="en-US" w:eastAsia="zh-CN" w:bidi="ar-SA"/>
        </w:rPr>
        <w:t>分包工程</w:t>
      </w:r>
      <w:r>
        <w:rPr>
          <w:rFonts w:hint="eastAsia" w:ascii="宋体" w:hAnsi="宋体" w:cs="宋体"/>
          <w:b w:val="0"/>
          <w:bCs w:val="0"/>
          <w:color w:val="auto"/>
          <w:kern w:val="0"/>
          <w:sz w:val="21"/>
          <w:szCs w:val="21"/>
          <w:u w:val="none"/>
          <w:lang w:val="en-US" w:eastAsia="zh-CN" w:bidi="ar-SA"/>
        </w:rPr>
        <w:t>，共36台电梯基坑（数量按实计算），</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w:t>
      </w:r>
      <w:r>
        <w:rPr>
          <w:rFonts w:hint="eastAsia" w:cs="宋体"/>
          <w:b w:val="0"/>
          <w:bCs w:val="0"/>
          <w:color w:val="auto"/>
          <w:kern w:val="0"/>
          <w:sz w:val="21"/>
          <w:szCs w:val="21"/>
          <w:u w:val="none"/>
          <w:lang w:val="en-US" w:eastAsia="zh-CN" w:bidi="ar-SA"/>
        </w:rPr>
        <w:t>（</w:t>
      </w:r>
      <w:r>
        <w:rPr>
          <w:rFonts w:hint="eastAsia" w:ascii="宋体" w:hAnsi="宋体" w:cs="宋体"/>
          <w:b w:val="0"/>
          <w:bCs w:val="0"/>
          <w:color w:val="auto"/>
          <w:kern w:val="0"/>
          <w:sz w:val="21"/>
          <w:szCs w:val="21"/>
          <w:u w:val="none"/>
          <w:lang w:val="en-US" w:eastAsia="zh-CN" w:bidi="ar-SA"/>
        </w:rPr>
        <w:t>施工时现场共同确认</w:t>
      </w:r>
      <w:r>
        <w:rPr>
          <w:rFonts w:hint="eastAsia" w:cs="宋体"/>
          <w:b w:val="0"/>
          <w:bCs w:val="0"/>
          <w:color w:val="auto"/>
          <w:kern w:val="0"/>
          <w:sz w:val="21"/>
          <w:szCs w:val="21"/>
          <w:u w:val="none"/>
          <w:lang w:val="en-US" w:eastAsia="zh-CN" w:bidi="ar-SA"/>
        </w:rPr>
        <w:t>）</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b w:val="0"/>
          <w:bCs w:val="0"/>
          <w:color w:val="auto"/>
          <w:kern w:val="0"/>
          <w:sz w:val="21"/>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b w:val="0"/>
          <w:bCs w:val="0"/>
          <w:color w:val="auto"/>
          <w:kern w:val="0"/>
          <w:sz w:val="21"/>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2021年增山小区、南林花园（苑）、世贸名流小区既有建筑加装电梯基坑劳务分包工程</w:t>
      </w:r>
      <w:r>
        <w:rPr>
          <w:rFonts w:hint="eastAsia" w:ascii="宋体" w:hAnsi="宋体" w:cs="宋体"/>
          <w:color w:val="auto"/>
          <w:kern w:val="0"/>
          <w:sz w:val="21"/>
          <w:szCs w:val="21"/>
        </w:rPr>
        <w:t>。</w:t>
      </w:r>
    </w:p>
    <w:p>
      <w:pPr>
        <w:pStyle w:val="30"/>
        <w:keepNext w:val="0"/>
        <w:keepLines w:val="0"/>
        <w:pageBreakBefore w:val="0"/>
        <w:numPr>
          <w:ilvl w:val="0"/>
          <w:numId w:val="0"/>
        </w:numPr>
        <w:kinsoku/>
        <w:overflowPunct/>
        <w:topLinePunct w:val="0"/>
        <w:bidi w:val="0"/>
        <w:snapToGrid/>
        <w:spacing w:line="320" w:lineRule="exact"/>
        <w:ind w:leftChars="0"/>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color w:val="auto"/>
          <w:kern w:val="0"/>
          <w:sz w:val="21"/>
          <w:szCs w:val="21"/>
        </w:rPr>
        <w:t>2.4.1 主要施工内容及要求为：</w:t>
      </w: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w:t>
      </w:r>
      <w:r>
        <w:rPr>
          <w:rFonts w:hint="eastAsia" w:ascii="宋体" w:hAnsi="宋体" w:eastAsia="宋体" w:cs="宋体"/>
          <w:b w:val="0"/>
          <w:bCs w:val="0"/>
          <w:color w:val="auto"/>
          <w:kern w:val="0"/>
          <w:sz w:val="21"/>
          <w:szCs w:val="21"/>
          <w:u w:val="none"/>
          <w:lang w:val="en-US" w:eastAsia="zh-CN" w:bidi="ar-SA"/>
        </w:rPr>
        <w:t>、基础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eastAsia="宋体" w:cs="宋体"/>
          <w:b w:val="0"/>
          <w:bCs w:val="0"/>
          <w:color w:val="auto"/>
          <w:kern w:val="0"/>
          <w:sz w:val="21"/>
          <w:szCs w:val="21"/>
          <w:u w:val="none"/>
          <w:lang w:val="en-US" w:eastAsia="zh-CN" w:bidi="ar-SA"/>
        </w:rPr>
        <w:t>湖州市</w:t>
      </w:r>
      <w:r>
        <w:rPr>
          <w:rFonts w:hint="eastAsia" w:ascii="宋体" w:hAnsi="宋体" w:cs="宋体"/>
          <w:b w:val="0"/>
          <w:bCs w:val="0"/>
          <w:color w:val="auto"/>
          <w:kern w:val="0"/>
          <w:sz w:val="21"/>
          <w:szCs w:val="21"/>
          <w:u w:val="none"/>
          <w:lang w:val="en-US" w:eastAsia="zh-CN" w:bidi="ar-SA"/>
        </w:rPr>
        <w:t>南浔区</w:t>
      </w:r>
      <w:r>
        <w:rPr>
          <w:rFonts w:hint="eastAsia" w:ascii="宋体" w:hAnsi="宋体" w:cs="宋体"/>
          <w:color w:val="auto"/>
          <w:kern w:val="0"/>
          <w:sz w:val="21"/>
          <w:szCs w:val="21"/>
          <w:u w:val="single"/>
          <w:lang w:val="en-US" w:eastAsia="zh-CN"/>
        </w:rPr>
        <w:t>增山小区、南林花</w:t>
      </w:r>
      <w:r>
        <w:rPr>
          <w:rFonts w:hint="eastAsia" w:ascii="宋体" w:hAnsi="宋体" w:cs="宋体"/>
          <w:b w:val="0"/>
          <w:bCs w:val="0"/>
          <w:color w:val="auto"/>
          <w:kern w:val="0"/>
          <w:sz w:val="21"/>
          <w:szCs w:val="21"/>
          <w:u w:val="single"/>
          <w:lang w:val="en-US" w:eastAsia="zh-CN"/>
        </w:rPr>
        <w:t>园（苑）</w:t>
      </w:r>
      <w:r>
        <w:rPr>
          <w:rFonts w:hint="eastAsia" w:ascii="宋体" w:hAnsi="宋体" w:cs="宋体"/>
          <w:color w:val="auto"/>
          <w:kern w:val="0"/>
          <w:sz w:val="21"/>
          <w:szCs w:val="21"/>
          <w:u w:val="single"/>
          <w:lang w:val="en-US" w:eastAsia="zh-CN"/>
        </w:rPr>
        <w:t>、世贸名流小区</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本次招标要求投标人须具</w:t>
      </w:r>
      <w:r>
        <w:rPr>
          <w:rFonts w:hint="eastAsia" w:ascii="宋体" w:hAnsi="宋体" w:cs="宋体"/>
          <w:color w:val="auto"/>
          <w:kern w:val="0"/>
          <w:szCs w:val="21"/>
        </w:rPr>
        <w:t>备</w:t>
      </w:r>
      <w:r>
        <w:rPr>
          <w:rFonts w:hint="eastAsia" w:ascii="宋体" w:hAnsi="宋体" w:cs="宋体"/>
          <w:color w:val="auto"/>
          <w:kern w:val="0"/>
          <w:szCs w:val="21"/>
          <w:u w:val="single"/>
          <w:lang w:val="en-US" w:eastAsia="zh-CN"/>
        </w:rPr>
        <w:t xml:space="preserve"> 施工劳务资质 </w:t>
      </w:r>
      <w:r>
        <w:rPr>
          <w:rFonts w:hint="eastAsia" w:ascii="宋体" w:hAnsi="宋体" w:cs="宋体"/>
          <w:color w:val="auto"/>
          <w:kern w:val="0"/>
          <w:szCs w:val="21"/>
          <w:u w:val="single"/>
        </w:rPr>
        <w:t>，</w:t>
      </w:r>
      <w:r>
        <w:rPr>
          <w:rFonts w:hint="eastAsia" w:ascii="宋体" w:hAnsi="宋体" w:cs="宋体"/>
          <w:color w:val="auto"/>
          <w:kern w:val="0"/>
          <w:szCs w:val="21"/>
        </w:rPr>
        <w:t>有</w:t>
      </w:r>
      <w:r>
        <w:rPr>
          <w:rFonts w:hint="eastAsia" w:ascii="宋体" w:hAnsi="宋体" w:cs="宋体"/>
          <w:color w:val="auto"/>
          <w:kern w:val="0"/>
          <w:szCs w:val="21"/>
          <w:u w:val="none"/>
        </w:rPr>
        <w:t>类似工程施工</w:t>
      </w:r>
      <w:r>
        <w:rPr>
          <w:rFonts w:hint="eastAsia" w:ascii="宋体" w:hAnsi="宋体" w:cs="宋体"/>
          <w:color w:val="auto"/>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2021年12月10日至2021年12月12日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w:t>
      </w:r>
      <w:r>
        <w:rPr>
          <w:rFonts w:hint="eastAsia" w:ascii="宋体" w:hAnsi="宋体" w:cs="仿宋_GB2312"/>
          <w:color w:val="auto"/>
          <w:kern w:val="0"/>
          <w:sz w:val="21"/>
          <w:szCs w:val="21"/>
        </w:rPr>
        <w:t>.</w:t>
      </w:r>
      <w:r>
        <w:rPr>
          <w:rFonts w:hint="eastAsia" w:ascii="宋体" w:hAnsi="宋体" w:cs="仿宋_GB2312"/>
          <w:color w:val="auto"/>
          <w:kern w:val="0"/>
          <w:sz w:val="21"/>
          <w:szCs w:val="21"/>
          <w:lang w:val="en-US" w:eastAsia="zh-CN"/>
        </w:rPr>
        <w:t>1</w:t>
      </w:r>
      <w:r>
        <w:rPr>
          <w:rFonts w:hint="eastAsia" w:ascii="宋体" w:hAnsi="宋体" w:eastAsia="宋体" w:cs="宋体"/>
          <w:b w:val="0"/>
          <w:bCs w:val="0"/>
          <w:color w:val="auto"/>
          <w:kern w:val="0"/>
          <w:sz w:val="21"/>
          <w:szCs w:val="21"/>
          <w:u w:val="none"/>
          <w:lang w:val="en-US" w:eastAsia="zh-CN" w:bidi="ar-SA"/>
        </w:rPr>
        <w:t>投标文件</w:t>
      </w:r>
      <w:r>
        <w:rPr>
          <w:rFonts w:hint="eastAsia" w:ascii="宋体" w:hAnsi="宋体" w:cs="仿宋_GB2312"/>
          <w:color w:val="auto"/>
          <w:kern w:val="0"/>
          <w:sz w:val="21"/>
          <w:szCs w:val="21"/>
        </w:rPr>
        <w:t>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b w:val="0"/>
          <w:bCs w:val="0"/>
          <w:color w:val="auto"/>
          <w:kern w:val="0"/>
          <w:sz w:val="21"/>
          <w:szCs w:val="21"/>
          <w:u w:val="none"/>
          <w:lang w:val="en-US" w:eastAsia="zh-CN" w:bidi="ar-SA"/>
        </w:rPr>
      </w:pPr>
      <w:r>
        <w:rPr>
          <w:rFonts w:hint="eastAsia" w:ascii="宋体" w:hAnsi="宋体" w:cs="仿宋_GB2312"/>
          <w:color w:val="auto"/>
          <w:kern w:val="0"/>
          <w:sz w:val="21"/>
          <w:szCs w:val="21"/>
        </w:rPr>
        <w:t>5.2</w:t>
      </w:r>
      <w:r>
        <w:rPr>
          <w:rFonts w:hint="eastAsia" w:ascii="宋体" w:hAnsi="宋体" w:cs="仿宋_GB2312"/>
          <w:color w:val="auto"/>
          <w:kern w:val="0"/>
          <w:sz w:val="21"/>
          <w:szCs w:val="21"/>
          <w:lang w:val="en-US" w:eastAsia="zh-CN"/>
        </w:rPr>
        <w:t xml:space="preserve"> </w:t>
      </w:r>
      <w:r>
        <w:rPr>
          <w:rFonts w:hint="eastAsia" w:ascii="宋体" w:hAnsi="宋体" w:cs="仿宋_GB2312"/>
          <w:color w:val="auto"/>
          <w:kern w:val="0"/>
          <w:sz w:val="21"/>
          <w:szCs w:val="21"/>
        </w:rPr>
        <w:t>此分包</w:t>
      </w:r>
      <w:r>
        <w:rPr>
          <w:rFonts w:hint="eastAsia" w:ascii="宋体" w:hAnsi="宋体" w:cs="仿宋_GB2312"/>
          <w:color w:val="auto"/>
          <w:kern w:val="0"/>
          <w:sz w:val="21"/>
          <w:szCs w:val="21"/>
          <w:lang w:val="en-US" w:eastAsia="zh-CN"/>
        </w:rPr>
        <w:t>工程招标限价</w:t>
      </w:r>
      <w:r>
        <w:rPr>
          <w:rFonts w:hint="eastAsia" w:ascii="宋体" w:hAnsi="宋体" w:cs="仿宋_GB2312"/>
          <w:color w:val="auto"/>
          <w:kern w:val="0"/>
          <w:sz w:val="21"/>
          <w:szCs w:val="21"/>
        </w:rPr>
        <w:t>：</w:t>
      </w:r>
      <w:r>
        <w:rPr>
          <w:rFonts w:hint="eastAsia" w:ascii="宋体" w:hAnsi="宋体" w:cs="仿宋_GB2312"/>
          <w:color w:val="auto"/>
          <w:kern w:val="0"/>
          <w:sz w:val="21"/>
          <w:szCs w:val="21"/>
          <w:u w:val="single"/>
          <w:lang w:val="en-US" w:eastAsia="zh-CN"/>
        </w:rPr>
        <w:t xml:space="preserve">45000 </w:t>
      </w:r>
      <w:r>
        <w:rPr>
          <w:rFonts w:hint="eastAsia" w:ascii="宋体" w:hAnsi="宋体" w:cs="仿宋_GB2312"/>
          <w:color w:val="auto"/>
          <w:kern w:val="0"/>
          <w:sz w:val="21"/>
          <w:szCs w:val="21"/>
          <w:lang w:val="en-US" w:eastAsia="zh-CN"/>
        </w:rPr>
        <w:t>元/台</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w:t>
      </w:r>
      <w:r>
        <w:rPr>
          <w:rFonts w:hint="eastAsia" w:ascii="宋体" w:hAnsi="宋体" w:cs="仿宋_GB2312"/>
          <w:color w:val="auto"/>
          <w:kern w:val="0"/>
          <w:sz w:val="21"/>
          <w:szCs w:val="21"/>
          <w:lang w:val="en-US" w:eastAsia="zh-CN"/>
        </w:rPr>
        <w:t>高于限价，</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，地下管线搬迁、改造等基础下浮率为</w:t>
      </w:r>
      <w:r>
        <w:rPr>
          <w:rFonts w:hint="eastAsia" w:ascii="宋体" w:hAnsi="宋体" w:cs="仿宋_GB2312"/>
          <w:color w:val="auto"/>
          <w:kern w:val="0"/>
          <w:sz w:val="21"/>
          <w:szCs w:val="21"/>
          <w:u w:val="single"/>
          <w:lang w:val="en-US" w:eastAsia="zh-CN"/>
        </w:rPr>
        <w:t xml:space="preserve"> 12% </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w:t>
      </w:r>
      <w:bookmarkStart w:id="45" w:name="_GoBack"/>
      <w:bookmarkEnd w:id="45"/>
      <w:r>
        <w:rPr>
          <w:rFonts w:hint="eastAsia" w:ascii="宋体" w:hAnsi="宋体" w:cs="仿宋_GB2312"/>
          <w:color w:val="auto"/>
          <w:kern w:val="0"/>
          <w:sz w:val="21"/>
          <w:szCs w:val="21"/>
        </w:rPr>
        <w:t>报价</w:t>
      </w:r>
      <w:r>
        <w:rPr>
          <w:rFonts w:hint="eastAsia" w:ascii="宋体" w:hAnsi="宋体" w:cs="仿宋_GB2312"/>
          <w:color w:val="auto"/>
          <w:kern w:val="0"/>
          <w:sz w:val="21"/>
          <w:szCs w:val="21"/>
        </w:rPr>
        <w:t>不得低于基础价</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p>
    <w:p>
      <w:pPr>
        <w:pStyle w:val="13"/>
        <w:keepNext w:val="0"/>
        <w:keepLines w:val="0"/>
        <w:pageBreakBefore w:val="0"/>
        <w:kinsoku/>
        <w:overflowPunct/>
        <w:topLinePunct w:val="0"/>
        <w:bidi w:val="0"/>
        <w:snapToGrid/>
        <w:spacing w:line="320" w:lineRule="exact"/>
        <w:ind w:left="0" w:leftChars="0" w:firstLine="0" w:firstLineChars="0"/>
        <w:jc w:val="both"/>
        <w:rPr>
          <w:rFonts w:hint="eastAsia" w:ascii="仿宋_GB2312" w:hAnsi="仿宋" w:eastAsia="仿宋_GB2312" w:cs="仿宋"/>
          <w:color w:val="auto"/>
        </w:rPr>
      </w:pPr>
      <w:r>
        <w:rPr>
          <w:rFonts w:hint="eastAsia" w:ascii="宋体" w:hAnsi="宋体" w:cs="仿宋_GB2312"/>
          <w:color w:val="auto"/>
          <w:kern w:val="0"/>
          <w:sz w:val="21"/>
          <w:szCs w:val="21"/>
        </w:rPr>
        <w:t>5.3投标时所附文件包括：《投标函》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报价清单明细表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，分包项目管理人员名单附相对应人员的有效证件</w:t>
      </w:r>
      <w:r>
        <w:rPr>
          <w:rFonts w:hint="eastAsia" w:ascii="宋体" w:hAnsi="宋体" w:cs="仿宋_GB2312"/>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color w:val="auto"/>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pacing w:val="-20"/>
                <w:sz w:val="21"/>
                <w:szCs w:val="21"/>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none"/>
                <w:lang w:val="en-US" w:eastAsia="zh-CN"/>
              </w:rPr>
              <w:t>2021年增山小区、南林花园（苑）、世贸名流小区既有建筑加装电梯基坑劳务分包工程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0"/>
              <w:keepNext w:val="0"/>
              <w:keepLines w:val="0"/>
              <w:pageBreakBefore w:val="0"/>
              <w:numPr>
                <w:ilvl w:val="0"/>
                <w:numId w:val="0"/>
              </w:numPr>
              <w:kinsoku/>
              <w:overflowPunct/>
              <w:topLinePunct w:val="0"/>
              <w:bidi w:val="0"/>
              <w:snapToGrid/>
              <w:spacing w:line="320" w:lineRule="exact"/>
              <w:ind w:leftChars="0"/>
              <w:rPr>
                <w:rFonts w:hint="default" w:hAnsi="宋体"/>
                <w:color w:val="auto"/>
                <w:szCs w:val="21"/>
                <w:lang w:val="en-US"/>
              </w:rPr>
            </w:pP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预制桩</w:t>
            </w:r>
            <w:r>
              <w:rPr>
                <w:rFonts w:hint="eastAsia" w:ascii="宋体" w:hAnsi="宋体" w:eastAsia="宋体" w:cs="宋体"/>
                <w:b w:val="0"/>
                <w:bCs w:val="0"/>
                <w:color w:val="auto"/>
                <w:kern w:val="0"/>
                <w:sz w:val="21"/>
                <w:szCs w:val="21"/>
                <w:u w:val="none"/>
                <w:lang w:val="en-US" w:eastAsia="zh-CN" w:bidi="ar-SA"/>
              </w:rPr>
              <w:t>、基础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24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120日历天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以招标单位要求为准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int="default" w:hAnsi="宋体" w:eastAsia="宋体"/>
                <w:color w:val="auto"/>
                <w:sz w:val="21"/>
                <w:szCs w:val="21"/>
                <w:u w:val="single"/>
                <w:lang w:val="en-US" w:eastAsia="zh-CN"/>
              </w:rPr>
            </w:pPr>
            <w:r>
              <w:rPr>
                <w:rFonts w:hAnsi="宋体"/>
                <w:color w:val="auto"/>
                <w:szCs w:val="21"/>
              </w:rPr>
              <w:t>■</w:t>
            </w:r>
            <w:r>
              <w:rPr>
                <w:rFonts w:hint="eastAsia" w:hAnsi="宋体"/>
                <w:color w:val="auto"/>
                <w:sz w:val="21"/>
                <w:szCs w:val="21"/>
              </w:rPr>
              <w:t>合格</w:t>
            </w:r>
            <w:r>
              <w:rPr>
                <w:rFonts w:hint="eastAsia" w:hAnsi="宋体"/>
                <w:color w:val="auto"/>
                <w:sz w:val="21"/>
                <w:szCs w:val="21"/>
                <w:lang w:val="en-US" w:eastAsia="zh-CN"/>
              </w:rPr>
              <w:t>且通过建设局竣工验收</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12</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u w:val="none"/>
                <w:lang w:val="en-US" w:eastAsia="zh-CN"/>
              </w:rPr>
              <w:t>13</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u w:val="none"/>
                <w:lang w:val="en-US" w:eastAsia="zh-CN"/>
              </w:rPr>
              <w:t>9</w:t>
            </w:r>
            <w:r>
              <w:rPr>
                <w:rFonts w:hint="eastAsia" w:ascii="宋体" w:hAnsi="宋体" w:cs="仿宋_GB2312"/>
                <w:bCs/>
                <w:color w:val="auto"/>
                <w:kern w:val="0"/>
                <w:szCs w:val="21"/>
                <w:highlight w:val="yellow"/>
                <w:lang w:val="en-US" w:eastAsia="zh-CN"/>
              </w:rPr>
              <w:t>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olor w:val="auto"/>
                <w:kern w:val="0"/>
                <w:szCs w:val="21"/>
                <w:highlight w:val="yellow"/>
                <w:lang w:val="en-US" w:eastAsia="zh-CN"/>
              </w:rPr>
            </w:pPr>
            <w:r>
              <w:rPr>
                <w:rFonts w:hint="eastAsia" w:ascii="宋体" w:hAnsi="宋体"/>
                <w:color w:val="auto"/>
                <w:kern w:val="0"/>
                <w:szCs w:val="21"/>
                <w:u w:val="single"/>
                <w:lang w:val="en-US" w:eastAsia="zh-CN"/>
              </w:rPr>
              <w:t>2</w:t>
            </w:r>
            <w:r>
              <w:rPr>
                <w:rFonts w:hint="eastAsia" w:ascii="宋体" w:hAnsi="宋体"/>
                <w:color w:val="auto"/>
                <w:kern w:val="0"/>
                <w:szCs w:val="21"/>
              </w:rPr>
              <w:t>万元（大写金额</w:t>
            </w:r>
            <w:r>
              <w:rPr>
                <w:rFonts w:hint="eastAsia" w:ascii="宋体" w:hAnsi="宋体"/>
                <w:color w:val="auto"/>
                <w:kern w:val="0"/>
                <w:szCs w:val="21"/>
                <w:u w:val="single"/>
                <w:lang w:val="en-US" w:eastAsia="zh-CN"/>
              </w:rPr>
              <w:t>贰万元</w:t>
            </w:r>
            <w:r>
              <w:rPr>
                <w:rFonts w:hint="eastAsia" w:ascii="宋体" w:hAnsi="宋体"/>
                <w:color w:val="auto"/>
                <w:kern w:val="0"/>
                <w:szCs w:val="21"/>
              </w:rPr>
              <w:t>整）</w:t>
            </w:r>
            <w:r>
              <w:rPr>
                <w:rFonts w:hint="eastAsia" w:ascii="宋体" w:hAnsi="宋体"/>
                <w:color w:val="auto"/>
                <w:kern w:val="0"/>
                <w:szCs w:val="21"/>
                <w:lang w:eastAsia="zh-CN"/>
              </w:rPr>
              <w:t>，</w:t>
            </w:r>
            <w:r>
              <w:rPr>
                <w:rFonts w:hint="eastAsia" w:ascii="宋体" w:hAnsi="宋体"/>
                <w:color w:val="auto"/>
                <w:kern w:val="0"/>
                <w:szCs w:val="21"/>
                <w:lang w:val="en-US" w:eastAsia="zh-CN"/>
              </w:rPr>
              <w:t>在建设集团分包库内的投标人可不缴纳。</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5"/>
        <w:keepNext w:val="0"/>
        <w:keepLines w:val="0"/>
        <w:pageBreakBefore w:val="0"/>
        <w:widowControl w:val="0"/>
        <w:kinsoku/>
        <w:wordWrap/>
        <w:overflowPunct/>
        <w:topLinePunct w:val="0"/>
        <w:bidi w:val="0"/>
        <w:spacing w:line="320" w:lineRule="exact"/>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w:t>
      </w:r>
      <w:r>
        <w:rPr>
          <w:rFonts w:hint="eastAsia" w:ascii="宋体" w:hAnsi="宋体" w:cs="仿宋_GB2312"/>
          <w:color w:val="auto"/>
          <w:kern w:val="0"/>
          <w:szCs w:val="21"/>
          <w:lang w:val="en-US" w:eastAsia="zh-CN"/>
        </w:rPr>
        <w:t>项目</w:t>
      </w:r>
      <w:r>
        <w:rPr>
          <w:rFonts w:hint="eastAsia" w:ascii="宋体" w:hAnsi="宋体" w:cs="仿宋_GB2312"/>
          <w:color w:val="auto"/>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宋体"/>
          <w:color w:val="auto"/>
          <w:kern w:val="0"/>
          <w:szCs w:val="21"/>
          <w:lang w:val="en-US" w:eastAsia="zh-CN"/>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投标单位自行踏勘，投标单位应在投标前认真踏勘现场并合理报价，否则产生的责任由投标人自行承担。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 xml:space="preserve">1.8.4 </w:t>
      </w:r>
      <w:r>
        <w:rPr>
          <w:rFonts w:hint="default" w:ascii="宋体" w:hAnsi="宋体" w:cs="仿宋_GB2312"/>
          <w:color w:val="auto"/>
          <w:kern w:val="0"/>
          <w:szCs w:val="21"/>
          <w:lang w:val="zh-CN"/>
        </w:rPr>
        <w:t>投标人应自行踏勘现场，且对现场踏勘的结论</w:t>
      </w:r>
      <w:r>
        <w:rPr>
          <w:rFonts w:hint="eastAsia" w:ascii="宋体" w:hAnsi="宋体" w:cs="仿宋_GB2312"/>
          <w:color w:val="auto"/>
          <w:kern w:val="0"/>
          <w:szCs w:val="21"/>
          <w:lang w:val="en-US" w:eastAsia="zh-CN"/>
        </w:rPr>
        <w:t>及投标报价负责</w:t>
      </w:r>
      <w:r>
        <w:rPr>
          <w:rFonts w:hint="eastAsia" w:ascii="宋体" w:hAnsi="宋体" w:cs="仿宋_GB2312"/>
          <w:color w:val="auto"/>
          <w:kern w:val="0"/>
          <w:szCs w:val="21"/>
          <w:lang w:val="zh-CN"/>
        </w:rPr>
        <w:t>，</w:t>
      </w:r>
      <w:r>
        <w:rPr>
          <w:rFonts w:hint="default" w:ascii="宋体" w:hAnsi="宋体" w:cs="仿宋_GB2312"/>
          <w:color w:val="auto"/>
          <w:kern w:val="0"/>
          <w:szCs w:val="21"/>
          <w:lang w:val="zh-CN"/>
        </w:rPr>
        <w:t>投标人的报价被认为是已包含了为完成承包范围内工程的所有工作</w:t>
      </w:r>
      <w:r>
        <w:rPr>
          <w:rFonts w:hint="eastAsia" w:ascii="宋体" w:hAnsi="宋体" w:cs="仿宋_GB2312"/>
          <w:color w:val="auto"/>
          <w:kern w:val="0"/>
          <w:szCs w:val="21"/>
          <w:lang w:val="en-US" w:eastAsia="zh-CN"/>
        </w:rPr>
        <w:t>内容，</w:t>
      </w:r>
      <w:r>
        <w:rPr>
          <w:rFonts w:hint="eastAsia" w:ascii="宋体" w:hAnsi="宋体" w:eastAsia="宋体" w:cs="宋体"/>
          <w:b w:val="0"/>
          <w:bCs w:val="0"/>
          <w:color w:val="auto"/>
          <w:kern w:val="0"/>
          <w:sz w:val="21"/>
          <w:szCs w:val="21"/>
          <w:u w:val="none"/>
          <w:lang w:val="en-US" w:eastAsia="zh-CN" w:bidi="ar-SA"/>
        </w:rPr>
        <w:t>中标后不予增加</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 xml:space="preserve">9 </w:t>
      </w:r>
      <w:r>
        <w:rPr>
          <w:rFonts w:hint="eastAsia" w:ascii="宋体" w:hAnsi="宋体" w:cs="TimesNewRomanPSMT"/>
          <w:color w:val="auto"/>
          <w:kern w:val="0"/>
          <w:szCs w:val="21"/>
        </w:rPr>
        <w:t>中标人负责对现场</w:t>
      </w:r>
      <w:r>
        <w:rPr>
          <w:rFonts w:hint="eastAsia" w:ascii="宋体" w:hAnsi="宋体" w:cs="TimesNewRomanPSMT"/>
          <w:color w:val="auto"/>
          <w:kern w:val="0"/>
          <w:szCs w:val="21"/>
          <w:lang w:val="en-US" w:eastAsia="zh-CN"/>
        </w:rPr>
        <w:t>已有房屋、道路等设施进行保护，严禁野蛮施工，中标人负责对现场造成损坏的设施进行修复至原样，若中标人对现场每发生一次破坏且不恢复原样的，对中标人进行2000元罚款</w:t>
      </w:r>
      <w:r>
        <w:rPr>
          <w:rFonts w:hint="eastAsia" w:ascii="宋体" w:hAnsi="宋体" w:cs="TimesNewRomanPSMT"/>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一旦发现有转包或收到投诉转包的，招标单位有权单方面解除合同，并将中标人录入公司黑名单，情节严重的将上报建设主管部门处理，并处罚没收全部履约保证金或入围保证金</w:t>
      </w:r>
      <w:r>
        <w:rPr>
          <w:rFonts w:hint="eastAsia" w:ascii="宋体" w:hAnsi="宋体" w:cs="仿宋_GB2312"/>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施工图纸及清单；（7）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在到达投标截止时间时则视为投标人清楚认识本工程的一切风险，并对投标负责</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hint="eastAsia" w:ascii="宋体" w:hAnsi="宋体" w:cs="仿宋_GB2312"/>
          <w:color w:val="auto"/>
          <w:kern w:val="0"/>
          <w:szCs w:val="21"/>
        </w:rPr>
        <w:t>3.1.1 投标文件应包括下列内容：《投标函》</w:t>
      </w:r>
      <w:r>
        <w:rPr>
          <w:rFonts w:hint="eastAsia" w:ascii="宋体" w:hAnsi="宋体" w:cs="仿宋_GB2312"/>
          <w:color w:val="auto"/>
          <w:kern w:val="0"/>
          <w:szCs w:val="21"/>
          <w:lang w:eastAsia="zh-CN"/>
        </w:rPr>
        <w:t>、</w:t>
      </w:r>
      <w:r>
        <w:rPr>
          <w:rFonts w:hint="eastAsia" w:ascii="宋体" w:hAnsi="宋体" w:cs="仿宋_GB2312"/>
          <w:color w:val="auto"/>
          <w:kern w:val="0"/>
          <w:szCs w:val="21"/>
        </w:rPr>
        <w:t>《法人授权委托书》、</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r>
        <w:rPr>
          <w:rFonts w:hint="eastAsia" w:ascii="宋体" w:hAnsi="宋体" w:cs="仿宋_GB2312"/>
          <w:color w:val="auto"/>
          <w:kern w:val="0"/>
          <w:szCs w:val="21"/>
        </w:rPr>
        <w:t>《分包项目管理人员表》、《项目管理组织机构》</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《报价清单明细表》</w:t>
      </w:r>
      <w:r>
        <w:rPr>
          <w:rFonts w:hint="eastAsia" w:ascii="宋体" w:hAnsi="宋体" w:cs="仿宋_GB2312"/>
          <w:color w:val="auto"/>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r>
        <w:rPr>
          <w:rFonts w:hint="eastAsia" w:ascii="宋体" w:hAnsi="宋体" w:cs="仿宋_GB2312"/>
          <w:color w:val="auto"/>
          <w:kern w:val="0"/>
          <w:szCs w:val="21"/>
          <w:u w:val="none"/>
        </w:rPr>
        <w:t>3.2.</w:t>
      </w:r>
      <w:r>
        <w:rPr>
          <w:rFonts w:hint="eastAsia" w:ascii="宋体" w:hAnsi="宋体" w:cs="仿宋_GB2312"/>
          <w:color w:val="auto"/>
          <w:kern w:val="0"/>
          <w:szCs w:val="21"/>
          <w:u w:val="none"/>
          <w:lang w:val="en-US" w:eastAsia="zh-CN"/>
        </w:rPr>
        <w:t>2</w:t>
      </w:r>
      <w:r>
        <w:rPr>
          <w:rFonts w:hint="eastAsia" w:ascii="宋体" w:hAnsi="宋体" w:cs="仿宋_GB2312"/>
          <w:color w:val="auto"/>
          <w:kern w:val="0"/>
          <w:szCs w:val="21"/>
          <w:u w:val="none"/>
        </w:rPr>
        <w:t xml:space="preserve"> 投标人应按</w:t>
      </w:r>
      <w:r>
        <w:rPr>
          <w:rFonts w:hint="eastAsia" w:ascii="宋体" w:hAnsi="宋体" w:cs="仿宋_GB2312"/>
          <w:color w:val="auto"/>
          <w:kern w:val="0"/>
          <w:szCs w:val="21"/>
          <w:u w:val="none"/>
        </w:rPr>
        <w:fldChar w:fldCharType="begin"/>
      </w:r>
      <w:r>
        <w:rPr>
          <w:rFonts w:hint="eastAsia" w:ascii="宋体" w:hAnsi="宋体" w:cs="仿宋_GB2312"/>
          <w:color w:val="auto"/>
          <w:kern w:val="0"/>
          <w:szCs w:val="21"/>
          <w:u w:val="none"/>
        </w:rPr>
        <w:instrText xml:space="preserve"> HYPERLINK \l "第五章工程量清单" </w:instrText>
      </w:r>
      <w:r>
        <w:rPr>
          <w:rFonts w:hint="eastAsia" w:ascii="宋体" w:hAnsi="宋体" w:cs="仿宋_GB2312"/>
          <w:color w:val="auto"/>
          <w:kern w:val="0"/>
          <w:szCs w:val="21"/>
          <w:u w:val="none"/>
        </w:rPr>
        <w:fldChar w:fldCharType="separate"/>
      </w:r>
      <w:r>
        <w:rPr>
          <w:rFonts w:hint="eastAsia" w:ascii="宋体" w:hAnsi="宋体" w:cs="仿宋_GB2312"/>
          <w:color w:val="auto"/>
          <w:kern w:val="0"/>
          <w:szCs w:val="21"/>
          <w:u w:val="none"/>
          <w:lang w:val="en-US" w:eastAsia="zh-CN"/>
        </w:rPr>
        <w:t>附件2</w:t>
      </w:r>
      <w:r>
        <w:rPr>
          <w:rFonts w:hint="eastAsia" w:ascii="宋体" w:hAnsi="宋体" w:cs="仿宋_GB2312"/>
          <w:color w:val="auto"/>
          <w:kern w:val="0"/>
          <w:szCs w:val="21"/>
          <w:u w:val="none"/>
        </w:rPr>
        <w:t>“工程量清单”</w:t>
      </w:r>
      <w:r>
        <w:rPr>
          <w:rFonts w:hint="eastAsia" w:ascii="宋体" w:hAnsi="宋体" w:cs="仿宋_GB2312"/>
          <w:color w:val="auto"/>
          <w:kern w:val="0"/>
          <w:szCs w:val="21"/>
          <w:u w:val="none"/>
        </w:rPr>
        <w:fldChar w:fldCharType="end"/>
      </w:r>
      <w:r>
        <w:rPr>
          <w:rFonts w:hint="eastAsia" w:ascii="宋体" w:hAnsi="宋体" w:cs="仿宋_GB2312"/>
          <w:color w:val="auto"/>
          <w:kern w:val="0"/>
          <w:szCs w:val="21"/>
          <w:u w:val="none"/>
        </w:rPr>
        <w:t>的</w:t>
      </w:r>
      <w:r>
        <w:rPr>
          <w:rFonts w:hint="eastAsia" w:ascii="宋体" w:hAnsi="宋体" w:cs="仿宋_GB2312"/>
          <w:color w:val="auto"/>
          <w:kern w:val="0"/>
          <w:szCs w:val="21"/>
          <w:u w:val="none"/>
          <w:lang w:val="en-US" w:eastAsia="zh-CN"/>
        </w:rPr>
        <w:t>项目</w:t>
      </w:r>
      <w:r>
        <w:rPr>
          <w:rFonts w:hint="eastAsia" w:ascii="宋体" w:hAnsi="宋体" w:cs="仿宋_GB2312"/>
          <w:color w:val="auto"/>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bookmarkStart w:id="2" w:name="第二章第323项"/>
      <w:r>
        <w:rPr>
          <w:rFonts w:hint="eastAsia" w:ascii="宋体" w:hAnsi="宋体" w:cs="仿宋_GB2312"/>
          <w:color w:val="auto"/>
          <w:kern w:val="0"/>
          <w:szCs w:val="21"/>
          <w:u w:val="none"/>
        </w:rPr>
        <w:t>3.2.3</w:t>
      </w:r>
      <w:bookmarkEnd w:id="2"/>
      <w:r>
        <w:rPr>
          <w:rFonts w:hint="eastAsia" w:ascii="宋体" w:hAnsi="宋体" w:cs="仿宋_GB2312"/>
          <w:color w:val="auto"/>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single"/>
        </w:rPr>
      </w:pPr>
      <w:r>
        <w:rPr>
          <w:rFonts w:ascii="宋体" w:hAnsi="宋体" w:cs="仿宋_GB2312"/>
          <w:color w:val="auto"/>
          <w:kern w:val="0"/>
          <w:szCs w:val="21"/>
        </w:rPr>
        <w:t>3.2.</w:t>
      </w:r>
      <w:r>
        <w:rPr>
          <w:rFonts w:hint="eastAsia" w:ascii="宋体" w:hAnsi="宋体" w:cs="仿宋_GB2312"/>
          <w:color w:val="auto"/>
          <w:kern w:val="0"/>
          <w:szCs w:val="21"/>
          <w:lang w:val="en-US" w:eastAsia="zh-CN"/>
        </w:rPr>
        <w:t>4</w:t>
      </w:r>
      <w:r>
        <w:rPr>
          <w:rFonts w:ascii="宋体" w:hAnsi="宋体" w:cs="仿宋_GB2312"/>
          <w:color w:val="auto"/>
          <w:kern w:val="0"/>
          <w:szCs w:val="21"/>
        </w:rPr>
        <w:t xml:space="preserve">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w:t>
      </w:r>
      <w:r>
        <w:rPr>
          <w:rFonts w:hint="eastAsia" w:ascii="宋体" w:hAnsi="宋体" w:cs="仿宋_GB2312"/>
          <w:color w:val="auto"/>
          <w:kern w:val="0"/>
          <w:szCs w:val="21"/>
          <w:u w:val="single"/>
        </w:rPr>
        <w:t>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eastAsia="宋体" w:cs="宋体"/>
          <w:b w:val="0"/>
          <w:bCs w:val="0"/>
          <w:color w:val="auto"/>
          <w:kern w:val="0"/>
          <w:sz w:val="21"/>
          <w:szCs w:val="21"/>
          <w:u w:val="none"/>
          <w:lang w:val="en-US" w:eastAsia="zh-CN" w:bidi="ar-SA"/>
        </w:rPr>
        <w:t>3.2.5 本项目为民生工程，工期紧张，故土建部分与钢结构、电梯安装等工序同步施工、交叉进行，在第一台电梯土建井道完成后，钢结构、电梯须同步进场安装，现场施工须服从招标人及业主指令（包括垃圾清理等），不得推诿。中标单位需充分考虑与钢结构及电梯单位的配合、交接工作，服从招标人及业主的现场协调管理，由此产生的施工配合费用须综合考虑在投标报价中，中标后不予增加。</w:t>
      </w:r>
      <w:r>
        <w:rPr>
          <w:rFonts w:hint="eastAsia" w:ascii="宋体" w:hAnsi="宋体" w:cs="宋体"/>
          <w:b w:val="0"/>
          <w:bCs w:val="0"/>
          <w:color w:val="auto"/>
          <w:kern w:val="0"/>
          <w:sz w:val="21"/>
          <w:szCs w:val="21"/>
          <w:u w:val="none"/>
          <w:lang w:val="en-US" w:eastAsia="zh-CN" w:bidi="ar-SA"/>
        </w:rPr>
        <w:t>由于现场卫生、文明施工不到位等原因对招标单位造成影响的，招标人有权另行委托单位进行处理，所产生的费用由中标人承担。招标单位受到业主单位处罚的，招标人有权对中标人加强处罚。</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3.2.6 现场围挡应搭设至整体钢结构及电梯安装完成后满足拆除条件时才可以拆除，相关费用包含在投标报价中，发生时不另外计算。如中标人拒不服从招标单位管理提前拆除的，招标单位有权另行委托单位进行搭设施工，由此产生的一切费用由中标人承担，对此投标人完全知晓并同意。</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eastAsia="宋体" w:cs="仿宋_GB2312"/>
          <w:color w:val="auto"/>
          <w:kern w:val="0"/>
          <w:szCs w:val="21"/>
          <w:lang w:eastAsia="zh-CN"/>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u w:val="single"/>
          <w:lang w:val="en-US" w:eastAsia="zh-CN"/>
        </w:rPr>
        <w:t>2</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贰</w:t>
      </w:r>
      <w:r>
        <w:rPr>
          <w:rFonts w:hint="eastAsia" w:ascii="宋体" w:hAnsi="宋体"/>
          <w:color w:val="auto"/>
          <w:kern w:val="0"/>
          <w:szCs w:val="21"/>
          <w:u w:val="single"/>
        </w:rPr>
        <w:t>万圆</w:t>
      </w:r>
      <w:r>
        <w:rPr>
          <w:rFonts w:hint="eastAsia" w:ascii="宋体" w:hAnsi="宋体"/>
          <w:color w:val="auto"/>
          <w:kern w:val="0"/>
          <w:szCs w:val="21"/>
        </w:rPr>
        <w:t>整</w:t>
      </w:r>
      <w:r>
        <w:rPr>
          <w:rFonts w:hint="eastAsia" w:ascii="宋体" w:hAnsi="宋体"/>
          <w:color w:val="auto"/>
          <w:kern w:val="0"/>
          <w:szCs w:val="21"/>
        </w:rPr>
        <w:t xml:space="preserve"> </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olor w:val="auto"/>
          <w:kern w:val="0"/>
          <w:szCs w:val="21"/>
          <w:lang w:val="en-US" w:eastAsia="zh-CN"/>
        </w:rPr>
        <w:t>在建设集团分包库内的投标人可不缴纳。</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w:t>
      </w:r>
      <w:r>
        <w:rPr>
          <w:rFonts w:hint="eastAsia" w:ascii="宋体" w:hAnsi="宋体" w:cs="仿宋_GB2312"/>
          <w:color w:val="auto"/>
          <w:kern w:val="0"/>
          <w:szCs w:val="21"/>
          <w:lang w:val="en-US" w:eastAsia="zh-CN"/>
        </w:rPr>
        <w:t>在2天内</w:t>
      </w:r>
      <w:r>
        <w:rPr>
          <w:rFonts w:hint="eastAsia" w:ascii="宋体" w:hAnsi="宋体" w:cs="仿宋_GB2312"/>
          <w:color w:val="auto"/>
          <w:kern w:val="0"/>
          <w:szCs w:val="21"/>
        </w:rPr>
        <w:t>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2</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r>
        <w:rPr>
          <w:rFonts w:hint="eastAsia" w:ascii="宋体" w:hAnsi="宋体" w:cs="TimesNewRomanPSMT"/>
          <w:color w:val="auto"/>
          <w:kern w:val="0"/>
          <w:szCs w:val="21"/>
        </w:rPr>
        <w:t>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评标小组有权视其投标为废标。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eastAsia="宋体" w:cs="TimesNewRomanPSMT"/>
          <w:color w:val="auto"/>
          <w:kern w:val="0"/>
          <w:szCs w:val="21"/>
          <w:lang w:val="en-US" w:eastAsia="zh-CN"/>
        </w:rPr>
      </w:pPr>
      <w:r>
        <w:rPr>
          <w:rFonts w:hint="eastAsia" w:ascii="宋体" w:hAnsi="宋体" w:cs="仿宋_GB2312"/>
          <w:color w:val="auto"/>
          <w:kern w:val="0"/>
          <w:szCs w:val="21"/>
        </w:rPr>
        <w:t>6.3 评标办法:</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最高得分投标人中标。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若已经缴纳入库保证金的投标人，可不缴纳此项费用。</w:t>
      </w:r>
    </w:p>
    <w:p>
      <w:pPr>
        <w:pStyle w:val="13"/>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.1</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 w:name="_Toc296590983"/>
      <w:bookmarkStart w:id="4" w:name="_Toc246996962"/>
      <w:bookmarkStart w:id="5" w:name="_Toc296602462"/>
      <w:bookmarkStart w:id="6" w:name="_Toc144974543"/>
      <w:bookmarkStart w:id="7" w:name="_Toc152042351"/>
      <w:bookmarkStart w:id="8" w:name="_Toc179632593"/>
      <w:bookmarkStart w:id="9" w:name="_Toc152045575"/>
      <w:bookmarkStart w:id="10" w:name="_Toc246996219"/>
      <w:bookmarkStart w:id="11" w:name="_Toc247085733"/>
      <w:r>
        <w:rPr>
          <w:rFonts w:hint="eastAsia" w:ascii="宋体" w:hAnsi="宋体" w:cs="TimesNewRomanPSMT"/>
          <w:color w:val="auto"/>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12" w:name="_Toc152042352"/>
      <w:bookmarkStart w:id="13" w:name="_Toc247085734"/>
      <w:bookmarkStart w:id="14" w:name="_Toc179632594"/>
      <w:bookmarkStart w:id="15" w:name="_Toc246996220"/>
      <w:bookmarkStart w:id="16" w:name="_Toc152045576"/>
      <w:bookmarkStart w:id="17" w:name="_Toc296602463"/>
      <w:bookmarkStart w:id="18" w:name="_Toc246996963"/>
      <w:bookmarkStart w:id="19" w:name="_Toc144974544"/>
      <w:r>
        <w:rPr>
          <w:rFonts w:hint="eastAsia" w:ascii="宋体" w:hAnsi="宋体" w:cs="TimesNewRomanPSMT"/>
          <w:color w:val="auto"/>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投标人不得相互串通投标或者与招标人串通投标，不得向招标人或者评标委员会成员行贿谋取中标，不得以他人名义投标或者以其他方式弄虚作假骗取中标；投标人不得以低于成本的报价竞标</w:t>
      </w:r>
      <w:r>
        <w:rPr>
          <w:rFonts w:hint="eastAsia" w:ascii="宋体" w:hAnsi="宋体" w:cs="TimesNewRomanPSMT"/>
          <w:color w:val="auto"/>
          <w:kern w:val="0"/>
          <w:szCs w:val="21"/>
          <w:lang w:eastAsia="zh-CN"/>
        </w:rPr>
        <w:t>；</w:t>
      </w:r>
      <w:r>
        <w:rPr>
          <w:rFonts w:hint="eastAsia" w:ascii="宋体" w:hAnsi="宋体" w:cs="TimesNewRomanPSMT"/>
          <w:color w:val="auto"/>
          <w:kern w:val="0"/>
          <w:szCs w:val="21"/>
        </w:rPr>
        <w:t>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0" w:name="_Toc152042353"/>
      <w:bookmarkStart w:id="21" w:name="_Toc247085735"/>
      <w:bookmarkStart w:id="22" w:name="_Toc296602464"/>
      <w:bookmarkStart w:id="23" w:name="_Toc144974545"/>
      <w:bookmarkStart w:id="24" w:name="_Toc179632595"/>
      <w:bookmarkStart w:id="25" w:name="_Toc152045577"/>
      <w:bookmarkStart w:id="26" w:name="_Toc246996964"/>
      <w:bookmarkStart w:id="27" w:name="_Toc246996221"/>
      <w:r>
        <w:rPr>
          <w:rFonts w:hint="eastAsia" w:ascii="宋体" w:hAnsi="宋体" w:cs="TimesNewRomanPSMT"/>
          <w:color w:val="auto"/>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8" w:name="_Toc246996222"/>
      <w:bookmarkStart w:id="29" w:name="_Toc152045578"/>
      <w:bookmarkStart w:id="30" w:name="_Toc296602465"/>
      <w:bookmarkStart w:id="31" w:name="_Toc152042354"/>
      <w:bookmarkStart w:id="32" w:name="_Toc247085736"/>
      <w:bookmarkStart w:id="33" w:name="_Toc246996965"/>
      <w:bookmarkStart w:id="34" w:name="_Toc179632596"/>
      <w:bookmarkStart w:id="35" w:name="_Toc144974546"/>
      <w:r>
        <w:rPr>
          <w:rFonts w:hint="eastAsia" w:ascii="宋体" w:hAnsi="宋体" w:cs="TimesNewRomanPSMT"/>
          <w:color w:val="auto"/>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6"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bookmarkStart w:id="37" w:name="_Toc152042356"/>
      <w:bookmarkStart w:id="38" w:name="_Toc179632597"/>
      <w:bookmarkStart w:id="39" w:name="_Toc246996966"/>
      <w:bookmarkStart w:id="40" w:name="_Toc246996223"/>
      <w:bookmarkStart w:id="41" w:name="_Toc152045579"/>
      <w:bookmarkStart w:id="42" w:name="_Toc296602466"/>
      <w:bookmarkStart w:id="43" w:name="_Toc247085737"/>
      <w:r>
        <w:rPr>
          <w:rFonts w:hint="eastAsia" w:ascii="宋体" w:hAnsi="宋体" w:cs="TimesNewRomanPSMT"/>
          <w:color w:val="auto"/>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tbl>
      <w:tblPr>
        <w:tblStyle w:val="15"/>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464"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106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auto"/>
                <w:sz w:val="21"/>
                <w:szCs w:val="21"/>
                <w:lang w:val="en-US" w:eastAsia="zh-CN"/>
              </w:rPr>
              <w:t>以电梯基础工程固定总价最低有效报价得100分，次低有效报价得99分，以此类推。</w:t>
            </w:r>
          </w:p>
        </w:tc>
      </w:tr>
    </w:tbl>
    <w:p>
      <w:pPr>
        <w:pStyle w:val="13"/>
        <w:spacing w:after="0" w:line="240" w:lineRule="auto"/>
        <w:ind w:left="0" w:leftChars="0" w:right="0" w:rightChars="0" w:firstLine="0" w:firstLineChars="0"/>
        <w:jc w:val="both"/>
        <w:rPr>
          <w:rFonts w:hint="default"/>
          <w:b/>
          <w:bCs/>
          <w:color w:val="auto"/>
          <w:lang w:val="en-US" w:eastAsia="zh-CN"/>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hint="default" w:ascii="宋体" w:hAnsi="宋体" w:eastAsia="宋体" w:cs="TimesNewRomanPSMT"/>
          <w:color w:val="auto"/>
          <w:kern w:val="0"/>
          <w:szCs w:val="21"/>
          <w:lang w:val="en-US" w:eastAsia="zh-CN"/>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hint="default" w:ascii="宋体" w:hAnsi="宋体" w:cs="TimesNewRomanPSMT"/>
          <w:color w:val="auto"/>
          <w:kern w:val="0"/>
          <w:szCs w:val="21"/>
          <w:u w:val="single"/>
          <w:lang w:val="en-US"/>
        </w:rPr>
      </w:pPr>
      <w:r>
        <w:rPr>
          <w:rFonts w:ascii="宋体" w:hAnsi="宋体" w:cs="TimesNewRomanPSMT"/>
          <w:color w:val="auto"/>
          <w:kern w:val="0"/>
          <w:szCs w:val="21"/>
        </w:rPr>
        <w:t>2.2</w:t>
      </w:r>
      <w:r>
        <w:rPr>
          <w:rFonts w:hint="eastAsia" w:ascii="宋体" w:hAnsi="宋体" w:cs="TimesNewRomanPSMT"/>
          <w:color w:val="auto"/>
          <w:kern w:val="0"/>
          <w:sz w:val="21"/>
          <w:szCs w:val="21"/>
          <w:lang w:val="en-US" w:eastAsia="zh-CN"/>
        </w:rPr>
        <w:t xml:space="preserve"> </w:t>
      </w:r>
      <w:r>
        <w:rPr>
          <w:rFonts w:hint="eastAsia" w:ascii="宋体" w:hAnsi="宋体" w:cs="TimesNewRomanPSMT"/>
          <w:color w:val="auto"/>
          <w:sz w:val="21"/>
          <w:szCs w:val="21"/>
          <w:lang w:val="en-US" w:eastAsia="zh-CN"/>
        </w:rPr>
        <w:t>结算</w:t>
      </w:r>
      <w:r>
        <w:rPr>
          <w:rFonts w:hint="eastAsia" w:ascii="宋体" w:hAnsi="宋体" w:cs="TimesNewRomanPSMT"/>
          <w:color w:val="auto"/>
          <w:sz w:val="21"/>
          <w:szCs w:val="21"/>
        </w:rPr>
        <w:t>方式：</w:t>
      </w:r>
      <w:r>
        <w:rPr>
          <w:rFonts w:hint="eastAsia" w:ascii="宋体" w:hAnsi="宋体" w:cs="TimesNewRomanPSMT"/>
          <w:color w:val="auto"/>
          <w:sz w:val="21"/>
          <w:szCs w:val="21"/>
          <w:lang w:val="en-US" w:eastAsia="zh-CN"/>
        </w:rPr>
        <w:t>本工程除政策处理导致台班人工等损失以及地下雨污官网改造工程发生时以业主单位委托的第三方结算审计为准外，</w:t>
      </w:r>
      <w:r>
        <w:rPr>
          <w:rFonts w:hint="eastAsia" w:ascii="宋体" w:hAnsi="宋体" w:cs="TimesNewRomanPSMT"/>
          <w:color w:val="auto"/>
          <w:sz w:val="21"/>
          <w:szCs w:val="21"/>
          <w:u w:val="none"/>
          <w:lang w:val="en-US" w:eastAsia="zh-CN"/>
        </w:rPr>
        <w:t>其余按单台固定总价结算</w:t>
      </w:r>
      <w:r>
        <w:rPr>
          <w:rFonts w:hint="eastAsia" w:ascii="宋体" w:hAnsi="宋体" w:cs="TimesNewRomanPSMT"/>
          <w:color w:val="auto"/>
          <w:sz w:val="21"/>
          <w:szCs w:val="21"/>
          <w:lang w:val="en-US" w:eastAsia="zh-CN"/>
        </w:rPr>
        <w:t>。</w:t>
      </w:r>
      <w:r>
        <w:rPr>
          <w:rFonts w:hint="eastAsia" w:ascii="宋体" w:hAnsi="宋体" w:cs="TimesNewRomanPSMT"/>
          <w:color w:val="auto"/>
          <w:sz w:val="21"/>
          <w:szCs w:val="21"/>
          <w:u w:val="single"/>
          <w:lang w:val="en-US" w:eastAsia="zh-CN"/>
        </w:rPr>
        <w:t>本次招标以单台固定总价进行结算，招标清单中的工程量只供投标人在投标时进行参考。</w:t>
      </w:r>
    </w:p>
    <w:p>
      <w:pPr>
        <w:pStyle w:val="13"/>
        <w:spacing w:after="0" w:line="240" w:lineRule="auto"/>
        <w:ind w:left="0" w:leftChars="0" w:right="0" w:rightChars="0" w:firstLine="0" w:firstLineChars="0"/>
        <w:jc w:val="both"/>
        <w:rPr>
          <w:rFonts w:hint="default" w:ascii="宋体" w:hAnsi="宋体" w:cs="TimesNewRomanPSMT"/>
          <w:color w:val="auto"/>
          <w:kern w:val="0"/>
          <w:szCs w:val="21"/>
          <w:lang w:val="en-US"/>
        </w:rPr>
      </w:pPr>
      <w:r>
        <w:rPr>
          <w:rFonts w:hint="eastAsia" w:ascii="宋体" w:hAnsi="宋体" w:cs="TimesNewRomanPSMT"/>
          <w:bCs/>
          <w:color w:val="auto"/>
          <w:sz w:val="21"/>
          <w:szCs w:val="21"/>
          <w:lang w:val="en-US" w:eastAsia="zh-CN"/>
        </w:rPr>
        <w:t xml:space="preserve">2.3 </w:t>
      </w:r>
      <w:r>
        <w:rPr>
          <w:rFonts w:hint="eastAsia" w:ascii="宋体" w:hAnsi="宋体" w:cs="TimesNewRomanPSMT"/>
          <w:bCs/>
          <w:color w:val="auto"/>
          <w:sz w:val="21"/>
          <w:szCs w:val="21"/>
        </w:rPr>
        <w:t>由于政策处理等非</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原因造成的停工对</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造成损失（如机械台班等）以及地下开挖出现雨污管网、化粪池需搬迁改位等，根据现场实际施工情况由专班项目现场负责人联合监理等参建单位进行签证</w:t>
      </w:r>
      <w:r>
        <w:rPr>
          <w:rFonts w:hint="eastAsia" w:ascii="宋体" w:hAnsi="宋体" w:cs="TimesNewRomanPSMT"/>
          <w:bCs/>
          <w:color w:val="auto"/>
          <w:sz w:val="21"/>
          <w:szCs w:val="21"/>
          <w:lang w:val="en-US" w:eastAsia="zh-CN"/>
        </w:rPr>
        <w:t>计价</w:t>
      </w:r>
      <w:r>
        <w:rPr>
          <w:rFonts w:hint="eastAsia" w:ascii="宋体" w:hAnsi="宋体" w:cs="TimesNewRomanPSMT"/>
          <w:color w:val="auto"/>
          <w:szCs w:val="21"/>
          <w:lang w:val="en-US" w:eastAsia="zh-CN"/>
        </w:rPr>
        <w:t>，且最终计价方式为：</w:t>
      </w:r>
      <w:r>
        <w:rPr>
          <w:rFonts w:hint="eastAsia" w:ascii="宋体" w:hAnsi="宋体" w:cs="TimesNewRomanPSMT"/>
          <w:b/>
          <w:bCs/>
          <w:color w:val="auto"/>
          <w:sz w:val="21"/>
          <w:szCs w:val="21"/>
          <w:u w:val="single"/>
        </w:rPr>
        <w:t>审计结算价</w:t>
      </w:r>
      <w:r>
        <w:rPr>
          <w:rFonts w:hint="eastAsia" w:ascii="宋体" w:hAnsi="宋体" w:cs="TimesNewRomanPSMT"/>
          <w:b/>
          <w:bCs/>
          <w:color w:val="auto"/>
          <w:sz w:val="21"/>
          <w:szCs w:val="21"/>
          <w:u w:val="single"/>
          <w:lang w:val="en-US" w:eastAsia="zh-CN"/>
        </w:rPr>
        <w:t>*（1-中标率），</w:t>
      </w:r>
      <w:r>
        <w:rPr>
          <w:rFonts w:hint="eastAsia" w:ascii="宋体" w:hAnsi="宋体" w:cs="TimesNewRomanPSMT"/>
          <w:b w:val="0"/>
          <w:bCs w:val="0"/>
          <w:color w:val="auto"/>
          <w:sz w:val="21"/>
          <w:szCs w:val="21"/>
          <w:u w:val="none"/>
          <w:lang w:val="en-US" w:eastAsia="zh-CN"/>
        </w:rPr>
        <w:t>审计结算价</w:t>
      </w:r>
      <w:r>
        <w:rPr>
          <w:rFonts w:hint="eastAsia" w:ascii="宋体" w:hAnsi="宋体" w:cs="TimesNewRomanPSMT"/>
          <w:color w:val="auto"/>
          <w:sz w:val="21"/>
          <w:szCs w:val="21"/>
          <w:lang w:val="en-US" w:eastAsia="zh-CN"/>
        </w:rPr>
        <w:t>以业主确认及委托的第三方审计公司为准</w:t>
      </w:r>
      <w:r>
        <w:rPr>
          <w:rFonts w:ascii="宋体" w:hAnsi="宋体" w:cs="TimesNewRomanPSMT"/>
          <w:color w:val="auto"/>
          <w:kern w:val="0"/>
          <w:sz w:val="24"/>
          <w:szCs w:val="24"/>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hint="default" w:ascii="宋体" w:hAnsi="宋体" w:eastAsia="宋体" w:cs="TimesNewRomanPSMT"/>
          <w:b/>
          <w:bCs/>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材料的供应：</w:t>
      </w:r>
      <w:r>
        <w:rPr>
          <w:rFonts w:hint="eastAsia" w:ascii="宋体" w:hAnsi="宋体" w:cs="TimesNewRomanPSMT"/>
          <w:b/>
          <w:bCs/>
          <w:color w:val="auto"/>
          <w:kern w:val="0"/>
          <w:szCs w:val="21"/>
        </w:rPr>
        <w:t>本工程涉及到的</w:t>
      </w:r>
      <w:r>
        <w:rPr>
          <w:rFonts w:hint="eastAsia" w:ascii="宋体" w:hAnsi="宋体" w:cs="TimesNewRomanPSMT"/>
          <w:b/>
          <w:bCs/>
          <w:color w:val="auto"/>
          <w:kern w:val="0"/>
          <w:szCs w:val="21"/>
          <w:u w:val="single"/>
          <w:lang w:val="en-US" w:eastAsia="zh-CN"/>
        </w:rPr>
        <w:t xml:space="preserve">  </w:t>
      </w:r>
      <w:r>
        <w:rPr>
          <w:rFonts w:hint="eastAsia" w:ascii="宋体" w:hAnsi="宋体" w:cs="TimesNewRomanPSMT"/>
          <w:b w:val="0"/>
          <w:bCs w:val="0"/>
          <w:color w:val="auto"/>
          <w:kern w:val="0"/>
          <w:szCs w:val="21"/>
          <w:u w:val="single"/>
          <w:lang w:val="en-US" w:eastAsia="zh-CN"/>
        </w:rPr>
        <w:t>混凝土、预制桩、钢筋等</w:t>
      </w:r>
      <w:r>
        <w:rPr>
          <w:rFonts w:hint="eastAsia" w:ascii="宋体" w:hAnsi="宋体" w:cs="TimesNewRomanPSMT"/>
          <w:b/>
          <w:bCs/>
          <w:color w:val="auto"/>
          <w:kern w:val="0"/>
          <w:szCs w:val="21"/>
          <w:u w:val="single"/>
          <w:lang w:val="en-US" w:eastAsia="zh-CN"/>
        </w:rPr>
        <w:t xml:space="preserve">  </w:t>
      </w:r>
      <w:r>
        <w:rPr>
          <w:rFonts w:hint="eastAsia" w:ascii="宋体" w:hAnsi="宋体" w:cs="TimesNewRomanPSMT"/>
          <w:b/>
          <w:bCs/>
          <w:color w:val="auto"/>
          <w:kern w:val="0"/>
          <w:szCs w:val="21"/>
        </w:rPr>
        <w:t>由招标单位提供，其余材料投标人自行负责采购</w:t>
      </w:r>
      <w:r>
        <w:rPr>
          <w:rFonts w:hint="eastAsia" w:ascii="宋体" w:hAnsi="宋体" w:cs="TimesNewRomanPSMT"/>
          <w:color w:val="auto"/>
          <w:kern w:val="0"/>
          <w:szCs w:val="21"/>
          <w:lang w:val="en-US" w:eastAsia="zh-CN"/>
        </w:rPr>
        <w:t>，若使用预制施工方案，则</w:t>
      </w:r>
      <w:r>
        <w:rPr>
          <w:rFonts w:hint="eastAsia" w:ascii="宋体" w:hAnsi="宋体" w:cs="TimesNewRomanPSMT"/>
          <w:color w:val="auto"/>
          <w:kern w:val="0"/>
          <w:szCs w:val="21"/>
        </w:rPr>
        <w:t>预制方桩、预制基础这两个主材</w:t>
      </w:r>
      <w:r>
        <w:rPr>
          <w:rFonts w:hint="eastAsia" w:ascii="宋体" w:hAnsi="宋体" w:cs="TimesNewRomanPSMT"/>
          <w:color w:val="auto"/>
          <w:kern w:val="0"/>
          <w:szCs w:val="21"/>
          <w:lang w:val="en-US" w:eastAsia="zh-CN"/>
        </w:rPr>
        <w:t>不得超过</w:t>
      </w:r>
      <w:r>
        <w:rPr>
          <w:rFonts w:hint="eastAsia" w:ascii="宋体" w:hAnsi="宋体" w:cs="TimesNewRomanPSMT"/>
          <w:color w:val="auto"/>
          <w:kern w:val="0"/>
          <w:szCs w:val="21"/>
        </w:rPr>
        <w:t>最高限价，</w:t>
      </w:r>
      <w:r>
        <w:rPr>
          <w:rFonts w:hint="eastAsia" w:ascii="宋体" w:hAnsi="宋体" w:cs="TimesNewRomanPSMT"/>
          <w:color w:val="auto"/>
          <w:kern w:val="0"/>
          <w:szCs w:val="21"/>
          <w:lang w:val="en-US" w:eastAsia="zh-CN"/>
        </w:rPr>
        <w:t>最高限价为：</w:t>
      </w:r>
      <w:r>
        <w:rPr>
          <w:rFonts w:hint="eastAsia" w:ascii="宋体" w:hAnsi="宋体" w:cs="TimesNewRomanPSMT"/>
          <w:color w:val="auto"/>
          <w:kern w:val="0"/>
          <w:szCs w:val="21"/>
        </w:rPr>
        <w:t>混凝土预制方</w:t>
      </w:r>
      <w:r>
        <w:rPr>
          <w:rFonts w:hint="eastAsia" w:ascii="宋体" w:hAnsi="宋体" w:cs="TimesNewRomanPSMT"/>
          <w:color w:val="auto"/>
          <w:kern w:val="0"/>
          <w:szCs w:val="21"/>
          <w:lang w:val="en-US" w:eastAsia="zh-CN"/>
        </w:rPr>
        <w:t>桩为1200元/根，混凝土预制基础17500元/座，开票税率13%，增值税专票。</w:t>
      </w:r>
    </w:p>
    <w:p>
      <w:pPr>
        <w:autoSpaceDE w:val="0"/>
        <w:autoSpaceDN w:val="0"/>
        <w:adjustRightInd w:val="0"/>
        <w:jc w:val="left"/>
        <w:rPr>
          <w:rFonts w:hint="eastAsia" w:ascii="宋体" w:hAnsi="宋体" w:eastAsia="宋体" w:cs="TimesNewRomanPSMT"/>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2.7.4 </w:t>
      </w:r>
      <w:r>
        <w:rPr>
          <w:rFonts w:hint="eastAsia" w:ascii="宋体" w:hAnsi="宋体" w:cs="TimesNewRomanPSMT"/>
          <w:color w:val="auto"/>
          <w:kern w:val="0"/>
          <w:szCs w:val="21"/>
          <w:lang w:val="en-US" w:eastAsia="zh-CN"/>
        </w:rPr>
        <w:t>中标人未履行合同或未按照招标人业主单位要求占用施工现场迟迟不肯退场，影响业主单位使用的，包含但不限于人员撤离、堆放的材料、机具等撤离，招标人有权另行高价委托单位进行处理，由此产生的一切责任和经济损失由中标人承担，对此中标人完全知晓并同意。</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2.8 </w:t>
      </w:r>
      <w:r>
        <w:rPr>
          <w:rFonts w:hint="eastAsia" w:ascii="宋体" w:hAnsi="宋体" w:cs="TimesNewRomanPSMT"/>
          <w:color w:val="auto"/>
          <w:kern w:val="0"/>
          <w:szCs w:val="21"/>
          <w:lang w:val="en-US" w:eastAsia="zh-CN"/>
        </w:rPr>
        <w:t>本项目质保期</w:t>
      </w:r>
      <w:r>
        <w:rPr>
          <w:rFonts w:hint="eastAsia" w:ascii="宋体" w:hAnsi="宋体" w:cs="TimesNewRomanPSMT"/>
          <w:color w:val="auto"/>
          <w:kern w:val="0"/>
          <w:szCs w:val="21"/>
          <w:lang w:val="en-US" w:eastAsia="zh-CN"/>
        </w:rPr>
        <w:t>贰年</w:t>
      </w:r>
      <w:r>
        <w:rPr>
          <w:rFonts w:hint="eastAsia" w:ascii="宋体" w:hAnsi="宋体" w:cs="TimesNewRomanPSMT"/>
          <w:color w:val="auto"/>
          <w:kern w:val="0"/>
          <w:szCs w:val="21"/>
          <w:lang w:val="en-US" w:eastAsia="zh-CN"/>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 xml:space="preserve">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2.9.2</w:t>
      </w:r>
      <w:r>
        <w:rPr>
          <w:rFonts w:hint="eastAsia" w:ascii="宋体" w:hAnsi="宋体" w:cs="TimesNewRomanPSMT"/>
          <w:b/>
          <w:bCs/>
          <w:color w:val="auto"/>
          <w:kern w:val="0"/>
          <w:szCs w:val="21"/>
        </w:rPr>
        <w:t>进度款支付比例：</w:t>
      </w:r>
    </w:p>
    <w:p>
      <w:pPr>
        <w:spacing w:line="240" w:lineRule="auto"/>
        <w:rPr>
          <w:rFonts w:hint="eastAsia" w:ascii="宋体" w:hAnsi="宋体" w:eastAsia="宋体" w:cs="宋体"/>
          <w:b/>
          <w:color w:val="auto"/>
          <w:szCs w:val="21"/>
          <w:u w:val="none"/>
          <w:lang w:eastAsia="zh-CN"/>
        </w:rPr>
      </w:pPr>
      <w:r>
        <w:rPr>
          <w:rFonts w:hint="eastAsia" w:ascii="宋体" w:hAnsi="宋体" w:cs="宋体"/>
          <w:b/>
          <w:color w:val="auto"/>
          <w:szCs w:val="21"/>
          <w:u w:val="none"/>
        </w:rPr>
        <w:t>费用支付方式：</w:t>
      </w:r>
      <w:r>
        <w:rPr>
          <w:rFonts w:hint="eastAsia" w:ascii="宋体" w:hAnsi="宋体" w:cs="宋体"/>
          <w:b/>
          <w:color w:val="auto"/>
          <w:szCs w:val="21"/>
          <w:u w:val="none"/>
          <w:lang w:val="en-US" w:eastAsia="zh-CN"/>
        </w:rPr>
        <w:t>每完成10台基坑就位具备钢结构及电梯安装条件后即支付实际完成工程量的50%，全部完成合同及图纸约定工程量后支付实际工程量的75%，竣工验收及存档备案完成并提交结算资料后支付实际完成工程量的95%，余款两年保修期满后付清（无息）；</w:t>
      </w:r>
      <w:r>
        <w:rPr>
          <w:rFonts w:hint="eastAsia" w:ascii="宋体" w:hAnsi="宋体" w:cs="TimesNewRomanPSMT"/>
          <w:b/>
          <w:bCs/>
          <w:color w:val="auto"/>
          <w:kern w:val="0"/>
          <w:szCs w:val="21"/>
          <w:u w:val="none"/>
        </w:rPr>
        <w:t>签证部分待</w:t>
      </w:r>
      <w:r>
        <w:rPr>
          <w:rFonts w:hint="eastAsia" w:ascii="宋体" w:hAnsi="宋体" w:cs="TimesNewRomanPSMT"/>
          <w:b/>
          <w:bCs/>
          <w:color w:val="auto"/>
          <w:kern w:val="0"/>
          <w:szCs w:val="21"/>
          <w:lang w:eastAsia="zh-CN"/>
        </w:rPr>
        <w:t>工程整体完工、竣工验收及存档备案完成并提交结算资料后支付实际完成工程量的50%，结算审计完成后支付审定价</w:t>
      </w:r>
      <w:r>
        <w:rPr>
          <w:rFonts w:hint="eastAsia" w:ascii="宋体" w:hAnsi="宋体" w:cs="TimesNewRomanPSMT"/>
          <w:b/>
          <w:bCs/>
          <w:color w:val="auto"/>
          <w:kern w:val="0"/>
          <w:szCs w:val="21"/>
          <w:lang w:val="en-US" w:eastAsia="zh-CN"/>
        </w:rPr>
        <w:t>下浮后</w:t>
      </w:r>
      <w:r>
        <w:rPr>
          <w:rFonts w:hint="eastAsia" w:ascii="宋体" w:hAnsi="宋体" w:cs="TimesNewRomanPSMT"/>
          <w:b/>
          <w:bCs/>
          <w:color w:val="auto"/>
          <w:kern w:val="0"/>
          <w:szCs w:val="21"/>
          <w:lang w:eastAsia="zh-CN"/>
        </w:rPr>
        <w:t>的95%，余款两年保修期满后付清（无息）。</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w:t>
      </w:r>
      <w:r>
        <w:rPr>
          <w:rFonts w:hint="eastAsia" w:ascii="宋体" w:hAnsi="宋体" w:cs="TimesNewRomanPSMT"/>
          <w:color w:val="auto"/>
          <w:kern w:val="0"/>
          <w:szCs w:val="21"/>
          <w:lang w:val="en-US" w:eastAsia="zh-CN"/>
        </w:rPr>
        <w:t>结算资料</w:t>
      </w:r>
      <w:r>
        <w:rPr>
          <w:rFonts w:hint="eastAsia" w:ascii="宋体" w:hAnsi="宋体" w:cs="TimesNewRomanPSMT"/>
          <w:color w:val="auto"/>
          <w:kern w:val="0"/>
          <w:szCs w:val="21"/>
        </w:rPr>
        <w:t>至招标人</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否则招标人可以另行委托人员进行结算和送审工作，由此产生的费用由中标人承担，中标人对审计结算完全认可，对此中标人完全知晓并同意。</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w:t>
      </w:r>
      <w:r>
        <w:rPr>
          <w:rFonts w:hint="eastAsia" w:ascii="宋体" w:hAnsi="宋体" w:cs="TimesNewRomanPSMT"/>
          <w:color w:val="auto"/>
          <w:kern w:val="0"/>
          <w:szCs w:val="21"/>
          <w:lang w:val="en-US" w:eastAsia="zh-CN"/>
        </w:rPr>
        <w:t>错开居民休息时间施工、</w:t>
      </w:r>
      <w:r>
        <w:rPr>
          <w:rFonts w:hint="eastAsia" w:ascii="宋体" w:hAnsi="宋体" w:cs="TimesNewRomanPSMT"/>
          <w:color w:val="auto"/>
          <w:kern w:val="0"/>
          <w:szCs w:val="21"/>
        </w:rPr>
        <w:t>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w:t>
      </w:r>
      <w:r>
        <w:rPr>
          <w:rFonts w:hint="eastAsia" w:ascii="宋体" w:hAnsi="宋体" w:cs="TimesNewRomanPSMT"/>
          <w:color w:val="auto"/>
          <w:kern w:val="0"/>
          <w:szCs w:val="21"/>
          <w:lang w:val="en-US" w:eastAsia="zh-CN"/>
        </w:rPr>
        <w:t>参考清单且及时与招标单位沟通</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管理、监理、业主及质监部门要求进行临时用水用电的设置，</w:t>
      </w:r>
      <w:r>
        <w:rPr>
          <w:rFonts w:hint="eastAsia" w:ascii="宋体" w:hAnsi="宋体" w:cs="TimesNewRomanPSMT"/>
          <w:bCs/>
          <w:color w:val="auto"/>
          <w:sz w:val="21"/>
          <w:szCs w:val="21"/>
          <w:lang w:val="en-US" w:eastAsia="zh-CN"/>
        </w:rPr>
        <w:t>水电费由中标人自行承担，</w:t>
      </w:r>
      <w:r>
        <w:rPr>
          <w:rFonts w:hint="eastAsia" w:ascii="宋体" w:hAnsi="宋体" w:cs="TimesNewRomanPSMT"/>
          <w:bCs/>
          <w:color w:val="auto"/>
          <w:sz w:val="21"/>
          <w:szCs w:val="21"/>
        </w:rPr>
        <w:t>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委托的其它班组均可以免费</w:t>
      </w:r>
      <w:r>
        <w:rPr>
          <w:rFonts w:hint="eastAsia" w:ascii="宋体" w:hAnsi="宋体" w:cs="TimesNewRomanPSMT"/>
          <w:bCs/>
          <w:color w:val="auto"/>
          <w:sz w:val="21"/>
          <w:szCs w:val="21"/>
          <w:lang w:val="en-US" w:eastAsia="zh-CN"/>
        </w:rPr>
        <w:t>接用</w:t>
      </w:r>
      <w:r>
        <w:rPr>
          <w:rFonts w:hint="eastAsia" w:ascii="宋体" w:hAnsi="宋体" w:cs="TimesNewRomanPSMT"/>
          <w:bCs/>
          <w:color w:val="auto"/>
          <w:sz w:val="21"/>
          <w:szCs w:val="21"/>
        </w:rPr>
        <w:t>。</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管理人员的管理则</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有权要求中标人更换相关管理人员，中标人须无条件接受，</w:t>
      </w:r>
      <w:r>
        <w:rPr>
          <w:rFonts w:hint="eastAsia" w:ascii="宋体" w:hAnsi="宋体" w:cs="TimesNewRomanPSMT"/>
          <w:bCs/>
          <w:color w:val="auto"/>
          <w:sz w:val="21"/>
          <w:szCs w:val="21"/>
          <w:lang w:val="en-US" w:eastAsia="zh-CN"/>
        </w:rPr>
        <w:t>招标单位</w:t>
      </w:r>
      <w:r>
        <w:rPr>
          <w:rFonts w:hint="eastAsia" w:ascii="宋体" w:hAnsi="宋体" w:cs="TimesNewRomanPSMT"/>
          <w:bCs/>
          <w:color w:val="auto"/>
          <w:sz w:val="21"/>
          <w:szCs w:val="21"/>
        </w:rPr>
        <w:t>有权视情况对中标人进行2000至50000元的处罚。</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rPr>
        <w:t>标人一旦中标，将对工程现场的进度、安全、质量及文明施工负主要责任，中标人承诺将严格按照要求组织施工，直至工程验收合格并交付为止，否则由此对招标人造成的一切责任和损失由中标人承担。</w:t>
      </w:r>
    </w:p>
    <w:p>
      <w:pPr>
        <w:pStyle w:val="13"/>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达成的各种约定中</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必须遵照执行。</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3"/>
        <w:spacing w:after="0" w:line="240" w:lineRule="auto"/>
        <w:ind w:left="0" w:leftChars="0" w:right="0" w:rightChars="0" w:firstLine="0" w:firstLineChars="0"/>
        <w:jc w:val="both"/>
        <w:rPr>
          <w:rFonts w:hint="eastAsia"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pStyle w:val="13"/>
        <w:spacing w:after="0" w:line="240" w:lineRule="auto"/>
        <w:ind w:left="0" w:leftChars="0" w:right="0" w:rightChars="0" w:firstLine="0" w:firstLineChars="0"/>
        <w:jc w:val="both"/>
        <w:rPr>
          <w:rFonts w:hint="default" w:ascii="宋体" w:hAnsi="宋体" w:cs="宋体"/>
          <w:b w:val="0"/>
          <w:bCs w:val="0"/>
          <w:color w:val="auto"/>
          <w:kern w:val="0"/>
          <w:sz w:val="24"/>
          <w:szCs w:val="24"/>
          <w:u w:val="none"/>
          <w:lang w:val="en-US" w:eastAsia="zh-CN" w:bidi="ar-SA"/>
        </w:rPr>
      </w:pPr>
      <w:r>
        <w:rPr>
          <w:rFonts w:hint="eastAsia" w:ascii="宋体" w:hAnsi="宋体" w:cs="TimesNewRomanPSMT"/>
          <w:bCs/>
          <w:color w:val="auto"/>
          <w:sz w:val="21"/>
          <w:szCs w:val="21"/>
          <w:lang w:val="en-US" w:eastAsia="zh-CN"/>
        </w:rPr>
        <w:t xml:space="preserve">3.17 </w:t>
      </w:r>
      <w:r>
        <w:rPr>
          <w:rFonts w:hint="eastAsia" w:ascii="宋体" w:hAnsi="宋体" w:cs="宋体"/>
          <w:b w:val="0"/>
          <w:bCs w:val="0"/>
          <w:color w:val="auto"/>
          <w:kern w:val="0"/>
          <w:sz w:val="21"/>
          <w:szCs w:val="21"/>
          <w:u w:val="none"/>
          <w:lang w:val="en-US" w:eastAsia="zh-CN" w:bidi="ar-SA"/>
        </w:rPr>
        <w:t>中标人须严格服从招标单位、业主单位、监理等的管理，进场后按总进度要求在7天内编制每台基础的完成时间，并严格按计划执行，每完成一台即交由钢结构、电梯单位进行上部工程施工，如因中标人原因导致钢结构、电梯无法按计划时间进场作业，每发生一次按20000元/台/次进行罚款，在中标人进度款中当期扣除。</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3.18中标人承诺工期严格按照招标文件要求执行，每延期一天扣罚20000元，在工程款中进行扣除，对此中标人完全知晓并同意。</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3.19中标人须服从招标人或业主单位管理，遇检查活动或重要节目须服从招标人要求对施工现场文明施工进行加强，对现场进行保洁并做好相关迎检工作，相关费用在投标时自行考虑，发生时不另行计算。</w:t>
      </w:r>
    </w:p>
    <w:p>
      <w:pPr>
        <w:numPr>
          <w:ilvl w:val="0"/>
          <w:numId w:val="3"/>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color w:val="auto"/>
          <w:kern w:val="0"/>
          <w:szCs w:val="21"/>
        </w:rPr>
        <w:t>工程报价</w:t>
      </w:r>
      <w:r>
        <w:rPr>
          <w:rFonts w:hint="eastAsia" w:ascii="宋体" w:hAnsi="宋体" w:cs="TimesNewRomanPSMT"/>
          <w:b/>
          <w:color w:val="auto"/>
          <w:kern w:val="0"/>
          <w:szCs w:val="21"/>
          <w:lang w:val="en-US" w:eastAsia="zh-CN"/>
        </w:rPr>
        <w:t>清单</w:t>
      </w:r>
    </w:p>
    <w:p>
      <w:pPr>
        <w:numPr>
          <w:ilvl w:val="0"/>
          <w:numId w:val="0"/>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val="0"/>
          <w:bCs/>
          <w:color w:val="auto"/>
          <w:kern w:val="0"/>
          <w:sz w:val="21"/>
          <w:szCs w:val="21"/>
          <w:vertAlign w:val="baseline"/>
          <w:lang w:val="en-US" w:eastAsia="zh-CN"/>
        </w:rPr>
        <w:t>投标报价编制说明：招标文件清单描述中的工程量为预估工程量，最终以图纸及现场为准，</w:t>
      </w:r>
      <w:r>
        <w:rPr>
          <w:rFonts w:hint="eastAsia" w:ascii="宋体" w:hAnsi="宋体" w:eastAsia="宋体" w:cs="宋体"/>
          <w:i w:val="0"/>
          <w:iCs w:val="0"/>
          <w:color w:val="auto"/>
          <w:kern w:val="0"/>
          <w:sz w:val="21"/>
          <w:szCs w:val="21"/>
          <w:u w:val="none"/>
          <w:lang w:val="en-US" w:eastAsia="zh-CN" w:bidi="ar"/>
        </w:rPr>
        <w:t>此报价为一台的价格。投标报价</w:t>
      </w:r>
      <w:r>
        <w:rPr>
          <w:rFonts w:hint="eastAsia" w:ascii="宋体" w:hAnsi="宋体" w:cs="宋体"/>
          <w:i w:val="0"/>
          <w:iCs w:val="0"/>
          <w:color w:val="auto"/>
          <w:kern w:val="0"/>
          <w:sz w:val="21"/>
          <w:szCs w:val="21"/>
          <w:u w:val="none"/>
          <w:lang w:val="en-US" w:eastAsia="zh-CN" w:bidi="ar"/>
        </w:rPr>
        <w:t>已包括但不限于</w:t>
      </w:r>
      <w:r>
        <w:rPr>
          <w:rFonts w:hint="eastAsia" w:ascii="宋体" w:hAnsi="宋体" w:eastAsia="宋体" w:cs="宋体"/>
          <w:i w:val="0"/>
          <w:iCs w:val="0"/>
          <w:color w:val="auto"/>
          <w:kern w:val="0"/>
          <w:sz w:val="21"/>
          <w:szCs w:val="21"/>
          <w:u w:val="none"/>
          <w:lang w:val="en-US" w:eastAsia="zh-CN" w:bidi="ar"/>
        </w:rPr>
        <w:t>所有</w:t>
      </w:r>
      <w:r>
        <w:rPr>
          <w:rFonts w:hint="eastAsia" w:ascii="宋体" w:hAnsi="宋体" w:cs="宋体"/>
          <w:i w:val="0"/>
          <w:iCs w:val="0"/>
          <w:color w:val="auto"/>
          <w:kern w:val="0"/>
          <w:sz w:val="21"/>
          <w:szCs w:val="21"/>
          <w:u w:val="none"/>
          <w:lang w:val="en-US" w:eastAsia="zh-CN" w:bidi="ar"/>
        </w:rPr>
        <w:t>招标文件中所含的</w:t>
      </w:r>
      <w:r>
        <w:rPr>
          <w:rFonts w:hint="eastAsia" w:ascii="宋体" w:hAnsi="宋体" w:eastAsia="宋体" w:cs="宋体"/>
          <w:i w:val="0"/>
          <w:iCs w:val="0"/>
          <w:color w:val="auto"/>
          <w:kern w:val="0"/>
          <w:sz w:val="21"/>
          <w:szCs w:val="21"/>
          <w:u w:val="none"/>
          <w:lang w:val="en-US" w:eastAsia="zh-CN" w:bidi="ar"/>
        </w:rPr>
        <w:t>费用，且含税金。</w:t>
      </w:r>
    </w:p>
    <w:tbl>
      <w:tblPr>
        <w:tblStyle w:val="15"/>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652"/>
        <w:gridCol w:w="900"/>
        <w:gridCol w:w="1230"/>
        <w:gridCol w:w="124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一、分部项目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围挡：单元出入口需设置高2m及以上的施工围挡，其余地方设置简易围挡（原则上以1个基坑为单位进行围护，如一幢几台电梯基坑具备一起维护条件的亦可向项目负责人申请确认后进行围护，该项费用由投标人在投标报价中综合考虑，不另行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基坑范围内开挖破除路面及基础，垃圾清理及外运，运距自行考虑</w:t>
            </w:r>
            <w:r>
              <w:rPr>
                <w:rFonts w:hint="eastAsia" w:ascii="宋体" w:hAnsi="宋体" w:cs="宋体"/>
                <w:i w:val="0"/>
                <w:iCs w:val="0"/>
                <w:color w:val="auto"/>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土方开挖、余土处理及外运，运距自行考虑，含管道、沟槽开挖等，挖湿土费用自行考虑在报价中，含下铺钢板租赁费，包含配合管线单位进行人工开挖探沟、强电管线等，具体内容以现场为准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原土分层回填夯实</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原状恢复，包括但不限于路面及基层</w:t>
            </w:r>
            <w:r>
              <w:rPr>
                <w:rFonts w:hint="eastAsia" w:ascii="宋体" w:hAnsi="宋体" w:cs="宋体"/>
                <w:i w:val="0"/>
                <w:iCs w:val="0"/>
                <w:color w:val="auto"/>
                <w:kern w:val="0"/>
                <w:sz w:val="18"/>
                <w:szCs w:val="18"/>
                <w:u w:val="none"/>
                <w:lang w:val="en-US" w:eastAsia="zh-CN" w:bidi="ar"/>
              </w:rPr>
              <w:t>、绿化等</w:t>
            </w:r>
            <w:r>
              <w:rPr>
                <w:rFonts w:hint="eastAsia" w:ascii="宋体" w:hAnsi="宋体" w:eastAsia="宋体" w:cs="宋体"/>
                <w:i w:val="0"/>
                <w:iCs w:val="0"/>
                <w:color w:val="auto"/>
                <w:kern w:val="0"/>
                <w:sz w:val="18"/>
                <w:szCs w:val="18"/>
                <w:u w:val="none"/>
                <w:lang w:val="en-US" w:eastAsia="zh-CN" w:bidi="ar"/>
              </w:rPr>
              <w:t>原状恢复，范围内因施工破坏的一切修复工作，具体工作内容以现场为准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成品预制钢筋混凝土方桩250*250，桩长</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m，静压沉桩，含运至施工场地的运费等一切完成此项目的施工内容，具体详见施工图纸（主材最高限价1200元/根，开票税率13%，增值税专票）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28"/>
                <w:szCs w:val="28"/>
                <w:u w:val="none"/>
                <w:lang w:val="en-US" w:eastAsia="zh-CN" w:bidi="ar"/>
              </w:rPr>
              <w:t xml:space="preserve"> </w:t>
            </w:r>
            <w:r>
              <w:rPr>
                <w:rFonts w:hint="eastAsia" w:ascii="宋体" w:hAnsi="宋体" w:cs="宋体"/>
                <w:i w:val="0"/>
                <w:iCs w:val="0"/>
                <w:color w:val="auto"/>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预制成品电梯基坑</w:t>
            </w:r>
            <w:r>
              <w:rPr>
                <w:rFonts w:hint="eastAsia" w:ascii="宋体" w:hAnsi="宋体" w:cs="宋体"/>
                <w:i w:val="0"/>
                <w:iCs w:val="0"/>
                <w:color w:val="auto"/>
                <w:kern w:val="0"/>
                <w:sz w:val="18"/>
                <w:szCs w:val="18"/>
                <w:u w:val="none"/>
                <w:lang w:val="en-US" w:eastAsia="zh-CN" w:bidi="ar"/>
              </w:rPr>
              <w:t>或现浇基坑</w:t>
            </w:r>
            <w:r>
              <w:rPr>
                <w:rFonts w:hint="eastAsia" w:ascii="宋体" w:hAnsi="宋体" w:eastAsia="宋体" w:cs="宋体"/>
                <w:i w:val="0"/>
                <w:iCs w:val="0"/>
                <w:color w:val="auto"/>
                <w:kern w:val="0"/>
                <w:sz w:val="18"/>
                <w:szCs w:val="18"/>
                <w:u w:val="none"/>
                <w:lang w:val="en-US" w:eastAsia="zh-CN" w:bidi="ar"/>
              </w:rPr>
              <w:t>，含粘结层、吊装、运至施工场地的运费、预埋件、等一切完成此项目的施工内容，具体详见施工图</w:t>
            </w:r>
            <w:r>
              <w:rPr>
                <w:rFonts w:hint="eastAsia" w:ascii="宋体" w:hAnsi="宋体" w:cs="宋体"/>
                <w:i w:val="0"/>
                <w:iCs w:val="0"/>
                <w:color w:val="auto"/>
                <w:kern w:val="0"/>
                <w:sz w:val="18"/>
                <w:szCs w:val="18"/>
                <w:u w:val="none"/>
                <w:lang w:val="en-US" w:eastAsia="zh-CN" w:bidi="ar"/>
              </w:rPr>
              <w:t>（若预制基坑则主材最高限价17500元/座，开票税率13%，增值税专票）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混凝土垫层、含抽水管，具体详见施工图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碎石垫层，具体详见施工图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基坑外墙面砖，与原建筑一致，具体详见施工图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kern w:val="0"/>
                <w:sz w:val="18"/>
                <w:szCs w:val="18"/>
                <w:u w:val="none"/>
                <w:lang w:val="en-US" w:eastAsia="zh-CN" w:bidi="ar"/>
              </w:rPr>
              <w:t>两层1.2mmEP防水卷材，清单工程量不含附加层，附加层在综合单价中自行考虑，清单工程量按单层面积计入，具体详见施工图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水泥砂浆抹灰，</w:t>
            </w:r>
            <w:r>
              <w:rPr>
                <w:rFonts w:hint="eastAsia" w:ascii="宋体" w:hAnsi="宋体" w:eastAsia="宋体" w:cs="宋体"/>
                <w:i w:val="0"/>
                <w:iCs w:val="0"/>
                <w:color w:val="auto"/>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避雷引下线敷设，采用∠5*5角钢，打入地下1.5m处，与基础预埋铁焊接连接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沉降观测点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垫层模板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大型机械设备进出场及安拆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含打桩机施工及预制基础吊装等一切工作，其中打</w:t>
            </w:r>
            <w:r>
              <w:rPr>
                <w:rFonts w:hint="eastAsia" w:ascii="宋体" w:hAnsi="宋体" w:cs="宋体"/>
                <w:i w:val="0"/>
                <w:iCs w:val="0"/>
                <w:color w:val="auto"/>
                <w:kern w:val="0"/>
                <w:sz w:val="18"/>
                <w:szCs w:val="18"/>
                <w:u w:val="none"/>
                <w:lang w:val="en-US" w:eastAsia="zh-CN" w:bidi="ar"/>
              </w:rPr>
              <w:t>桩</w:t>
            </w:r>
            <w:r>
              <w:rPr>
                <w:rFonts w:hint="eastAsia" w:ascii="宋体" w:hAnsi="宋体" w:eastAsia="宋体" w:cs="宋体"/>
                <w:i w:val="0"/>
                <w:iCs w:val="0"/>
                <w:color w:val="auto"/>
                <w:kern w:val="0"/>
                <w:sz w:val="18"/>
                <w:szCs w:val="18"/>
                <w:u w:val="none"/>
                <w:lang w:val="en-US" w:eastAsia="zh-CN" w:bidi="ar"/>
              </w:rPr>
              <w:t>要求采用静压法</w:t>
            </w:r>
            <w:r>
              <w:rPr>
                <w:rFonts w:hint="eastAsia" w:ascii="宋体" w:hAnsi="宋体" w:cs="宋体"/>
                <w:i w:val="0"/>
                <w:iCs w:val="0"/>
                <w:color w:val="auto"/>
                <w:kern w:val="0"/>
                <w:sz w:val="18"/>
                <w:szCs w:val="18"/>
                <w:u w:val="none"/>
                <w:lang w:val="en-US" w:eastAsia="zh-CN" w:bidi="ar"/>
              </w:rPr>
              <w:t>施工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基坑内抽水、排水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含成品保护、扬尘污染防治、现场清扫、标识标牌、安全保卫、临时设施及其他配合安全文明施工所需的一切费用及人员值班、管理等一切费用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bl>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4" w:name="投标文件格式"/>
      <w:r>
        <w:rPr>
          <w:rFonts w:hint="eastAsia" w:ascii="宋体" w:hAnsi="宋体" w:cs="黑体"/>
          <w:b/>
          <w:color w:val="auto"/>
          <w:kern w:val="0"/>
          <w:szCs w:val="21"/>
        </w:rPr>
        <w:t>投标文件</w:t>
      </w:r>
      <w:bookmarkEnd w:id="44"/>
      <w:r>
        <w:rPr>
          <w:rFonts w:hint="eastAsia" w:ascii="宋体" w:hAnsi="宋体" w:cs="黑体"/>
          <w:b/>
          <w:color w:val="auto"/>
          <w:kern w:val="0"/>
          <w:szCs w:val="21"/>
        </w:rPr>
        <w:t>目录</w:t>
      </w:r>
    </w:p>
    <w:p>
      <w:pPr>
        <w:numPr>
          <w:ilvl w:val="0"/>
          <w:numId w:val="4"/>
        </w:num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《投标函》</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四、</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六、</w:t>
      </w:r>
      <w:r>
        <w:rPr>
          <w:rFonts w:hint="eastAsia" w:ascii="宋体" w:hAnsi="宋体" w:cs="仿宋_GB2312"/>
          <w:color w:val="auto"/>
          <w:kern w:val="0"/>
          <w:szCs w:val="21"/>
        </w:rPr>
        <w:t>《分包项目管理人员表》</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七、</w:t>
      </w:r>
      <w:r>
        <w:rPr>
          <w:rFonts w:hint="eastAsia" w:ascii="宋体" w:hAnsi="宋体" w:cs="仿宋_GB2312"/>
          <w:color w:val="auto"/>
          <w:kern w:val="0"/>
          <w:szCs w:val="21"/>
        </w:rPr>
        <w:t>《项目管理组织机构》</w:t>
      </w:r>
    </w:p>
    <w:p>
      <w:pPr>
        <w:spacing w:line="360" w:lineRule="auto"/>
        <w:jc w:val="left"/>
        <w:rPr>
          <w:rFonts w:hint="eastAsia" w:ascii="宋体" w:hAnsi="宋体" w:eastAsia="宋体" w:cs="仿宋_GB2312"/>
          <w:color w:val="auto"/>
          <w:kern w:val="0"/>
          <w:szCs w:val="21"/>
          <w:lang w:val="en-US" w:eastAsia="zh-CN"/>
        </w:rPr>
      </w:pPr>
      <w:r>
        <w:rPr>
          <w:rFonts w:hint="eastAsia" w:ascii="宋体" w:hAnsi="宋体" w:cs="仿宋_GB2312"/>
          <w:color w:val="auto"/>
          <w:kern w:val="0"/>
          <w:szCs w:val="21"/>
          <w:lang w:val="en-US" w:eastAsia="zh-CN"/>
        </w:rPr>
        <w:t>八、《报价清单明细表》</w:t>
      </w:r>
    </w:p>
    <w:p>
      <w:pPr>
        <w:spacing w:line="360" w:lineRule="auto"/>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九、《其他投标人认为需要提供的资料》如有，格式自拟</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w:t>
      </w:r>
      <w:r>
        <w:rPr>
          <w:rFonts w:hint="eastAsia" w:ascii="仿宋" w:hAnsi="仿宋" w:eastAsia="仿宋" w:cs="仿宋"/>
          <w:color w:val="auto"/>
          <w:sz w:val="28"/>
          <w:szCs w:val="28"/>
        </w:rPr>
        <w:t>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元/台</w:t>
      </w:r>
      <w:r>
        <w:rPr>
          <w:rFonts w:hint="eastAsia" w:ascii="仿宋" w:hAnsi="仿宋" w:eastAsia="仿宋" w:cs="仿宋"/>
          <w:color w:val="auto"/>
          <w:sz w:val="28"/>
          <w:szCs w:val="28"/>
        </w:rPr>
        <w:t>（大写        ）</w:t>
      </w:r>
      <w:r>
        <w:rPr>
          <w:rFonts w:hint="eastAsia" w:ascii="仿宋" w:hAnsi="仿宋" w:eastAsia="仿宋" w:cs="仿宋"/>
          <w:color w:val="auto"/>
          <w:sz w:val="28"/>
          <w:szCs w:val="28"/>
          <w:lang w:val="en-US" w:eastAsia="zh-CN"/>
        </w:rPr>
        <w:t>，地下管线改造等投标下浮率为结算审计价的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13"/>
        <w:ind w:left="63" w:right="63" w:firstLine="200"/>
        <w:rPr>
          <w:color w:val="auto"/>
        </w:rPr>
      </w:pPr>
    </w:p>
    <w:p>
      <w:pPr>
        <w:pStyle w:val="13"/>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13"/>
        <w:ind w:left="0" w:leftChars="0" w:right="63" w:firstLine="0" w:firstLineChars="0"/>
        <w:jc w:val="left"/>
        <w:rPr>
          <w:rFonts w:eastAsia="黑体"/>
          <w:b/>
          <w:bCs/>
          <w:color w:val="auto"/>
          <w:sz w:val="28"/>
          <w:szCs w:val="28"/>
        </w:rPr>
      </w:pPr>
    </w:p>
    <w:p>
      <w:pPr>
        <w:pStyle w:val="13"/>
        <w:ind w:left="0" w:leftChars="0" w:right="63"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附件</w:t>
      </w:r>
      <w:r>
        <w:rPr>
          <w:rFonts w:hint="eastAsia" w:ascii="黑体" w:hAnsi="黑体" w:eastAsia="黑体" w:cs="黑体"/>
          <w:b w:val="0"/>
          <w:bCs w:val="0"/>
          <w:color w:val="auto"/>
          <w:sz w:val="32"/>
          <w:lang w:val="en-US" w:eastAsia="zh-CN"/>
        </w:rPr>
        <w:t>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7"/>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5"/>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13"/>
        <w:rPr>
          <w:color w:val="auto"/>
        </w:rPr>
      </w:pPr>
    </w:p>
    <w:p>
      <w:pPr>
        <w:pStyle w:val="13"/>
        <w:ind w:left="0" w:leftChars="0" w:right="63" w:firstLine="0" w:firstLineChars="0"/>
        <w:jc w:val="both"/>
        <w:rPr>
          <w:color w:val="auto"/>
        </w:rPr>
      </w:pPr>
    </w:p>
    <w:p>
      <w:pPr>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13"/>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default" w:ascii="黑体" w:hAnsi="黑体" w:eastAsia="黑体" w:cs="黑体"/>
          <w:color w:val="auto"/>
          <w:sz w:val="32"/>
          <w:szCs w:val="32"/>
          <w:lang w:val="en-US" w:eastAsia="zh-CN"/>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13"/>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13"/>
        <w:ind w:left="63" w:right="63" w:firstLine="200"/>
        <w:rPr>
          <w:color w:val="auto"/>
        </w:rPr>
      </w:pPr>
    </w:p>
    <w:p>
      <w:pPr>
        <w:pStyle w:val="13"/>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8"/>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479A9931"/>
    <w:multiLevelType w:val="singleLevel"/>
    <w:tmpl w:val="479A9931"/>
    <w:lvl w:ilvl="0" w:tentative="0">
      <w:start w:val="4"/>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255B"/>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4EF2"/>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07381"/>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06C33"/>
    <w:rsid w:val="017271A9"/>
    <w:rsid w:val="018216F6"/>
    <w:rsid w:val="01A87177"/>
    <w:rsid w:val="023114F9"/>
    <w:rsid w:val="023A5A36"/>
    <w:rsid w:val="024957C0"/>
    <w:rsid w:val="02555A6F"/>
    <w:rsid w:val="0263316C"/>
    <w:rsid w:val="027814F3"/>
    <w:rsid w:val="027D2796"/>
    <w:rsid w:val="0280326B"/>
    <w:rsid w:val="02851E5F"/>
    <w:rsid w:val="02A16E5B"/>
    <w:rsid w:val="02A7777C"/>
    <w:rsid w:val="02B8307C"/>
    <w:rsid w:val="02D15D88"/>
    <w:rsid w:val="02E749BB"/>
    <w:rsid w:val="02EF1979"/>
    <w:rsid w:val="02FE5F00"/>
    <w:rsid w:val="03297D60"/>
    <w:rsid w:val="032D0193"/>
    <w:rsid w:val="03432321"/>
    <w:rsid w:val="0367677F"/>
    <w:rsid w:val="03676E56"/>
    <w:rsid w:val="037F376B"/>
    <w:rsid w:val="039850B1"/>
    <w:rsid w:val="03A00125"/>
    <w:rsid w:val="043841F4"/>
    <w:rsid w:val="043A0533"/>
    <w:rsid w:val="043B2F6D"/>
    <w:rsid w:val="04516A79"/>
    <w:rsid w:val="04573C41"/>
    <w:rsid w:val="0462666F"/>
    <w:rsid w:val="046803E6"/>
    <w:rsid w:val="047A724B"/>
    <w:rsid w:val="04A27AD6"/>
    <w:rsid w:val="04BC175B"/>
    <w:rsid w:val="04DA4E56"/>
    <w:rsid w:val="04EB7E87"/>
    <w:rsid w:val="04F046D6"/>
    <w:rsid w:val="05036F39"/>
    <w:rsid w:val="05124135"/>
    <w:rsid w:val="051546F9"/>
    <w:rsid w:val="051D4D19"/>
    <w:rsid w:val="051E0E9A"/>
    <w:rsid w:val="052D6729"/>
    <w:rsid w:val="05523A0F"/>
    <w:rsid w:val="05606D76"/>
    <w:rsid w:val="057D1B70"/>
    <w:rsid w:val="059841B5"/>
    <w:rsid w:val="05BF6198"/>
    <w:rsid w:val="05F052D3"/>
    <w:rsid w:val="05F7114B"/>
    <w:rsid w:val="05F717DB"/>
    <w:rsid w:val="05F82F6B"/>
    <w:rsid w:val="06334120"/>
    <w:rsid w:val="0640009E"/>
    <w:rsid w:val="066F6679"/>
    <w:rsid w:val="06854A19"/>
    <w:rsid w:val="06F22C50"/>
    <w:rsid w:val="06FE0174"/>
    <w:rsid w:val="07014EB5"/>
    <w:rsid w:val="0736578B"/>
    <w:rsid w:val="074A5490"/>
    <w:rsid w:val="07870DD4"/>
    <w:rsid w:val="07933142"/>
    <w:rsid w:val="07A05E7D"/>
    <w:rsid w:val="07C11F4C"/>
    <w:rsid w:val="07D16622"/>
    <w:rsid w:val="07DF3C55"/>
    <w:rsid w:val="07E37D09"/>
    <w:rsid w:val="08103BAC"/>
    <w:rsid w:val="0836521D"/>
    <w:rsid w:val="08687625"/>
    <w:rsid w:val="08785560"/>
    <w:rsid w:val="08995DA8"/>
    <w:rsid w:val="08D46119"/>
    <w:rsid w:val="08FF160D"/>
    <w:rsid w:val="09041163"/>
    <w:rsid w:val="0909417B"/>
    <w:rsid w:val="092D697B"/>
    <w:rsid w:val="09361A12"/>
    <w:rsid w:val="09451A80"/>
    <w:rsid w:val="09475317"/>
    <w:rsid w:val="095E5934"/>
    <w:rsid w:val="09986707"/>
    <w:rsid w:val="099F3E40"/>
    <w:rsid w:val="09B54D47"/>
    <w:rsid w:val="09B745A5"/>
    <w:rsid w:val="09CA3B46"/>
    <w:rsid w:val="09CF5737"/>
    <w:rsid w:val="09E864A6"/>
    <w:rsid w:val="0A2441B5"/>
    <w:rsid w:val="0A3D0A3E"/>
    <w:rsid w:val="0A534F46"/>
    <w:rsid w:val="0A5A5EBE"/>
    <w:rsid w:val="0A79432A"/>
    <w:rsid w:val="0A7F60F7"/>
    <w:rsid w:val="0AA42F47"/>
    <w:rsid w:val="0AAC6BE4"/>
    <w:rsid w:val="0AB32181"/>
    <w:rsid w:val="0AB61377"/>
    <w:rsid w:val="0ABE15FA"/>
    <w:rsid w:val="0ABF2AE9"/>
    <w:rsid w:val="0ADE2021"/>
    <w:rsid w:val="0AE66846"/>
    <w:rsid w:val="0AE858D1"/>
    <w:rsid w:val="0AEE4879"/>
    <w:rsid w:val="0B1C2DB4"/>
    <w:rsid w:val="0B4A311D"/>
    <w:rsid w:val="0B7C0129"/>
    <w:rsid w:val="0B821656"/>
    <w:rsid w:val="0BA056F7"/>
    <w:rsid w:val="0BAF2250"/>
    <w:rsid w:val="0BC6068B"/>
    <w:rsid w:val="0BF11A83"/>
    <w:rsid w:val="0BF57366"/>
    <w:rsid w:val="0C090849"/>
    <w:rsid w:val="0C715A9F"/>
    <w:rsid w:val="0C96294F"/>
    <w:rsid w:val="0CA72033"/>
    <w:rsid w:val="0CB57E44"/>
    <w:rsid w:val="0CB967EA"/>
    <w:rsid w:val="0CBB11BF"/>
    <w:rsid w:val="0CC0422F"/>
    <w:rsid w:val="0CC16A69"/>
    <w:rsid w:val="0CDA7557"/>
    <w:rsid w:val="0D00419D"/>
    <w:rsid w:val="0D060ACA"/>
    <w:rsid w:val="0D1E7589"/>
    <w:rsid w:val="0D2C79B1"/>
    <w:rsid w:val="0D301F58"/>
    <w:rsid w:val="0D395ADB"/>
    <w:rsid w:val="0D765FDB"/>
    <w:rsid w:val="0D9C1E15"/>
    <w:rsid w:val="0DA10CD9"/>
    <w:rsid w:val="0DAA3778"/>
    <w:rsid w:val="0DAE51A9"/>
    <w:rsid w:val="0DBE0259"/>
    <w:rsid w:val="0DC518E8"/>
    <w:rsid w:val="0DC937C0"/>
    <w:rsid w:val="0DDE73FA"/>
    <w:rsid w:val="0E703A00"/>
    <w:rsid w:val="0E7D225F"/>
    <w:rsid w:val="0E82142C"/>
    <w:rsid w:val="0EAA3A3B"/>
    <w:rsid w:val="0EB204BC"/>
    <w:rsid w:val="0EB964D6"/>
    <w:rsid w:val="0ED9012F"/>
    <w:rsid w:val="0EE11F93"/>
    <w:rsid w:val="0EE63298"/>
    <w:rsid w:val="0EED547D"/>
    <w:rsid w:val="0F062706"/>
    <w:rsid w:val="0F07103E"/>
    <w:rsid w:val="0F2E3A4B"/>
    <w:rsid w:val="0F64295C"/>
    <w:rsid w:val="0F91317C"/>
    <w:rsid w:val="0FA00107"/>
    <w:rsid w:val="0FAE4BA9"/>
    <w:rsid w:val="0FB25675"/>
    <w:rsid w:val="0FDA2C64"/>
    <w:rsid w:val="0FE86D87"/>
    <w:rsid w:val="0FF174F1"/>
    <w:rsid w:val="0FF8072A"/>
    <w:rsid w:val="100F0015"/>
    <w:rsid w:val="101063D3"/>
    <w:rsid w:val="10163297"/>
    <w:rsid w:val="10574B2E"/>
    <w:rsid w:val="10802C69"/>
    <w:rsid w:val="10B412E9"/>
    <w:rsid w:val="10C20534"/>
    <w:rsid w:val="10E155DA"/>
    <w:rsid w:val="11151C5F"/>
    <w:rsid w:val="11342AE3"/>
    <w:rsid w:val="1136370E"/>
    <w:rsid w:val="11547BE0"/>
    <w:rsid w:val="11916D18"/>
    <w:rsid w:val="11DE05A3"/>
    <w:rsid w:val="11E1068C"/>
    <w:rsid w:val="11E20196"/>
    <w:rsid w:val="11ED1981"/>
    <w:rsid w:val="11FF67AE"/>
    <w:rsid w:val="1214089F"/>
    <w:rsid w:val="122C41A2"/>
    <w:rsid w:val="12571136"/>
    <w:rsid w:val="125A5A94"/>
    <w:rsid w:val="125E177D"/>
    <w:rsid w:val="1260013F"/>
    <w:rsid w:val="12666D58"/>
    <w:rsid w:val="126D4C9D"/>
    <w:rsid w:val="12850930"/>
    <w:rsid w:val="12A57967"/>
    <w:rsid w:val="12BE4F18"/>
    <w:rsid w:val="12C90B50"/>
    <w:rsid w:val="12E13881"/>
    <w:rsid w:val="12F11E26"/>
    <w:rsid w:val="132F6AEF"/>
    <w:rsid w:val="133356D1"/>
    <w:rsid w:val="1348055E"/>
    <w:rsid w:val="135E32A2"/>
    <w:rsid w:val="13745BA1"/>
    <w:rsid w:val="13763A12"/>
    <w:rsid w:val="1392781A"/>
    <w:rsid w:val="13CD26E2"/>
    <w:rsid w:val="13D532AF"/>
    <w:rsid w:val="13D57961"/>
    <w:rsid w:val="13D73774"/>
    <w:rsid w:val="144724E5"/>
    <w:rsid w:val="14954609"/>
    <w:rsid w:val="149B3D57"/>
    <w:rsid w:val="14AB3185"/>
    <w:rsid w:val="14BD4BDD"/>
    <w:rsid w:val="14D926A5"/>
    <w:rsid w:val="14DD050E"/>
    <w:rsid w:val="14E325B3"/>
    <w:rsid w:val="14F50E75"/>
    <w:rsid w:val="14F711DC"/>
    <w:rsid w:val="15115D81"/>
    <w:rsid w:val="151B72C0"/>
    <w:rsid w:val="15461AA9"/>
    <w:rsid w:val="1546360D"/>
    <w:rsid w:val="156B6B93"/>
    <w:rsid w:val="15A47628"/>
    <w:rsid w:val="15D01DC0"/>
    <w:rsid w:val="15D8236C"/>
    <w:rsid w:val="15DF0493"/>
    <w:rsid w:val="15ED1CD9"/>
    <w:rsid w:val="15F214CB"/>
    <w:rsid w:val="16127917"/>
    <w:rsid w:val="16135686"/>
    <w:rsid w:val="16255D63"/>
    <w:rsid w:val="1636706C"/>
    <w:rsid w:val="16470319"/>
    <w:rsid w:val="16491DCE"/>
    <w:rsid w:val="16661441"/>
    <w:rsid w:val="16692D06"/>
    <w:rsid w:val="16711CA5"/>
    <w:rsid w:val="16C0024D"/>
    <w:rsid w:val="16FE4C69"/>
    <w:rsid w:val="17193619"/>
    <w:rsid w:val="171E2743"/>
    <w:rsid w:val="172432AF"/>
    <w:rsid w:val="172B78C9"/>
    <w:rsid w:val="174C7528"/>
    <w:rsid w:val="17571761"/>
    <w:rsid w:val="1766153D"/>
    <w:rsid w:val="176B72E1"/>
    <w:rsid w:val="177D0DF0"/>
    <w:rsid w:val="178D7750"/>
    <w:rsid w:val="179E4419"/>
    <w:rsid w:val="17C91B51"/>
    <w:rsid w:val="17E76070"/>
    <w:rsid w:val="17FC683D"/>
    <w:rsid w:val="18367CDA"/>
    <w:rsid w:val="18624515"/>
    <w:rsid w:val="18A373BF"/>
    <w:rsid w:val="18D24FF5"/>
    <w:rsid w:val="18E5042A"/>
    <w:rsid w:val="18F5009D"/>
    <w:rsid w:val="18F923A8"/>
    <w:rsid w:val="1913613D"/>
    <w:rsid w:val="191C650D"/>
    <w:rsid w:val="194A39D7"/>
    <w:rsid w:val="197B6017"/>
    <w:rsid w:val="19C26E47"/>
    <w:rsid w:val="19F0530D"/>
    <w:rsid w:val="1A296A52"/>
    <w:rsid w:val="1A377E4D"/>
    <w:rsid w:val="1A385E1A"/>
    <w:rsid w:val="1A417455"/>
    <w:rsid w:val="1A4E784B"/>
    <w:rsid w:val="1A55578A"/>
    <w:rsid w:val="1A761E92"/>
    <w:rsid w:val="1A7C7137"/>
    <w:rsid w:val="1A8643C5"/>
    <w:rsid w:val="1A8804E1"/>
    <w:rsid w:val="1ABE2171"/>
    <w:rsid w:val="1ACF5074"/>
    <w:rsid w:val="1ADC6542"/>
    <w:rsid w:val="1AF931F4"/>
    <w:rsid w:val="1B141717"/>
    <w:rsid w:val="1B320178"/>
    <w:rsid w:val="1B5A6839"/>
    <w:rsid w:val="1B7431C3"/>
    <w:rsid w:val="1B9848CF"/>
    <w:rsid w:val="1BA61FFC"/>
    <w:rsid w:val="1BA96FBE"/>
    <w:rsid w:val="1BC07EE1"/>
    <w:rsid w:val="1BC70C49"/>
    <w:rsid w:val="1BD9519A"/>
    <w:rsid w:val="1BE1168D"/>
    <w:rsid w:val="1BF965A1"/>
    <w:rsid w:val="1C043C7E"/>
    <w:rsid w:val="1C107DE9"/>
    <w:rsid w:val="1C133FA6"/>
    <w:rsid w:val="1C15442A"/>
    <w:rsid w:val="1C3800B2"/>
    <w:rsid w:val="1C38329D"/>
    <w:rsid w:val="1C5B3FD4"/>
    <w:rsid w:val="1C7644E2"/>
    <w:rsid w:val="1C811351"/>
    <w:rsid w:val="1C97489E"/>
    <w:rsid w:val="1C9F69B8"/>
    <w:rsid w:val="1CC255B8"/>
    <w:rsid w:val="1CD70817"/>
    <w:rsid w:val="1CD718D6"/>
    <w:rsid w:val="1CDA4153"/>
    <w:rsid w:val="1D39497B"/>
    <w:rsid w:val="1D4A29E9"/>
    <w:rsid w:val="1D8E30F7"/>
    <w:rsid w:val="1D9022B8"/>
    <w:rsid w:val="1DB533AC"/>
    <w:rsid w:val="1DE94EF4"/>
    <w:rsid w:val="1DF0557D"/>
    <w:rsid w:val="1DFD7B0E"/>
    <w:rsid w:val="1E1C37DB"/>
    <w:rsid w:val="1E232477"/>
    <w:rsid w:val="1E851020"/>
    <w:rsid w:val="1EF403AD"/>
    <w:rsid w:val="1F207B44"/>
    <w:rsid w:val="1F503FC4"/>
    <w:rsid w:val="1F9B35EC"/>
    <w:rsid w:val="1FA03DAE"/>
    <w:rsid w:val="1FAA3C18"/>
    <w:rsid w:val="1FD767E6"/>
    <w:rsid w:val="1FDB21DA"/>
    <w:rsid w:val="1FED51FB"/>
    <w:rsid w:val="1FF15AA8"/>
    <w:rsid w:val="20065464"/>
    <w:rsid w:val="200D1380"/>
    <w:rsid w:val="202B2542"/>
    <w:rsid w:val="203D5C7A"/>
    <w:rsid w:val="20440AEA"/>
    <w:rsid w:val="204A18F4"/>
    <w:rsid w:val="204F4146"/>
    <w:rsid w:val="208B16DB"/>
    <w:rsid w:val="20C96160"/>
    <w:rsid w:val="20CC075D"/>
    <w:rsid w:val="20DB0753"/>
    <w:rsid w:val="210031C8"/>
    <w:rsid w:val="210B711D"/>
    <w:rsid w:val="2127486C"/>
    <w:rsid w:val="217A2E8F"/>
    <w:rsid w:val="21AD2AA9"/>
    <w:rsid w:val="21FD0082"/>
    <w:rsid w:val="22407A45"/>
    <w:rsid w:val="227E1BB0"/>
    <w:rsid w:val="2297364E"/>
    <w:rsid w:val="22B34C3F"/>
    <w:rsid w:val="22ED209B"/>
    <w:rsid w:val="23073830"/>
    <w:rsid w:val="231178C5"/>
    <w:rsid w:val="23671271"/>
    <w:rsid w:val="236D774B"/>
    <w:rsid w:val="237E4173"/>
    <w:rsid w:val="239619AC"/>
    <w:rsid w:val="23BD2B7B"/>
    <w:rsid w:val="23CA4FAD"/>
    <w:rsid w:val="2417309F"/>
    <w:rsid w:val="24180761"/>
    <w:rsid w:val="243E2265"/>
    <w:rsid w:val="2472448D"/>
    <w:rsid w:val="24C6154C"/>
    <w:rsid w:val="24D97031"/>
    <w:rsid w:val="24FF53A8"/>
    <w:rsid w:val="25041D51"/>
    <w:rsid w:val="251106E4"/>
    <w:rsid w:val="252400AA"/>
    <w:rsid w:val="25340B87"/>
    <w:rsid w:val="25372ADE"/>
    <w:rsid w:val="254F32AC"/>
    <w:rsid w:val="255B6EC2"/>
    <w:rsid w:val="25BB1B2D"/>
    <w:rsid w:val="25CA5163"/>
    <w:rsid w:val="25D87FB3"/>
    <w:rsid w:val="25DA4EF7"/>
    <w:rsid w:val="25DE77BD"/>
    <w:rsid w:val="25EC2C8E"/>
    <w:rsid w:val="25EC709C"/>
    <w:rsid w:val="26091DFA"/>
    <w:rsid w:val="260D43D0"/>
    <w:rsid w:val="260E0D41"/>
    <w:rsid w:val="260E1B88"/>
    <w:rsid w:val="26147302"/>
    <w:rsid w:val="2630652B"/>
    <w:rsid w:val="2648468A"/>
    <w:rsid w:val="264A1A74"/>
    <w:rsid w:val="264C3B5A"/>
    <w:rsid w:val="264F75CE"/>
    <w:rsid w:val="26564259"/>
    <w:rsid w:val="269A57C4"/>
    <w:rsid w:val="269E6625"/>
    <w:rsid w:val="26DE5BC4"/>
    <w:rsid w:val="26FC4CF2"/>
    <w:rsid w:val="27225448"/>
    <w:rsid w:val="27266761"/>
    <w:rsid w:val="2746156A"/>
    <w:rsid w:val="2758714A"/>
    <w:rsid w:val="278D5A4A"/>
    <w:rsid w:val="27936D0C"/>
    <w:rsid w:val="279C6817"/>
    <w:rsid w:val="27C54098"/>
    <w:rsid w:val="27E8314E"/>
    <w:rsid w:val="280B7FEB"/>
    <w:rsid w:val="2827696B"/>
    <w:rsid w:val="283C0D85"/>
    <w:rsid w:val="28450F6C"/>
    <w:rsid w:val="284C16B1"/>
    <w:rsid w:val="28577024"/>
    <w:rsid w:val="28746F70"/>
    <w:rsid w:val="28A40C0E"/>
    <w:rsid w:val="28A66FD2"/>
    <w:rsid w:val="28DB6466"/>
    <w:rsid w:val="28FF18BB"/>
    <w:rsid w:val="2906587D"/>
    <w:rsid w:val="29081179"/>
    <w:rsid w:val="2926030A"/>
    <w:rsid w:val="29683AF7"/>
    <w:rsid w:val="298D54E1"/>
    <w:rsid w:val="29912B2A"/>
    <w:rsid w:val="29933E95"/>
    <w:rsid w:val="29953A54"/>
    <w:rsid w:val="299D6944"/>
    <w:rsid w:val="29B71655"/>
    <w:rsid w:val="29E01CD6"/>
    <w:rsid w:val="29F76330"/>
    <w:rsid w:val="2A2C5CC8"/>
    <w:rsid w:val="2A502BDE"/>
    <w:rsid w:val="2A610E88"/>
    <w:rsid w:val="2A994A6D"/>
    <w:rsid w:val="2AA236A8"/>
    <w:rsid w:val="2AD540D4"/>
    <w:rsid w:val="2ADC31AE"/>
    <w:rsid w:val="2AE72D0D"/>
    <w:rsid w:val="2AF77B9D"/>
    <w:rsid w:val="2AFB52E4"/>
    <w:rsid w:val="2B040840"/>
    <w:rsid w:val="2B0753B1"/>
    <w:rsid w:val="2B2733B9"/>
    <w:rsid w:val="2B284FD7"/>
    <w:rsid w:val="2B297FDE"/>
    <w:rsid w:val="2B2A503B"/>
    <w:rsid w:val="2B2D39AC"/>
    <w:rsid w:val="2B2E699C"/>
    <w:rsid w:val="2B797A36"/>
    <w:rsid w:val="2BA93E07"/>
    <w:rsid w:val="2BF03989"/>
    <w:rsid w:val="2C023541"/>
    <w:rsid w:val="2C2C542E"/>
    <w:rsid w:val="2C7173E0"/>
    <w:rsid w:val="2C8E4D82"/>
    <w:rsid w:val="2C995656"/>
    <w:rsid w:val="2CB11244"/>
    <w:rsid w:val="2CD03054"/>
    <w:rsid w:val="2CD87789"/>
    <w:rsid w:val="2CEC334A"/>
    <w:rsid w:val="2CFE2BE2"/>
    <w:rsid w:val="2D0A27D8"/>
    <w:rsid w:val="2D1D0DA0"/>
    <w:rsid w:val="2D1F1586"/>
    <w:rsid w:val="2D3C001D"/>
    <w:rsid w:val="2D505B75"/>
    <w:rsid w:val="2D594A5F"/>
    <w:rsid w:val="2D5F3E43"/>
    <w:rsid w:val="2D6B2EBF"/>
    <w:rsid w:val="2D7D3735"/>
    <w:rsid w:val="2D7E320A"/>
    <w:rsid w:val="2DB202BF"/>
    <w:rsid w:val="2DB36DDC"/>
    <w:rsid w:val="2DB8327E"/>
    <w:rsid w:val="2DD122C7"/>
    <w:rsid w:val="2E085135"/>
    <w:rsid w:val="2E2F3836"/>
    <w:rsid w:val="2E4D7EDF"/>
    <w:rsid w:val="2E5C0F57"/>
    <w:rsid w:val="2E6B5AF8"/>
    <w:rsid w:val="2E784EE0"/>
    <w:rsid w:val="2E8708C4"/>
    <w:rsid w:val="2EC921D2"/>
    <w:rsid w:val="2EE66A28"/>
    <w:rsid w:val="2F082C50"/>
    <w:rsid w:val="2F0F1DB4"/>
    <w:rsid w:val="2F153231"/>
    <w:rsid w:val="2F244316"/>
    <w:rsid w:val="2F2B4635"/>
    <w:rsid w:val="2F333135"/>
    <w:rsid w:val="2F3C7172"/>
    <w:rsid w:val="2F6912D0"/>
    <w:rsid w:val="2FB14A43"/>
    <w:rsid w:val="2FE47620"/>
    <w:rsid w:val="2FEE4A3B"/>
    <w:rsid w:val="2FEE5699"/>
    <w:rsid w:val="300C7997"/>
    <w:rsid w:val="302A57BB"/>
    <w:rsid w:val="30306EFB"/>
    <w:rsid w:val="303B7986"/>
    <w:rsid w:val="30743AD6"/>
    <w:rsid w:val="30894813"/>
    <w:rsid w:val="30AE1D52"/>
    <w:rsid w:val="30CA2DEA"/>
    <w:rsid w:val="30E7266C"/>
    <w:rsid w:val="30EA5331"/>
    <w:rsid w:val="310961C3"/>
    <w:rsid w:val="311A0F54"/>
    <w:rsid w:val="315111F1"/>
    <w:rsid w:val="31605951"/>
    <w:rsid w:val="316A42B7"/>
    <w:rsid w:val="316C2015"/>
    <w:rsid w:val="317B512E"/>
    <w:rsid w:val="31D61075"/>
    <w:rsid w:val="31DD28EC"/>
    <w:rsid w:val="31F34B0C"/>
    <w:rsid w:val="31F74D74"/>
    <w:rsid w:val="32293DF3"/>
    <w:rsid w:val="324577B5"/>
    <w:rsid w:val="329C70DF"/>
    <w:rsid w:val="329D0E07"/>
    <w:rsid w:val="32A02E2C"/>
    <w:rsid w:val="32D811B7"/>
    <w:rsid w:val="32E24801"/>
    <w:rsid w:val="32F857F4"/>
    <w:rsid w:val="33352B46"/>
    <w:rsid w:val="334A7AE4"/>
    <w:rsid w:val="3360342E"/>
    <w:rsid w:val="336A45BE"/>
    <w:rsid w:val="337827DE"/>
    <w:rsid w:val="33951AE0"/>
    <w:rsid w:val="33CB03EB"/>
    <w:rsid w:val="33D93647"/>
    <w:rsid w:val="33DC399C"/>
    <w:rsid w:val="33E24E2C"/>
    <w:rsid w:val="33F07849"/>
    <w:rsid w:val="33F3561C"/>
    <w:rsid w:val="33F4138D"/>
    <w:rsid w:val="33F618E1"/>
    <w:rsid w:val="341325A0"/>
    <w:rsid w:val="344C2238"/>
    <w:rsid w:val="34505C47"/>
    <w:rsid w:val="34893634"/>
    <w:rsid w:val="3490673F"/>
    <w:rsid w:val="34B93D28"/>
    <w:rsid w:val="34C01173"/>
    <w:rsid w:val="34C67B9A"/>
    <w:rsid w:val="34E300BF"/>
    <w:rsid w:val="350C42E1"/>
    <w:rsid w:val="350E00AA"/>
    <w:rsid w:val="351F234A"/>
    <w:rsid w:val="35303BA4"/>
    <w:rsid w:val="35530BF6"/>
    <w:rsid w:val="3589082B"/>
    <w:rsid w:val="35985EC1"/>
    <w:rsid w:val="35A84571"/>
    <w:rsid w:val="360756AE"/>
    <w:rsid w:val="360C2571"/>
    <w:rsid w:val="360D6341"/>
    <w:rsid w:val="361352BB"/>
    <w:rsid w:val="36431F64"/>
    <w:rsid w:val="36841065"/>
    <w:rsid w:val="36847353"/>
    <w:rsid w:val="368661F4"/>
    <w:rsid w:val="369E15F3"/>
    <w:rsid w:val="36AA2F1D"/>
    <w:rsid w:val="36AF7974"/>
    <w:rsid w:val="36DB1F61"/>
    <w:rsid w:val="36DE5A88"/>
    <w:rsid w:val="36DF3019"/>
    <w:rsid w:val="36F114C8"/>
    <w:rsid w:val="3739475C"/>
    <w:rsid w:val="375B27EC"/>
    <w:rsid w:val="37720098"/>
    <w:rsid w:val="37727DA2"/>
    <w:rsid w:val="37BC4D26"/>
    <w:rsid w:val="37C2711A"/>
    <w:rsid w:val="37FA6C5D"/>
    <w:rsid w:val="38066F1F"/>
    <w:rsid w:val="381529C4"/>
    <w:rsid w:val="38190F1B"/>
    <w:rsid w:val="3822589D"/>
    <w:rsid w:val="38294778"/>
    <w:rsid w:val="383B7004"/>
    <w:rsid w:val="38761F63"/>
    <w:rsid w:val="387E0A90"/>
    <w:rsid w:val="388010C2"/>
    <w:rsid w:val="38A37BF1"/>
    <w:rsid w:val="38BE7AAA"/>
    <w:rsid w:val="38E45A13"/>
    <w:rsid w:val="39001FC5"/>
    <w:rsid w:val="392F198D"/>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7D76BF"/>
    <w:rsid w:val="3ACE58EF"/>
    <w:rsid w:val="3AE64A6A"/>
    <w:rsid w:val="3AF10675"/>
    <w:rsid w:val="3AFA1549"/>
    <w:rsid w:val="3AFC5C22"/>
    <w:rsid w:val="3B013C9D"/>
    <w:rsid w:val="3B2E37BC"/>
    <w:rsid w:val="3B4343B6"/>
    <w:rsid w:val="3B4528D6"/>
    <w:rsid w:val="3B4756B8"/>
    <w:rsid w:val="3B4D3B9C"/>
    <w:rsid w:val="3B60679B"/>
    <w:rsid w:val="3B6D0AC3"/>
    <w:rsid w:val="3B917208"/>
    <w:rsid w:val="3B920879"/>
    <w:rsid w:val="3BB72DC3"/>
    <w:rsid w:val="3BD002AE"/>
    <w:rsid w:val="3BD41866"/>
    <w:rsid w:val="3BD475CB"/>
    <w:rsid w:val="3BF46A38"/>
    <w:rsid w:val="3C173B8D"/>
    <w:rsid w:val="3C2D5A50"/>
    <w:rsid w:val="3C2F12C0"/>
    <w:rsid w:val="3C36656E"/>
    <w:rsid w:val="3C562ADC"/>
    <w:rsid w:val="3C5666E6"/>
    <w:rsid w:val="3CEC1361"/>
    <w:rsid w:val="3D0C1E9C"/>
    <w:rsid w:val="3D2C178A"/>
    <w:rsid w:val="3D4B5A31"/>
    <w:rsid w:val="3D6067DA"/>
    <w:rsid w:val="3D792860"/>
    <w:rsid w:val="3D8651D2"/>
    <w:rsid w:val="3DA12DAE"/>
    <w:rsid w:val="3DD570E9"/>
    <w:rsid w:val="3DEA08B1"/>
    <w:rsid w:val="3DF20FA0"/>
    <w:rsid w:val="3E0747AF"/>
    <w:rsid w:val="3E1A638D"/>
    <w:rsid w:val="3E1B0473"/>
    <w:rsid w:val="3E436F11"/>
    <w:rsid w:val="3E636445"/>
    <w:rsid w:val="3E7F55EA"/>
    <w:rsid w:val="3EAB774C"/>
    <w:rsid w:val="3EB1152D"/>
    <w:rsid w:val="3EE44295"/>
    <w:rsid w:val="3F0E34EF"/>
    <w:rsid w:val="3F30557D"/>
    <w:rsid w:val="3F3C3A0D"/>
    <w:rsid w:val="3F6A2B47"/>
    <w:rsid w:val="3F702F62"/>
    <w:rsid w:val="3F837F4E"/>
    <w:rsid w:val="3FCD4482"/>
    <w:rsid w:val="3FD203D8"/>
    <w:rsid w:val="3FDA2369"/>
    <w:rsid w:val="3FF85F20"/>
    <w:rsid w:val="40212731"/>
    <w:rsid w:val="402772FD"/>
    <w:rsid w:val="402E1A6D"/>
    <w:rsid w:val="406A0379"/>
    <w:rsid w:val="40D5764A"/>
    <w:rsid w:val="40F77812"/>
    <w:rsid w:val="41231EC9"/>
    <w:rsid w:val="41483888"/>
    <w:rsid w:val="419124D1"/>
    <w:rsid w:val="41B03455"/>
    <w:rsid w:val="41E0682D"/>
    <w:rsid w:val="421B3E3B"/>
    <w:rsid w:val="423C377E"/>
    <w:rsid w:val="42652AD0"/>
    <w:rsid w:val="42733CC1"/>
    <w:rsid w:val="42871AEA"/>
    <w:rsid w:val="4291483E"/>
    <w:rsid w:val="42954F01"/>
    <w:rsid w:val="430C231B"/>
    <w:rsid w:val="434417DC"/>
    <w:rsid w:val="43503562"/>
    <w:rsid w:val="435172C2"/>
    <w:rsid w:val="43603175"/>
    <w:rsid w:val="436F71BF"/>
    <w:rsid w:val="437012D3"/>
    <w:rsid w:val="43710F84"/>
    <w:rsid w:val="43795A45"/>
    <w:rsid w:val="437A2EB2"/>
    <w:rsid w:val="439F66B3"/>
    <w:rsid w:val="43FA41C4"/>
    <w:rsid w:val="442C5A9F"/>
    <w:rsid w:val="4438633C"/>
    <w:rsid w:val="443C5FEA"/>
    <w:rsid w:val="44500D2A"/>
    <w:rsid w:val="445C7CFF"/>
    <w:rsid w:val="44635263"/>
    <w:rsid w:val="446808F4"/>
    <w:rsid w:val="446D15F8"/>
    <w:rsid w:val="44792B02"/>
    <w:rsid w:val="44D06C66"/>
    <w:rsid w:val="44EE3DE3"/>
    <w:rsid w:val="44F7272B"/>
    <w:rsid w:val="450F19C5"/>
    <w:rsid w:val="45657083"/>
    <w:rsid w:val="456617F3"/>
    <w:rsid w:val="45670197"/>
    <w:rsid w:val="45941AE5"/>
    <w:rsid w:val="459D5425"/>
    <w:rsid w:val="45B10D60"/>
    <w:rsid w:val="45B23018"/>
    <w:rsid w:val="45CC74A1"/>
    <w:rsid w:val="4640722E"/>
    <w:rsid w:val="464B6C7B"/>
    <w:rsid w:val="464F5C1E"/>
    <w:rsid w:val="465862FC"/>
    <w:rsid w:val="46881C02"/>
    <w:rsid w:val="46922349"/>
    <w:rsid w:val="469767C1"/>
    <w:rsid w:val="469A3F7C"/>
    <w:rsid w:val="46A20721"/>
    <w:rsid w:val="46A85979"/>
    <w:rsid w:val="46AB7B44"/>
    <w:rsid w:val="46AF07B0"/>
    <w:rsid w:val="46BE3889"/>
    <w:rsid w:val="46C91BA2"/>
    <w:rsid w:val="46DD471E"/>
    <w:rsid w:val="46DF0493"/>
    <w:rsid w:val="46F7316C"/>
    <w:rsid w:val="470F4577"/>
    <w:rsid w:val="473B3EDA"/>
    <w:rsid w:val="473F6905"/>
    <w:rsid w:val="47475EFC"/>
    <w:rsid w:val="4752442F"/>
    <w:rsid w:val="475E748F"/>
    <w:rsid w:val="4765523D"/>
    <w:rsid w:val="47901A9F"/>
    <w:rsid w:val="47922799"/>
    <w:rsid w:val="47BF4550"/>
    <w:rsid w:val="47D97FC7"/>
    <w:rsid w:val="47DD679F"/>
    <w:rsid w:val="48000BC3"/>
    <w:rsid w:val="480F276E"/>
    <w:rsid w:val="483533E8"/>
    <w:rsid w:val="484527E2"/>
    <w:rsid w:val="485C32A8"/>
    <w:rsid w:val="48613C38"/>
    <w:rsid w:val="486D1F68"/>
    <w:rsid w:val="48BF25F4"/>
    <w:rsid w:val="48C30900"/>
    <w:rsid w:val="48F65721"/>
    <w:rsid w:val="48F8729D"/>
    <w:rsid w:val="49026FDE"/>
    <w:rsid w:val="494B6911"/>
    <w:rsid w:val="49761856"/>
    <w:rsid w:val="4976695C"/>
    <w:rsid w:val="49AB468B"/>
    <w:rsid w:val="49DB3649"/>
    <w:rsid w:val="4A447E7B"/>
    <w:rsid w:val="4A5D2BBA"/>
    <w:rsid w:val="4A600199"/>
    <w:rsid w:val="4A651AAA"/>
    <w:rsid w:val="4A6621B0"/>
    <w:rsid w:val="4A770556"/>
    <w:rsid w:val="4AA77FB3"/>
    <w:rsid w:val="4AD61D8B"/>
    <w:rsid w:val="4B566484"/>
    <w:rsid w:val="4B760EAB"/>
    <w:rsid w:val="4BE50202"/>
    <w:rsid w:val="4BE557FA"/>
    <w:rsid w:val="4C186148"/>
    <w:rsid w:val="4C203459"/>
    <w:rsid w:val="4C337BF2"/>
    <w:rsid w:val="4C487E08"/>
    <w:rsid w:val="4C4F5739"/>
    <w:rsid w:val="4C6E5D0E"/>
    <w:rsid w:val="4C8236B1"/>
    <w:rsid w:val="4C9C5500"/>
    <w:rsid w:val="4C9D17E9"/>
    <w:rsid w:val="4CA77B6B"/>
    <w:rsid w:val="4CC625AA"/>
    <w:rsid w:val="4D0E6DB1"/>
    <w:rsid w:val="4D1550CC"/>
    <w:rsid w:val="4D1F409E"/>
    <w:rsid w:val="4D252510"/>
    <w:rsid w:val="4D307A5C"/>
    <w:rsid w:val="4D3770C9"/>
    <w:rsid w:val="4D5B0FBF"/>
    <w:rsid w:val="4D6F1D0C"/>
    <w:rsid w:val="4D755439"/>
    <w:rsid w:val="4D8A792E"/>
    <w:rsid w:val="4DA33876"/>
    <w:rsid w:val="4DBC074D"/>
    <w:rsid w:val="4DBF5D16"/>
    <w:rsid w:val="4DC73A64"/>
    <w:rsid w:val="4DD070D5"/>
    <w:rsid w:val="4DD15A31"/>
    <w:rsid w:val="4DE60D42"/>
    <w:rsid w:val="4E0E6937"/>
    <w:rsid w:val="4E173D2C"/>
    <w:rsid w:val="4E175D28"/>
    <w:rsid w:val="4E69264D"/>
    <w:rsid w:val="4E9B4AB9"/>
    <w:rsid w:val="4EC206EE"/>
    <w:rsid w:val="4ED13ABC"/>
    <w:rsid w:val="4ED652C6"/>
    <w:rsid w:val="4EFB7579"/>
    <w:rsid w:val="4F0931EA"/>
    <w:rsid w:val="4F417C01"/>
    <w:rsid w:val="4F676E75"/>
    <w:rsid w:val="4F9C4AA9"/>
    <w:rsid w:val="4FF63DE8"/>
    <w:rsid w:val="504101F5"/>
    <w:rsid w:val="50484332"/>
    <w:rsid w:val="5051596A"/>
    <w:rsid w:val="505D1263"/>
    <w:rsid w:val="50667369"/>
    <w:rsid w:val="506E24B4"/>
    <w:rsid w:val="509226B7"/>
    <w:rsid w:val="50BC714D"/>
    <w:rsid w:val="50E10D0C"/>
    <w:rsid w:val="5117492B"/>
    <w:rsid w:val="5130038B"/>
    <w:rsid w:val="515060CC"/>
    <w:rsid w:val="51564AF1"/>
    <w:rsid w:val="51C91734"/>
    <w:rsid w:val="51EC3B57"/>
    <w:rsid w:val="51F5100B"/>
    <w:rsid w:val="520C23C4"/>
    <w:rsid w:val="522D1344"/>
    <w:rsid w:val="5232731A"/>
    <w:rsid w:val="52341D3C"/>
    <w:rsid w:val="52485818"/>
    <w:rsid w:val="528A7AE7"/>
    <w:rsid w:val="529A2FFC"/>
    <w:rsid w:val="52DF19AB"/>
    <w:rsid w:val="52E54F92"/>
    <w:rsid w:val="52FA1049"/>
    <w:rsid w:val="534F4F59"/>
    <w:rsid w:val="534F5435"/>
    <w:rsid w:val="53832185"/>
    <w:rsid w:val="53920CEE"/>
    <w:rsid w:val="53A4716C"/>
    <w:rsid w:val="53CC50AE"/>
    <w:rsid w:val="53EA182C"/>
    <w:rsid w:val="543812D4"/>
    <w:rsid w:val="543F749E"/>
    <w:rsid w:val="54702D5A"/>
    <w:rsid w:val="547D1D82"/>
    <w:rsid w:val="54904D93"/>
    <w:rsid w:val="54B81E43"/>
    <w:rsid w:val="54BF416C"/>
    <w:rsid w:val="54E048FC"/>
    <w:rsid w:val="54E97E61"/>
    <w:rsid w:val="5524411A"/>
    <w:rsid w:val="555C4EB5"/>
    <w:rsid w:val="55662A4C"/>
    <w:rsid w:val="55703562"/>
    <w:rsid w:val="55A33E18"/>
    <w:rsid w:val="55A40A23"/>
    <w:rsid w:val="55D2087D"/>
    <w:rsid w:val="55D2308D"/>
    <w:rsid w:val="55DD0C0F"/>
    <w:rsid w:val="55F33201"/>
    <w:rsid w:val="560F30B7"/>
    <w:rsid w:val="563E6EEB"/>
    <w:rsid w:val="564B10AC"/>
    <w:rsid w:val="565421DF"/>
    <w:rsid w:val="56571D47"/>
    <w:rsid w:val="56737795"/>
    <w:rsid w:val="567D32B4"/>
    <w:rsid w:val="568E5CB9"/>
    <w:rsid w:val="56A2724A"/>
    <w:rsid w:val="56AB1218"/>
    <w:rsid w:val="56B4647B"/>
    <w:rsid w:val="56BC578B"/>
    <w:rsid w:val="56C33BF2"/>
    <w:rsid w:val="56DF33DF"/>
    <w:rsid w:val="56E04310"/>
    <w:rsid w:val="57255C57"/>
    <w:rsid w:val="57645B06"/>
    <w:rsid w:val="578B566A"/>
    <w:rsid w:val="578F351C"/>
    <w:rsid w:val="57B8583D"/>
    <w:rsid w:val="57C12963"/>
    <w:rsid w:val="57DC33A1"/>
    <w:rsid w:val="58064939"/>
    <w:rsid w:val="5812155D"/>
    <w:rsid w:val="584971A7"/>
    <w:rsid w:val="584A2789"/>
    <w:rsid w:val="584B5C78"/>
    <w:rsid w:val="58513B77"/>
    <w:rsid w:val="586303D1"/>
    <w:rsid w:val="588122D9"/>
    <w:rsid w:val="588501DB"/>
    <w:rsid w:val="58CE0461"/>
    <w:rsid w:val="58DA7D32"/>
    <w:rsid w:val="58E30090"/>
    <w:rsid w:val="58FF0E85"/>
    <w:rsid w:val="59147ABF"/>
    <w:rsid w:val="591552C6"/>
    <w:rsid w:val="593512BC"/>
    <w:rsid w:val="59370951"/>
    <w:rsid w:val="59422BD6"/>
    <w:rsid w:val="594611C8"/>
    <w:rsid w:val="599855CB"/>
    <w:rsid w:val="599D29A9"/>
    <w:rsid w:val="59A33D50"/>
    <w:rsid w:val="59AC7755"/>
    <w:rsid w:val="59BE1134"/>
    <w:rsid w:val="59D35FCF"/>
    <w:rsid w:val="59DD1467"/>
    <w:rsid w:val="59E27657"/>
    <w:rsid w:val="59E618A3"/>
    <w:rsid w:val="5A03560E"/>
    <w:rsid w:val="5A2D770C"/>
    <w:rsid w:val="5A3857B2"/>
    <w:rsid w:val="5A8D6E22"/>
    <w:rsid w:val="5AC51ADC"/>
    <w:rsid w:val="5AE74A5B"/>
    <w:rsid w:val="5AE906AD"/>
    <w:rsid w:val="5B1168D0"/>
    <w:rsid w:val="5B170EC1"/>
    <w:rsid w:val="5B174FED"/>
    <w:rsid w:val="5B523BA8"/>
    <w:rsid w:val="5B5C3848"/>
    <w:rsid w:val="5B617A31"/>
    <w:rsid w:val="5B9073F7"/>
    <w:rsid w:val="5B986932"/>
    <w:rsid w:val="5BAA245B"/>
    <w:rsid w:val="5BAB4E60"/>
    <w:rsid w:val="5C084785"/>
    <w:rsid w:val="5C2C1905"/>
    <w:rsid w:val="5C3667FC"/>
    <w:rsid w:val="5C3E3DD7"/>
    <w:rsid w:val="5C4471F4"/>
    <w:rsid w:val="5C756A96"/>
    <w:rsid w:val="5C8A67C5"/>
    <w:rsid w:val="5C8B657B"/>
    <w:rsid w:val="5CCE6AB6"/>
    <w:rsid w:val="5CF76BF4"/>
    <w:rsid w:val="5CFE542C"/>
    <w:rsid w:val="5D2C444A"/>
    <w:rsid w:val="5D320FCB"/>
    <w:rsid w:val="5D37232C"/>
    <w:rsid w:val="5D525483"/>
    <w:rsid w:val="5D5837C9"/>
    <w:rsid w:val="5D694EF6"/>
    <w:rsid w:val="5D6A11C4"/>
    <w:rsid w:val="5D85171A"/>
    <w:rsid w:val="5DA12F2E"/>
    <w:rsid w:val="5DAE13CF"/>
    <w:rsid w:val="5DB0374C"/>
    <w:rsid w:val="5DCD250B"/>
    <w:rsid w:val="5DDC456A"/>
    <w:rsid w:val="5DFC26E1"/>
    <w:rsid w:val="5DFF1159"/>
    <w:rsid w:val="5E1E25A1"/>
    <w:rsid w:val="5E4279B3"/>
    <w:rsid w:val="5E57556F"/>
    <w:rsid w:val="5E5A4006"/>
    <w:rsid w:val="5E6A285E"/>
    <w:rsid w:val="5E7078F9"/>
    <w:rsid w:val="5E711CDA"/>
    <w:rsid w:val="5E714E68"/>
    <w:rsid w:val="5E781148"/>
    <w:rsid w:val="5E8848F0"/>
    <w:rsid w:val="5E8B4312"/>
    <w:rsid w:val="5E961A7A"/>
    <w:rsid w:val="5EA61714"/>
    <w:rsid w:val="5EA83096"/>
    <w:rsid w:val="5EB13E19"/>
    <w:rsid w:val="5EBB524D"/>
    <w:rsid w:val="5ED905BB"/>
    <w:rsid w:val="5F3A110B"/>
    <w:rsid w:val="5F3C2A77"/>
    <w:rsid w:val="5F544ADE"/>
    <w:rsid w:val="5F625691"/>
    <w:rsid w:val="5FC0322F"/>
    <w:rsid w:val="5FD37C5B"/>
    <w:rsid w:val="5FDB2037"/>
    <w:rsid w:val="604D2722"/>
    <w:rsid w:val="605C4CEC"/>
    <w:rsid w:val="606D64A0"/>
    <w:rsid w:val="60C46ED4"/>
    <w:rsid w:val="60D25A15"/>
    <w:rsid w:val="60D3430F"/>
    <w:rsid w:val="60EB3239"/>
    <w:rsid w:val="60F84A17"/>
    <w:rsid w:val="61040184"/>
    <w:rsid w:val="612753A8"/>
    <w:rsid w:val="613256A2"/>
    <w:rsid w:val="61347170"/>
    <w:rsid w:val="61461A41"/>
    <w:rsid w:val="61612908"/>
    <w:rsid w:val="61737677"/>
    <w:rsid w:val="61797104"/>
    <w:rsid w:val="618872ED"/>
    <w:rsid w:val="619E2C47"/>
    <w:rsid w:val="61A27AD0"/>
    <w:rsid w:val="623A3F7F"/>
    <w:rsid w:val="62467775"/>
    <w:rsid w:val="6248295B"/>
    <w:rsid w:val="625515C6"/>
    <w:rsid w:val="628A613F"/>
    <w:rsid w:val="62936CE6"/>
    <w:rsid w:val="62CC2286"/>
    <w:rsid w:val="62D040B9"/>
    <w:rsid w:val="62F72567"/>
    <w:rsid w:val="631C472A"/>
    <w:rsid w:val="63365241"/>
    <w:rsid w:val="634A476A"/>
    <w:rsid w:val="63527B99"/>
    <w:rsid w:val="63613D1C"/>
    <w:rsid w:val="6363722B"/>
    <w:rsid w:val="63836E8B"/>
    <w:rsid w:val="63D52DC3"/>
    <w:rsid w:val="63EE2185"/>
    <w:rsid w:val="64103523"/>
    <w:rsid w:val="64130890"/>
    <w:rsid w:val="64144701"/>
    <w:rsid w:val="64474BA2"/>
    <w:rsid w:val="649C4784"/>
    <w:rsid w:val="64DA205C"/>
    <w:rsid w:val="651F48F0"/>
    <w:rsid w:val="652F58D9"/>
    <w:rsid w:val="653611AD"/>
    <w:rsid w:val="65394866"/>
    <w:rsid w:val="65531F1D"/>
    <w:rsid w:val="6561130E"/>
    <w:rsid w:val="6571183F"/>
    <w:rsid w:val="657151FB"/>
    <w:rsid w:val="65735D84"/>
    <w:rsid w:val="65880718"/>
    <w:rsid w:val="6592214B"/>
    <w:rsid w:val="65AD68DC"/>
    <w:rsid w:val="65CA5EB8"/>
    <w:rsid w:val="65F07A37"/>
    <w:rsid w:val="66071CC5"/>
    <w:rsid w:val="660957FC"/>
    <w:rsid w:val="660E03B3"/>
    <w:rsid w:val="663B7414"/>
    <w:rsid w:val="66441D52"/>
    <w:rsid w:val="66444926"/>
    <w:rsid w:val="664829E3"/>
    <w:rsid w:val="664F1FDF"/>
    <w:rsid w:val="6676045A"/>
    <w:rsid w:val="66885A0B"/>
    <w:rsid w:val="668A54E2"/>
    <w:rsid w:val="66B81965"/>
    <w:rsid w:val="66BB3EC6"/>
    <w:rsid w:val="66ED0C0D"/>
    <w:rsid w:val="66EE52A3"/>
    <w:rsid w:val="66F05D18"/>
    <w:rsid w:val="671B2005"/>
    <w:rsid w:val="675020B8"/>
    <w:rsid w:val="675B1B42"/>
    <w:rsid w:val="679A55A8"/>
    <w:rsid w:val="67A01638"/>
    <w:rsid w:val="67A626EF"/>
    <w:rsid w:val="67AE12CE"/>
    <w:rsid w:val="67AF2B6F"/>
    <w:rsid w:val="67BE5D08"/>
    <w:rsid w:val="680A2CD5"/>
    <w:rsid w:val="68105AAB"/>
    <w:rsid w:val="68424423"/>
    <w:rsid w:val="687F44F8"/>
    <w:rsid w:val="68891384"/>
    <w:rsid w:val="689322AD"/>
    <w:rsid w:val="68CE715B"/>
    <w:rsid w:val="68D9424D"/>
    <w:rsid w:val="68EC2959"/>
    <w:rsid w:val="68F84B4D"/>
    <w:rsid w:val="692D1F13"/>
    <w:rsid w:val="692F7C2D"/>
    <w:rsid w:val="693A030E"/>
    <w:rsid w:val="693E4DC3"/>
    <w:rsid w:val="69A17914"/>
    <w:rsid w:val="69DD4AF8"/>
    <w:rsid w:val="6A0D0E38"/>
    <w:rsid w:val="6A0D5AB8"/>
    <w:rsid w:val="6A5D6874"/>
    <w:rsid w:val="6A72306C"/>
    <w:rsid w:val="6AB44AED"/>
    <w:rsid w:val="6ABA4B0F"/>
    <w:rsid w:val="6AE648F8"/>
    <w:rsid w:val="6B2B2B84"/>
    <w:rsid w:val="6B355327"/>
    <w:rsid w:val="6B4F2A2A"/>
    <w:rsid w:val="6B8D5522"/>
    <w:rsid w:val="6B963D85"/>
    <w:rsid w:val="6B9E50A9"/>
    <w:rsid w:val="6C08223F"/>
    <w:rsid w:val="6C7B2A22"/>
    <w:rsid w:val="6C954233"/>
    <w:rsid w:val="6CAE695B"/>
    <w:rsid w:val="6CDD11CD"/>
    <w:rsid w:val="6CE05267"/>
    <w:rsid w:val="6CE40271"/>
    <w:rsid w:val="6CFB0165"/>
    <w:rsid w:val="6D116EE2"/>
    <w:rsid w:val="6D297A26"/>
    <w:rsid w:val="6D556F64"/>
    <w:rsid w:val="6D833BED"/>
    <w:rsid w:val="6D9F74C0"/>
    <w:rsid w:val="6DA117BE"/>
    <w:rsid w:val="6DD9676B"/>
    <w:rsid w:val="6DE33D6B"/>
    <w:rsid w:val="6DEF3EC3"/>
    <w:rsid w:val="6E252F05"/>
    <w:rsid w:val="6E3A26D8"/>
    <w:rsid w:val="6E4A0B0A"/>
    <w:rsid w:val="6E500CD1"/>
    <w:rsid w:val="6E5C208F"/>
    <w:rsid w:val="6E681608"/>
    <w:rsid w:val="6E6A6527"/>
    <w:rsid w:val="6E7744F9"/>
    <w:rsid w:val="6E8D62C7"/>
    <w:rsid w:val="6EB1189B"/>
    <w:rsid w:val="6EBE51AE"/>
    <w:rsid w:val="6EC65A41"/>
    <w:rsid w:val="6ED67440"/>
    <w:rsid w:val="6EE14D3E"/>
    <w:rsid w:val="6F055553"/>
    <w:rsid w:val="6F2A0302"/>
    <w:rsid w:val="6F37479D"/>
    <w:rsid w:val="6F376350"/>
    <w:rsid w:val="6F436F2E"/>
    <w:rsid w:val="6F4C47E5"/>
    <w:rsid w:val="6FAD40E5"/>
    <w:rsid w:val="6FBD09AB"/>
    <w:rsid w:val="6FC4529C"/>
    <w:rsid w:val="6FDE327B"/>
    <w:rsid w:val="6FE724EF"/>
    <w:rsid w:val="6FF52471"/>
    <w:rsid w:val="70171662"/>
    <w:rsid w:val="704E4DC4"/>
    <w:rsid w:val="705B465B"/>
    <w:rsid w:val="70694A66"/>
    <w:rsid w:val="706B4B17"/>
    <w:rsid w:val="707B4355"/>
    <w:rsid w:val="70801458"/>
    <w:rsid w:val="70C94A80"/>
    <w:rsid w:val="710F1EAF"/>
    <w:rsid w:val="7123259E"/>
    <w:rsid w:val="712A169B"/>
    <w:rsid w:val="713A5025"/>
    <w:rsid w:val="714054B2"/>
    <w:rsid w:val="71680B0F"/>
    <w:rsid w:val="71854B70"/>
    <w:rsid w:val="71D43515"/>
    <w:rsid w:val="71F95237"/>
    <w:rsid w:val="722503F1"/>
    <w:rsid w:val="722D514D"/>
    <w:rsid w:val="724B1DF0"/>
    <w:rsid w:val="725F4D5A"/>
    <w:rsid w:val="72B072C3"/>
    <w:rsid w:val="72CF0E9B"/>
    <w:rsid w:val="72EA6DBA"/>
    <w:rsid w:val="730817DE"/>
    <w:rsid w:val="733A35E5"/>
    <w:rsid w:val="7353025C"/>
    <w:rsid w:val="73557AEB"/>
    <w:rsid w:val="737A05A0"/>
    <w:rsid w:val="737F302F"/>
    <w:rsid w:val="739051E1"/>
    <w:rsid w:val="73982D41"/>
    <w:rsid w:val="739F6EDB"/>
    <w:rsid w:val="73AC1F60"/>
    <w:rsid w:val="73F522EE"/>
    <w:rsid w:val="74271298"/>
    <w:rsid w:val="7438400B"/>
    <w:rsid w:val="74543AB3"/>
    <w:rsid w:val="74766500"/>
    <w:rsid w:val="748962D3"/>
    <w:rsid w:val="74C817E9"/>
    <w:rsid w:val="74D13C2A"/>
    <w:rsid w:val="74E17259"/>
    <w:rsid w:val="751C0F27"/>
    <w:rsid w:val="75322E1E"/>
    <w:rsid w:val="753A5EA6"/>
    <w:rsid w:val="754339C4"/>
    <w:rsid w:val="756045AA"/>
    <w:rsid w:val="758A744B"/>
    <w:rsid w:val="75A4672D"/>
    <w:rsid w:val="75BF0392"/>
    <w:rsid w:val="75D34B77"/>
    <w:rsid w:val="75F25DC7"/>
    <w:rsid w:val="75F84841"/>
    <w:rsid w:val="75FA5640"/>
    <w:rsid w:val="75FC6C07"/>
    <w:rsid w:val="75FD2911"/>
    <w:rsid w:val="761F46F4"/>
    <w:rsid w:val="763A6629"/>
    <w:rsid w:val="7645324A"/>
    <w:rsid w:val="764C4219"/>
    <w:rsid w:val="764E771F"/>
    <w:rsid w:val="76594DC3"/>
    <w:rsid w:val="7681426F"/>
    <w:rsid w:val="7696652D"/>
    <w:rsid w:val="76C0056C"/>
    <w:rsid w:val="76F43E80"/>
    <w:rsid w:val="76F5258A"/>
    <w:rsid w:val="76FC0DD4"/>
    <w:rsid w:val="76FD1966"/>
    <w:rsid w:val="774A57ED"/>
    <w:rsid w:val="77737FCB"/>
    <w:rsid w:val="77763557"/>
    <w:rsid w:val="7799290C"/>
    <w:rsid w:val="779F3D83"/>
    <w:rsid w:val="77A04CD1"/>
    <w:rsid w:val="77E1383A"/>
    <w:rsid w:val="77EE524F"/>
    <w:rsid w:val="781D6991"/>
    <w:rsid w:val="782545CD"/>
    <w:rsid w:val="783E1BEC"/>
    <w:rsid w:val="784E71DF"/>
    <w:rsid w:val="785A6DAA"/>
    <w:rsid w:val="785E063A"/>
    <w:rsid w:val="786C1473"/>
    <w:rsid w:val="78762B88"/>
    <w:rsid w:val="789E6EBD"/>
    <w:rsid w:val="78C20EA8"/>
    <w:rsid w:val="7905646B"/>
    <w:rsid w:val="790B57D8"/>
    <w:rsid w:val="790B6D58"/>
    <w:rsid w:val="790E4C5D"/>
    <w:rsid w:val="79291E78"/>
    <w:rsid w:val="792D4608"/>
    <w:rsid w:val="793064C6"/>
    <w:rsid w:val="79435330"/>
    <w:rsid w:val="794C60EE"/>
    <w:rsid w:val="79665C9E"/>
    <w:rsid w:val="797E104F"/>
    <w:rsid w:val="79A80CEF"/>
    <w:rsid w:val="79AF1C6D"/>
    <w:rsid w:val="79CA7B2C"/>
    <w:rsid w:val="79CC6A81"/>
    <w:rsid w:val="7A21565E"/>
    <w:rsid w:val="7A293DDD"/>
    <w:rsid w:val="7A2F1CB5"/>
    <w:rsid w:val="7A3755F0"/>
    <w:rsid w:val="7A8E2DA6"/>
    <w:rsid w:val="7A9A4584"/>
    <w:rsid w:val="7AA179F0"/>
    <w:rsid w:val="7AA8278C"/>
    <w:rsid w:val="7ADC7A4E"/>
    <w:rsid w:val="7AE84FBC"/>
    <w:rsid w:val="7AF761D9"/>
    <w:rsid w:val="7B030294"/>
    <w:rsid w:val="7B081334"/>
    <w:rsid w:val="7B134DE5"/>
    <w:rsid w:val="7B1F72EB"/>
    <w:rsid w:val="7B2D54CF"/>
    <w:rsid w:val="7B320699"/>
    <w:rsid w:val="7BD27F57"/>
    <w:rsid w:val="7BDA2A71"/>
    <w:rsid w:val="7BF6377E"/>
    <w:rsid w:val="7C0253EE"/>
    <w:rsid w:val="7C1266C5"/>
    <w:rsid w:val="7C182044"/>
    <w:rsid w:val="7C537FE0"/>
    <w:rsid w:val="7C6C0FF4"/>
    <w:rsid w:val="7C84703D"/>
    <w:rsid w:val="7CA04F6F"/>
    <w:rsid w:val="7CA67F41"/>
    <w:rsid w:val="7CB53C71"/>
    <w:rsid w:val="7CB63B55"/>
    <w:rsid w:val="7CBC31DA"/>
    <w:rsid w:val="7CBD79AB"/>
    <w:rsid w:val="7CCB3D37"/>
    <w:rsid w:val="7D1E260C"/>
    <w:rsid w:val="7D2E1A4A"/>
    <w:rsid w:val="7D42405A"/>
    <w:rsid w:val="7D6A327E"/>
    <w:rsid w:val="7D846C0E"/>
    <w:rsid w:val="7D963331"/>
    <w:rsid w:val="7D9C539A"/>
    <w:rsid w:val="7DB07306"/>
    <w:rsid w:val="7DB55021"/>
    <w:rsid w:val="7DE07625"/>
    <w:rsid w:val="7E0D37AC"/>
    <w:rsid w:val="7E1259A1"/>
    <w:rsid w:val="7E21048C"/>
    <w:rsid w:val="7E7C4A21"/>
    <w:rsid w:val="7E80446C"/>
    <w:rsid w:val="7E83615E"/>
    <w:rsid w:val="7E86411F"/>
    <w:rsid w:val="7EBC58A6"/>
    <w:rsid w:val="7ECF6A67"/>
    <w:rsid w:val="7EEC1F1A"/>
    <w:rsid w:val="7EF121CF"/>
    <w:rsid w:val="7F1F3F0B"/>
    <w:rsid w:val="7F265E2D"/>
    <w:rsid w:val="7F3A4641"/>
    <w:rsid w:val="7F4F4E90"/>
    <w:rsid w:val="7F5C6627"/>
    <w:rsid w:val="7F6D71D0"/>
    <w:rsid w:val="7F7632B0"/>
    <w:rsid w:val="7FA018BD"/>
    <w:rsid w:val="7FBD6439"/>
    <w:rsid w:val="7FC1579C"/>
    <w:rsid w:val="7FFA75C0"/>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4"/>
    <w:semiHidden/>
    <w:qFormat/>
    <w:uiPriority w:val="0"/>
    <w:pPr>
      <w:jc w:val="left"/>
    </w:pPr>
    <w:rPr>
      <w:rFonts w:ascii="Arial" w:hAnsi="Arial" w:cs="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link w:val="28"/>
    <w:qFormat/>
    <w:uiPriority w:val="0"/>
    <w:pPr>
      <w:tabs>
        <w:tab w:val="left" w:pos="7060"/>
      </w:tabs>
      <w:spacing w:line="360" w:lineRule="auto"/>
      <w:ind w:firstLine="560" w:firstLineChars="200"/>
    </w:pPr>
    <w:rPr>
      <w:rFonts w:eastAsia="新宋体"/>
      <w:sz w:val="28"/>
    </w:rPr>
  </w:style>
  <w:style w:type="paragraph" w:styleId="8">
    <w:name w:val="Body Text Indent 2"/>
    <w:basedOn w:val="1"/>
    <w:qFormat/>
    <w:uiPriority w:val="0"/>
    <w:pPr>
      <w:ind w:firstLine="560" w:firstLineChars="200"/>
    </w:pPr>
    <w:rPr>
      <w:rFonts w:ascii="宋体" w:hAnsi="宋体"/>
      <w:szCs w:val="20"/>
    </w:rPr>
  </w:style>
  <w:style w:type="paragraph" w:styleId="9">
    <w:name w:val="Balloon Text"/>
    <w:basedOn w:val="1"/>
    <w:link w:val="29"/>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paragraph" w:styleId="14">
    <w:name w:val="Body Text First Indent 2"/>
    <w:basedOn w:val="7"/>
    <w:qFormat/>
    <w:uiPriority w:val="0"/>
    <w:pPr>
      <w:tabs>
        <w:tab w:val="left" w:pos="0"/>
        <w:tab w:val="left" w:pos="993"/>
        <w:tab w:val="left" w:pos="1134"/>
        <w:tab w:val="clear" w:pos="7060"/>
      </w:tabs>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FollowedHyperlink"/>
    <w:basedOn w:val="17"/>
    <w:unhideWhenUsed/>
    <w:qFormat/>
    <w:uiPriority w:val="99"/>
    <w:rPr>
      <w:color w:val="800080" w:themeColor="followedHyperlink"/>
      <w:u w:val="single"/>
    </w:rPr>
  </w:style>
  <w:style w:type="character" w:styleId="20">
    <w:name w:val="Hyperlink"/>
    <w:qFormat/>
    <w:uiPriority w:val="0"/>
    <w:rPr>
      <w:color w:val="0000FF"/>
      <w:u w:val="single"/>
    </w:rPr>
  </w:style>
  <w:style w:type="paragraph" w:customStyle="1" w:styleId="21">
    <w:name w:val="_Style 1"/>
    <w:qFormat/>
    <w:uiPriority w:val="0"/>
    <w:rPr>
      <w:rFonts w:ascii="Calibri" w:hAnsi="Calibri" w:eastAsia="宋体" w:cs="Calibri"/>
      <w:kern w:val="2"/>
      <w:sz w:val="28"/>
      <w:szCs w:val="22"/>
      <w:lang w:val="en-US" w:eastAsia="zh-CN" w:bidi="ar-SA"/>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7"/>
    <w:link w:val="5"/>
    <w:semiHidden/>
    <w:qFormat/>
    <w:uiPriority w:val="0"/>
    <w:rPr>
      <w:rFonts w:ascii="Arial" w:hAnsi="Arial" w:eastAsia="宋体" w:cs="Arial"/>
      <w:szCs w:val="24"/>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标题 3 Char"/>
    <w:basedOn w:val="17"/>
    <w:link w:val="3"/>
    <w:qFormat/>
    <w:uiPriority w:val="0"/>
    <w:rPr>
      <w:rFonts w:ascii="Times New Roman" w:hAnsi="Times New Roman" w:eastAsia="宋体" w:cs="Times New Roman"/>
      <w:b/>
      <w:bCs/>
      <w:sz w:val="32"/>
      <w:szCs w:val="32"/>
    </w:rPr>
  </w:style>
  <w:style w:type="character" w:customStyle="1" w:styleId="28">
    <w:name w:val="正文文本缩进 Char"/>
    <w:basedOn w:val="17"/>
    <w:link w:val="7"/>
    <w:qFormat/>
    <w:uiPriority w:val="0"/>
    <w:rPr>
      <w:rFonts w:ascii="Times New Roman" w:hAnsi="Times New Roman" w:eastAsia="新宋体" w:cs="Times New Roman"/>
      <w:sz w:val="28"/>
      <w:szCs w:val="24"/>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12715</Words>
  <Characters>13402</Characters>
  <Lines>82</Lines>
  <Paragraphs>23</Paragraphs>
  <TotalTime>7</TotalTime>
  <ScaleCrop>false</ScaleCrop>
  <LinksUpToDate>false</LinksUpToDate>
  <CharactersWithSpaces>13939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2021-11-02T05:40:00Z</cp:lastPrinted>
  <dcterms:modified xsi:type="dcterms:W3CDTF">2021-12-10T00:41:39Z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C866B89BA43440E2AAEEFA57B9EB9BFE</vt:lpwstr>
  </property>
</Properties>
</file>