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宋体" w:hAnsi="宋体" w:eastAsia="宋体"/>
          <w:sz w:val="36"/>
          <w:szCs w:val="36"/>
          <w:lang w:val="en-US" w:eastAsia="zh-CN"/>
        </w:rPr>
      </w:pPr>
    </w:p>
    <w:p>
      <w:pPr>
        <w:jc w:val="center"/>
        <w:rPr>
          <w:rFonts w:ascii="宋体" w:hAnsi="宋体"/>
          <w:sz w:val="36"/>
          <w:szCs w:val="36"/>
        </w:rPr>
      </w:pPr>
    </w:p>
    <w:p>
      <w:pPr>
        <w:jc w:val="center"/>
        <w:rPr>
          <w:rFonts w:ascii="宋体" w:hAnsi="宋体"/>
          <w:sz w:val="36"/>
          <w:szCs w:val="36"/>
        </w:rPr>
      </w:pPr>
    </w:p>
    <w:p>
      <w:pPr>
        <w:pStyle w:val="2"/>
        <w:ind w:left="0" w:leftChars="0" w:firstLine="0" w:firstLineChars="0"/>
        <w:jc w:val="both"/>
        <w:rPr>
          <w:rFonts w:ascii="宋体" w:hAnsi="宋体"/>
          <w:sz w:val="36"/>
          <w:szCs w:val="36"/>
        </w:rPr>
      </w:pPr>
    </w:p>
    <w:p>
      <w:pPr>
        <w:pStyle w:val="2"/>
      </w:pPr>
    </w:p>
    <w:p>
      <w:pPr>
        <w:pStyle w:val="2"/>
        <w:rPr>
          <w:rFonts w:hint="eastAsia" w:asciiTheme="majorEastAsia" w:hAnsiTheme="majorEastAsia" w:eastAsiaTheme="majorEastAsia" w:cstheme="majorEastAsia"/>
          <w:b/>
          <w:color w:val="000000"/>
          <w:spacing w:val="-11"/>
          <w:sz w:val="48"/>
          <w:szCs w:val="48"/>
          <w:lang w:val="en-US" w:eastAsia="zh-CN"/>
        </w:rPr>
      </w:pPr>
      <w:r>
        <w:rPr>
          <w:rFonts w:hint="eastAsia" w:asciiTheme="majorEastAsia" w:hAnsiTheme="majorEastAsia" w:eastAsiaTheme="majorEastAsia" w:cstheme="majorEastAsia"/>
          <w:b/>
          <w:color w:val="000000"/>
          <w:spacing w:val="-11"/>
          <w:sz w:val="48"/>
          <w:szCs w:val="48"/>
          <w:lang w:val="en-US" w:eastAsia="zh-CN"/>
        </w:rPr>
        <w:t>南浔蔬菜批发（临时过度项目）劳务分包工程</w:t>
      </w:r>
    </w:p>
    <w:p>
      <w:pPr>
        <w:pStyle w:val="2"/>
        <w:rPr>
          <w:rFonts w:hint="eastAsia" w:asciiTheme="majorEastAsia" w:hAnsiTheme="majorEastAsia" w:eastAsiaTheme="majorEastAsia" w:cstheme="majorEastAsia"/>
          <w:b/>
          <w:color w:val="000000"/>
          <w:spacing w:val="-11"/>
          <w:sz w:val="48"/>
          <w:szCs w:val="48"/>
          <w:lang w:val="en-US" w:eastAsia="zh-CN"/>
        </w:rPr>
      </w:pPr>
    </w:p>
    <w:p>
      <w:pPr>
        <w:pStyle w:val="2"/>
        <w:rPr>
          <w:rFonts w:hint="eastAsia" w:asciiTheme="majorEastAsia" w:hAnsiTheme="majorEastAsia" w:eastAsiaTheme="majorEastAsia" w:cstheme="majorEastAsia"/>
          <w:b/>
          <w:color w:val="000000"/>
          <w:spacing w:val="-11"/>
          <w:sz w:val="48"/>
          <w:szCs w:val="48"/>
          <w:lang w:val="en-US" w:eastAsia="zh-CN"/>
        </w:rPr>
      </w:pPr>
    </w:p>
    <w:p>
      <w:pPr>
        <w:jc w:val="center"/>
        <w:rPr>
          <w:rFonts w:ascii="宋体" w:hAnsi="宋体"/>
          <w:b/>
          <w:bCs/>
          <w:sz w:val="72"/>
          <w:szCs w:val="72"/>
        </w:rPr>
      </w:pPr>
      <w:r>
        <w:rPr>
          <w:rFonts w:hint="eastAsia" w:ascii="宋体" w:hAnsi="宋体"/>
          <w:b/>
          <w:bCs/>
          <w:sz w:val="72"/>
          <w:szCs w:val="72"/>
        </w:rPr>
        <w:t>招标文件</w:t>
      </w:r>
    </w:p>
    <w:p>
      <w:pPr>
        <w:jc w:val="center"/>
        <w:rPr>
          <w:rFonts w:ascii="宋体" w:hAnsi="宋体"/>
          <w:sz w:val="36"/>
          <w:szCs w:val="36"/>
        </w:rPr>
      </w:pPr>
    </w:p>
    <w:p>
      <w:pPr>
        <w:jc w:val="center"/>
        <w:rPr>
          <w:rFonts w:ascii="宋体" w:hAnsi="宋体"/>
          <w:sz w:val="36"/>
          <w:szCs w:val="36"/>
        </w:rPr>
      </w:pPr>
    </w:p>
    <w:p>
      <w:pPr>
        <w:pStyle w:val="2"/>
      </w:pPr>
    </w:p>
    <w:p>
      <w:pPr>
        <w:pStyle w:val="2"/>
      </w:pPr>
    </w:p>
    <w:p>
      <w:pPr>
        <w:jc w:val="center"/>
        <w:rPr>
          <w:rFonts w:hint="default" w:ascii="宋体" w:hAnsi="宋体" w:eastAsia="宋体"/>
          <w:b/>
          <w:bCs/>
          <w:sz w:val="36"/>
          <w:szCs w:val="36"/>
          <w:lang w:val="en-US" w:eastAsia="zh-CN"/>
        </w:rPr>
      </w:pPr>
      <w:r>
        <w:rPr>
          <w:rFonts w:hint="eastAsia" w:ascii="宋体" w:hAnsi="宋体"/>
          <w:b/>
          <w:bCs/>
          <w:sz w:val="36"/>
          <w:szCs w:val="36"/>
        </w:rPr>
        <w:t>招标编号：</w:t>
      </w:r>
    </w:p>
    <w:p>
      <w:pPr>
        <w:pStyle w:val="2"/>
        <w:rPr>
          <w:rFonts w:hint="eastAsia"/>
          <w:lang w:eastAsia="zh-CN"/>
        </w:rPr>
      </w:pPr>
    </w:p>
    <w:p>
      <w:pPr>
        <w:jc w:val="center"/>
        <w:rPr>
          <w:rFonts w:ascii="宋体" w:hAnsi="宋体"/>
          <w:sz w:val="36"/>
          <w:szCs w:val="36"/>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sz w:val="36"/>
          <w:szCs w:val="36"/>
        </w:rPr>
      </w:pPr>
    </w:p>
    <w:p>
      <w:pPr>
        <w:pStyle w:val="2"/>
        <w:ind w:left="0" w:leftChars="0" w:firstLine="0" w:firstLineChars="0"/>
        <w:jc w:val="both"/>
      </w:pPr>
    </w:p>
    <w:p>
      <w:pPr>
        <w:jc w:val="center"/>
        <w:rPr>
          <w:rFonts w:ascii="宋体" w:hAnsi="宋体"/>
          <w:b/>
          <w:sz w:val="30"/>
          <w:szCs w:val="30"/>
        </w:rPr>
      </w:pPr>
      <w:r>
        <w:rPr>
          <w:rFonts w:hint="eastAsia" w:ascii="宋体" w:hAnsi="宋体"/>
          <w:b/>
          <w:sz w:val="30"/>
          <w:szCs w:val="30"/>
        </w:rPr>
        <w:t>招标单位：湖州南浔城投城市建设集团有限公司</w:t>
      </w:r>
    </w:p>
    <w:p>
      <w:pPr>
        <w:jc w:val="center"/>
        <w:rPr>
          <w:rFonts w:hint="eastAsia" w:ascii="宋体" w:hAnsi="宋体"/>
          <w:b/>
          <w:sz w:val="30"/>
          <w:szCs w:val="30"/>
        </w:rPr>
      </w:pPr>
      <w:r>
        <w:rPr>
          <w:rFonts w:hint="eastAsia" w:ascii="宋体" w:hAnsi="宋体"/>
          <w:b/>
          <w:sz w:val="30"/>
          <w:szCs w:val="30"/>
        </w:rPr>
        <w:t>2021年</w:t>
      </w:r>
      <w:r>
        <w:rPr>
          <w:rFonts w:hint="eastAsia" w:ascii="宋体" w:hAnsi="宋体"/>
          <w:b/>
          <w:sz w:val="30"/>
          <w:szCs w:val="30"/>
          <w:lang w:val="en-US" w:eastAsia="zh-CN"/>
        </w:rPr>
        <w:t>12</w:t>
      </w:r>
      <w:r>
        <w:rPr>
          <w:rFonts w:hint="eastAsia" w:ascii="宋体" w:hAnsi="宋体"/>
          <w:b/>
          <w:sz w:val="30"/>
          <w:szCs w:val="30"/>
        </w:rPr>
        <w:t xml:space="preserve">月 </w:t>
      </w:r>
    </w:p>
    <w:p>
      <w:pPr>
        <w:pStyle w:val="2"/>
        <w:rPr>
          <w:rFonts w:hint="eastAsia"/>
        </w:rPr>
      </w:pPr>
    </w:p>
    <w:p>
      <w:pPr>
        <w:pStyle w:val="2"/>
        <w:ind w:left="0" w:leftChars="0" w:firstLine="0" w:firstLineChars="0"/>
        <w:jc w:val="both"/>
        <w:rPr>
          <w:rFonts w:hint="eastAsia"/>
        </w:rPr>
      </w:pPr>
    </w:p>
    <w:p>
      <w:pPr>
        <w:jc w:val="center"/>
        <w:rPr>
          <w:rFonts w:ascii="宋体" w:hAnsi="宋体" w:cs="黑体"/>
          <w:b/>
          <w:kern w:val="0"/>
          <w:szCs w:val="21"/>
        </w:rPr>
      </w:pPr>
      <w:r>
        <w:rPr>
          <w:rFonts w:hint="eastAsia" w:ascii="宋体" w:hAnsi="宋体" w:cs="黑体"/>
          <w:b/>
          <w:kern w:val="0"/>
          <w:szCs w:val="21"/>
        </w:rPr>
        <w:t>第一章</w:t>
      </w:r>
      <w:bookmarkStart w:id="0" w:name="招标须知"/>
      <w:r>
        <w:rPr>
          <w:rFonts w:hint="eastAsia" w:ascii="宋体" w:hAnsi="宋体" w:cs="黑体"/>
          <w:b/>
          <w:kern w:val="0"/>
          <w:szCs w:val="21"/>
        </w:rPr>
        <w:t>招标须知</w:t>
      </w:r>
      <w:bookmarkEnd w:id="0"/>
    </w:p>
    <w:p>
      <w:pPr>
        <w:pStyle w:val="2"/>
        <w:ind w:left="0" w:leftChars="0" w:firstLine="0" w:firstLineChars="0"/>
        <w:jc w:val="left"/>
        <w:rPr>
          <w:rFonts w:ascii="宋体" w:hAnsi="宋体" w:cs="宋体"/>
          <w:kern w:val="0"/>
          <w:sz w:val="21"/>
          <w:szCs w:val="21"/>
        </w:rPr>
      </w:pPr>
      <w:r>
        <w:rPr>
          <w:rFonts w:ascii="宋体" w:hAnsi="宋体" w:cs="TimesNewRomanPSMT"/>
          <w:b/>
          <w:kern w:val="0"/>
          <w:sz w:val="21"/>
          <w:szCs w:val="21"/>
        </w:rPr>
        <w:t xml:space="preserve">1. </w:t>
      </w:r>
      <w:r>
        <w:rPr>
          <w:rFonts w:hint="eastAsia" w:ascii="宋体" w:hAnsi="宋体" w:cs="黑体"/>
          <w:b/>
          <w:kern w:val="0"/>
          <w:sz w:val="21"/>
          <w:szCs w:val="21"/>
        </w:rPr>
        <w:t>招标条件</w:t>
      </w:r>
      <w:r>
        <w:rPr>
          <w:rFonts w:hint="eastAsia" w:ascii="宋体" w:hAnsi="宋体" w:cs="宋体"/>
          <w:color w:val="FF0000"/>
          <w:kern w:val="0"/>
          <w:sz w:val="21"/>
          <w:szCs w:val="21"/>
          <w:u w:val="single"/>
          <w:lang w:val="en-US" w:eastAsia="zh-CN"/>
        </w:rPr>
        <w:t xml:space="preserve"> 南浔蔬菜批发（临时过度项目）劳务分包工程 </w:t>
      </w:r>
      <w:r>
        <w:rPr>
          <w:rFonts w:hint="eastAsia" w:ascii="宋体" w:hAnsi="宋体" w:cs="宋体"/>
          <w:kern w:val="0"/>
          <w:sz w:val="21"/>
          <w:szCs w:val="21"/>
        </w:rPr>
        <w:t xml:space="preserve">由 </w:t>
      </w:r>
      <w:r>
        <w:rPr>
          <w:rFonts w:hint="eastAsia" w:ascii="宋体" w:hAnsi="宋体" w:cs="宋体"/>
          <w:color w:val="FF0000"/>
          <w:kern w:val="0"/>
          <w:sz w:val="21"/>
          <w:szCs w:val="21"/>
          <w:u w:val="single"/>
        </w:rPr>
        <w:t xml:space="preserve">湖州南浔城投城市建设集团有限公司 </w:t>
      </w:r>
      <w:r>
        <w:rPr>
          <w:rFonts w:hint="eastAsia" w:ascii="宋体" w:hAnsi="宋体" w:cs="宋体"/>
          <w:kern w:val="0"/>
          <w:sz w:val="21"/>
          <w:szCs w:val="21"/>
        </w:rPr>
        <w:t>工程总承包，招标人为</w:t>
      </w:r>
      <w:r>
        <w:rPr>
          <w:rFonts w:hint="eastAsia" w:ascii="宋体" w:hAnsi="宋体" w:cs="宋体"/>
          <w:color w:val="FF0000"/>
          <w:kern w:val="0"/>
          <w:sz w:val="21"/>
          <w:szCs w:val="21"/>
          <w:u w:val="single"/>
        </w:rPr>
        <w:t>湖州南浔城投城市建设集团有限公司</w:t>
      </w:r>
      <w:r>
        <w:rPr>
          <w:rFonts w:hint="eastAsia" w:ascii="宋体" w:hAnsi="宋体" w:cs="宋体"/>
          <w:kern w:val="0"/>
          <w:sz w:val="21"/>
          <w:szCs w:val="21"/>
        </w:rPr>
        <w:t>。项目已具备招标条件，现对该项目</w:t>
      </w:r>
      <w:r>
        <w:rPr>
          <w:rFonts w:hint="eastAsia" w:ascii="宋体" w:hAnsi="宋体" w:cs="宋体"/>
          <w:kern w:val="0"/>
          <w:sz w:val="21"/>
          <w:szCs w:val="21"/>
          <w:lang w:val="en-US" w:eastAsia="zh-CN"/>
        </w:rPr>
        <w:t>进行</w:t>
      </w:r>
      <w:r>
        <w:rPr>
          <w:rFonts w:hint="eastAsia" w:ascii="宋体" w:hAnsi="宋体" w:cs="宋体"/>
          <w:color w:val="000000"/>
          <w:sz w:val="21"/>
          <w:szCs w:val="21"/>
        </w:rPr>
        <w:t>招标确定投标人</w:t>
      </w:r>
      <w:r>
        <w:rPr>
          <w:rFonts w:hint="eastAsia" w:ascii="宋体" w:hAnsi="宋体" w:cs="宋体"/>
          <w:kern w:val="0"/>
          <w:sz w:val="21"/>
          <w:szCs w:val="21"/>
        </w:rPr>
        <w:t>。</w:t>
      </w:r>
    </w:p>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left"/>
        <w:textAlignment w:val="auto"/>
        <w:rPr>
          <w:rFonts w:ascii="宋体" w:hAnsi="宋体" w:cs="黑体"/>
          <w:b/>
          <w:kern w:val="0"/>
          <w:sz w:val="21"/>
          <w:szCs w:val="21"/>
        </w:rPr>
      </w:pPr>
      <w:r>
        <w:rPr>
          <w:rFonts w:ascii="宋体" w:hAnsi="宋体" w:cs="TimesNewRomanPSMT"/>
          <w:b/>
          <w:kern w:val="0"/>
          <w:sz w:val="21"/>
          <w:szCs w:val="21"/>
        </w:rPr>
        <w:t xml:space="preserve">2. </w:t>
      </w:r>
      <w:r>
        <w:rPr>
          <w:rFonts w:hint="eastAsia" w:ascii="宋体" w:hAnsi="宋体" w:cs="黑体"/>
          <w:b/>
          <w:kern w:val="0"/>
          <w:sz w:val="21"/>
          <w:szCs w:val="21"/>
        </w:rPr>
        <w:t>项目概况与招标范围</w:t>
      </w:r>
    </w:p>
    <w:p>
      <w:pPr>
        <w:keepNext w:val="0"/>
        <w:keepLines w:val="0"/>
        <w:pageBreakBefore w:val="0"/>
        <w:widowControl w:val="0"/>
        <w:kinsoku/>
        <w:wordWrap/>
        <w:overflowPunct/>
        <w:topLinePunct w:val="0"/>
        <w:bidi w:val="0"/>
        <w:snapToGrid/>
        <w:spacing w:line="240" w:lineRule="auto"/>
        <w:rPr>
          <w:rStyle w:val="18"/>
          <w:rFonts w:hint="eastAsia"/>
        </w:rPr>
      </w:pPr>
      <w:r>
        <w:rPr>
          <w:rFonts w:hint="eastAsia" w:ascii="宋体" w:hAnsi="宋体" w:cs="TimesNewRomanPSMT"/>
          <w:b/>
          <w:bCs/>
          <w:kern w:val="0"/>
          <w:sz w:val="21"/>
          <w:szCs w:val="21"/>
        </w:rPr>
        <w:t>2.1 工程概况：</w:t>
      </w:r>
      <w:r>
        <w:rPr>
          <w:rFonts w:hint="eastAsia" w:ascii="宋体" w:hAnsi="宋体" w:cs="TimesNewRomanPSMT"/>
          <w:b w:val="0"/>
          <w:bCs w:val="0"/>
          <w:kern w:val="0"/>
          <w:sz w:val="21"/>
          <w:szCs w:val="21"/>
          <w:lang w:val="en-US" w:eastAsia="zh-CN" w:bidi="ar"/>
        </w:rPr>
        <w:t>頔塘北菜场土建、钢结构、</w:t>
      </w:r>
      <w:r>
        <w:rPr>
          <w:rFonts w:hint="eastAsia" w:cs="TimesNewRomanPSMT"/>
          <w:b w:val="0"/>
          <w:bCs w:val="0"/>
          <w:kern w:val="0"/>
          <w:sz w:val="21"/>
          <w:szCs w:val="21"/>
          <w:lang w:val="en-US" w:eastAsia="zh-CN"/>
        </w:rPr>
        <w:t>室外雨污水管道、水电</w:t>
      </w:r>
      <w:r>
        <w:rPr>
          <w:rFonts w:hint="eastAsia" w:ascii="宋体" w:hAnsi="宋体" w:eastAsia="宋体" w:cs="TimesNewRomanPSMT"/>
          <w:b w:val="0"/>
          <w:bCs w:val="0"/>
          <w:kern w:val="0"/>
          <w:sz w:val="21"/>
          <w:szCs w:val="21"/>
          <w:lang w:val="en-US" w:eastAsia="zh-CN" w:bidi="ar"/>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snapToGrid/>
        <w:spacing w:before="0" w:beforeAutospacing="0" w:after="0" w:afterAutospacing="0" w:line="360" w:lineRule="exact"/>
        <w:ind w:left="0" w:right="0" w:firstLine="0"/>
        <w:rPr>
          <w:rFonts w:hint="default" w:ascii="宋体" w:hAnsi="宋体" w:cs="TimesNewRomanPSMT"/>
          <w:color w:val="FF0000"/>
          <w:kern w:val="0"/>
          <w:sz w:val="21"/>
          <w:szCs w:val="21"/>
          <w:lang w:val="en-US" w:eastAsia="zh-CN"/>
        </w:rPr>
      </w:pPr>
      <w:r>
        <w:rPr>
          <w:rFonts w:hint="eastAsia" w:ascii="宋体" w:hAnsi="宋体" w:cs="TimesNewRomanPSMT"/>
          <w:b/>
          <w:bCs/>
          <w:kern w:val="0"/>
          <w:sz w:val="21"/>
          <w:szCs w:val="21"/>
          <w:lang w:val="en-US" w:eastAsia="zh-CN"/>
        </w:rPr>
        <w:t xml:space="preserve">2.2 </w:t>
      </w:r>
      <w:r>
        <w:rPr>
          <w:rFonts w:hint="eastAsia" w:ascii="宋体" w:hAnsi="宋体" w:cs="TimesNewRomanPSMT"/>
          <w:b/>
          <w:bCs/>
          <w:kern w:val="0"/>
          <w:sz w:val="21"/>
          <w:szCs w:val="21"/>
        </w:rPr>
        <w:t>招标范围：</w:t>
      </w:r>
      <w:r>
        <w:rPr>
          <w:rFonts w:hint="eastAsia" w:cs="TimesNewRomanPSMT"/>
          <w:b w:val="0"/>
          <w:bCs w:val="0"/>
          <w:kern w:val="0"/>
          <w:sz w:val="21"/>
          <w:szCs w:val="21"/>
          <w:lang w:val="en-US" w:eastAsia="zh-CN"/>
        </w:rPr>
        <w:t>頔塘北菜场土建、钢结构、室外雨污水管道、水电等，</w:t>
      </w:r>
      <w:r>
        <w:rPr>
          <w:rFonts w:hint="eastAsia" w:eastAsia="宋体" w:cs="宋体"/>
          <w:b w:val="0"/>
          <w:bCs w:val="0"/>
          <w:color w:val="auto"/>
          <w:kern w:val="0"/>
          <w:sz w:val="21"/>
          <w:szCs w:val="21"/>
          <w:u w:val="none"/>
          <w:lang w:val="en-US" w:eastAsia="zh-CN" w:bidi="ar-SA"/>
        </w:rPr>
        <w:t>具体</w:t>
      </w:r>
      <w:r>
        <w:rPr>
          <w:rFonts w:hint="eastAsia" w:cs="宋体"/>
          <w:b w:val="0"/>
          <w:bCs w:val="0"/>
          <w:color w:val="auto"/>
          <w:kern w:val="0"/>
          <w:sz w:val="21"/>
          <w:szCs w:val="21"/>
          <w:u w:val="none"/>
          <w:lang w:val="en-US" w:eastAsia="zh-CN" w:bidi="ar-SA"/>
        </w:rPr>
        <w:t>施工范围</w:t>
      </w:r>
      <w:r>
        <w:rPr>
          <w:rFonts w:hint="eastAsia" w:eastAsia="宋体" w:cs="宋体"/>
          <w:b w:val="0"/>
          <w:bCs w:val="0"/>
          <w:color w:val="auto"/>
          <w:kern w:val="0"/>
          <w:sz w:val="21"/>
          <w:szCs w:val="21"/>
          <w:u w:val="none"/>
          <w:lang w:val="en-US" w:eastAsia="zh-CN" w:bidi="ar-SA"/>
        </w:rPr>
        <w:t>以</w:t>
      </w:r>
      <w:r>
        <w:rPr>
          <w:rFonts w:hint="eastAsia" w:cs="宋体"/>
          <w:b w:val="0"/>
          <w:bCs w:val="0"/>
          <w:color w:val="auto"/>
          <w:kern w:val="0"/>
          <w:sz w:val="21"/>
          <w:szCs w:val="21"/>
          <w:u w:val="none"/>
          <w:lang w:val="en-US" w:eastAsia="zh-CN" w:bidi="ar-SA"/>
        </w:rPr>
        <w:t>施工图、</w:t>
      </w:r>
      <w:r>
        <w:rPr>
          <w:rFonts w:hint="eastAsia" w:ascii="宋体" w:hAnsi="宋体" w:eastAsia="宋体" w:cs="宋体"/>
          <w:b w:val="0"/>
          <w:bCs w:val="0"/>
          <w:color w:val="auto"/>
          <w:kern w:val="0"/>
          <w:sz w:val="21"/>
          <w:szCs w:val="21"/>
          <w:u w:val="none"/>
          <w:lang w:val="en-US" w:eastAsia="zh-CN" w:bidi="ar-SA"/>
        </w:rPr>
        <w:t>现场实际情况和</w:t>
      </w:r>
      <w:r>
        <w:rPr>
          <w:rFonts w:hint="eastAsia" w:cs="宋体"/>
          <w:b w:val="0"/>
          <w:bCs w:val="0"/>
          <w:color w:val="auto"/>
          <w:kern w:val="0"/>
          <w:sz w:val="21"/>
          <w:szCs w:val="21"/>
          <w:u w:val="none"/>
          <w:lang w:val="en-US" w:eastAsia="zh-CN" w:bidi="ar-SA"/>
        </w:rPr>
        <w:t>招标单位、</w:t>
      </w:r>
      <w:r>
        <w:rPr>
          <w:rFonts w:hint="eastAsia" w:ascii="宋体" w:hAnsi="宋体" w:eastAsia="宋体" w:cs="宋体"/>
          <w:b w:val="0"/>
          <w:bCs w:val="0"/>
          <w:color w:val="auto"/>
          <w:kern w:val="0"/>
          <w:sz w:val="21"/>
          <w:szCs w:val="21"/>
          <w:u w:val="none"/>
          <w:lang w:val="en-US" w:eastAsia="zh-CN" w:bidi="ar-SA"/>
        </w:rPr>
        <w:t>业主单位要求为准，直至满足功能性要求及业主单位要求并达到竣工验收合格为止。</w:t>
      </w:r>
    </w:p>
    <w:p>
      <w:pPr>
        <w:keepNext w:val="0"/>
        <w:keepLines w:val="0"/>
        <w:pageBreakBefore w:val="0"/>
        <w:widowControl w:val="0"/>
        <w:kinsoku/>
        <w:wordWrap/>
        <w:overflowPunct/>
        <w:topLinePunct w:val="0"/>
        <w:bidi w:val="0"/>
        <w:snapToGrid/>
        <w:spacing w:line="360" w:lineRule="exact"/>
        <w:ind w:firstLine="0" w:firstLineChars="0"/>
        <w:jc w:val="left"/>
        <w:textAlignment w:val="auto"/>
        <w:rPr>
          <w:rFonts w:ascii="宋体" w:hAnsi="宋体" w:cs="宋体"/>
          <w:kern w:val="0"/>
          <w:sz w:val="21"/>
          <w:szCs w:val="21"/>
        </w:rPr>
      </w:pPr>
      <w:r>
        <w:rPr>
          <w:rFonts w:hint="eastAsia" w:ascii="宋体" w:hAnsi="宋体" w:cs="TimesNewRomanPSMT"/>
          <w:kern w:val="0"/>
          <w:sz w:val="21"/>
          <w:szCs w:val="21"/>
        </w:rPr>
        <w:t>2.3  分包工程名称为：</w:t>
      </w:r>
      <w:r>
        <w:rPr>
          <w:rFonts w:hint="eastAsia" w:ascii="宋体" w:hAnsi="宋体" w:cs="宋体"/>
          <w:color w:val="FF0000"/>
          <w:kern w:val="0"/>
          <w:sz w:val="21"/>
          <w:szCs w:val="21"/>
          <w:u w:val="single"/>
          <w:lang w:val="en-US" w:eastAsia="zh-CN"/>
        </w:rPr>
        <w:t>南浔蔬菜批发（临时过度项目）劳务分包工程</w:t>
      </w:r>
      <w:r>
        <w:rPr>
          <w:rFonts w:hint="eastAsia" w:ascii="宋体" w:hAnsi="宋体" w:cs="宋体"/>
          <w:kern w:val="0"/>
          <w:sz w:val="21"/>
          <w:szCs w:val="21"/>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snapToGrid/>
        <w:spacing w:before="0" w:beforeAutospacing="0" w:after="0" w:afterAutospacing="0" w:line="360" w:lineRule="exact"/>
        <w:ind w:left="0" w:right="0" w:firstLine="0"/>
        <w:rPr>
          <w:rFonts w:ascii="宋体" w:hAnsi="宋体" w:cs="TimesNewRomanPSMT"/>
          <w:color w:val="0000FF"/>
          <w:kern w:val="0"/>
          <w:sz w:val="21"/>
          <w:szCs w:val="21"/>
        </w:rPr>
      </w:pPr>
      <w:r>
        <w:rPr>
          <w:rFonts w:hint="eastAsia" w:ascii="宋体" w:hAnsi="宋体" w:cs="TimesNewRomanPSMT"/>
          <w:kern w:val="0"/>
          <w:sz w:val="21"/>
          <w:szCs w:val="21"/>
        </w:rPr>
        <w:t>2.4.1 主要施工内容及要求为：</w:t>
      </w:r>
      <w:r>
        <w:rPr>
          <w:rFonts w:hint="eastAsia" w:cs="TimesNewRomanPSMT"/>
          <w:b w:val="0"/>
          <w:bCs w:val="0"/>
          <w:kern w:val="0"/>
          <w:sz w:val="21"/>
          <w:szCs w:val="21"/>
          <w:lang w:val="en-US" w:eastAsia="zh-CN"/>
        </w:rPr>
        <w:t>頔塘北菜场土建、钢结构、室外雨污水管道、水电等，</w:t>
      </w:r>
      <w:r>
        <w:rPr>
          <w:rFonts w:hint="eastAsia" w:eastAsia="宋体" w:cs="宋体"/>
          <w:b w:val="0"/>
          <w:bCs w:val="0"/>
          <w:color w:val="auto"/>
          <w:kern w:val="0"/>
          <w:sz w:val="21"/>
          <w:szCs w:val="21"/>
          <w:u w:val="none"/>
          <w:lang w:val="en-US" w:eastAsia="zh-CN" w:bidi="ar-SA"/>
        </w:rPr>
        <w:t>具体</w:t>
      </w:r>
      <w:r>
        <w:rPr>
          <w:rFonts w:hint="eastAsia" w:cs="宋体"/>
          <w:b w:val="0"/>
          <w:bCs w:val="0"/>
          <w:color w:val="auto"/>
          <w:kern w:val="0"/>
          <w:sz w:val="21"/>
          <w:szCs w:val="21"/>
          <w:u w:val="none"/>
          <w:lang w:val="en-US" w:eastAsia="zh-CN" w:bidi="ar-SA"/>
        </w:rPr>
        <w:t>施工范围</w:t>
      </w:r>
      <w:r>
        <w:rPr>
          <w:rFonts w:hint="eastAsia" w:eastAsia="宋体" w:cs="宋体"/>
          <w:b w:val="0"/>
          <w:bCs w:val="0"/>
          <w:color w:val="auto"/>
          <w:kern w:val="0"/>
          <w:sz w:val="21"/>
          <w:szCs w:val="21"/>
          <w:u w:val="none"/>
          <w:lang w:val="en-US" w:eastAsia="zh-CN" w:bidi="ar-SA"/>
        </w:rPr>
        <w:t>以</w:t>
      </w:r>
      <w:r>
        <w:rPr>
          <w:rFonts w:hint="eastAsia" w:cs="宋体"/>
          <w:b w:val="0"/>
          <w:bCs w:val="0"/>
          <w:color w:val="auto"/>
          <w:kern w:val="0"/>
          <w:sz w:val="21"/>
          <w:szCs w:val="21"/>
          <w:u w:val="none"/>
          <w:lang w:val="en-US" w:eastAsia="zh-CN" w:bidi="ar-SA"/>
        </w:rPr>
        <w:t>施工图、</w:t>
      </w:r>
      <w:r>
        <w:rPr>
          <w:rFonts w:hint="eastAsia" w:ascii="宋体" w:hAnsi="宋体" w:eastAsia="宋体" w:cs="宋体"/>
          <w:b w:val="0"/>
          <w:bCs w:val="0"/>
          <w:color w:val="auto"/>
          <w:kern w:val="0"/>
          <w:sz w:val="21"/>
          <w:szCs w:val="21"/>
          <w:u w:val="none"/>
          <w:lang w:val="en-US" w:eastAsia="zh-CN" w:bidi="ar-SA"/>
        </w:rPr>
        <w:t>现场实际情况和</w:t>
      </w:r>
      <w:r>
        <w:rPr>
          <w:rFonts w:hint="eastAsia" w:cs="宋体"/>
          <w:b w:val="0"/>
          <w:bCs w:val="0"/>
          <w:color w:val="auto"/>
          <w:kern w:val="0"/>
          <w:sz w:val="21"/>
          <w:szCs w:val="21"/>
          <w:u w:val="none"/>
          <w:lang w:val="en-US" w:eastAsia="zh-CN" w:bidi="ar-SA"/>
        </w:rPr>
        <w:t>招标单位、</w:t>
      </w:r>
      <w:r>
        <w:rPr>
          <w:rFonts w:hint="eastAsia" w:ascii="宋体" w:hAnsi="宋体" w:eastAsia="宋体" w:cs="宋体"/>
          <w:b w:val="0"/>
          <w:bCs w:val="0"/>
          <w:color w:val="auto"/>
          <w:kern w:val="0"/>
          <w:sz w:val="21"/>
          <w:szCs w:val="21"/>
          <w:u w:val="none"/>
          <w:lang w:val="en-US" w:eastAsia="zh-CN" w:bidi="ar-SA"/>
        </w:rPr>
        <w:t>业主单位要求为准，直至满足功能性要求及业主单位要求并达到竣工验收合格为止。</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TimesNewRomanPSMT"/>
          <w:kern w:val="0"/>
          <w:sz w:val="21"/>
          <w:szCs w:val="21"/>
        </w:rPr>
      </w:pPr>
      <w:r>
        <w:rPr>
          <w:rFonts w:hint="eastAsia" w:ascii="宋体" w:hAnsi="宋体" w:cs="TimesNewRomanPSMT"/>
          <w:kern w:val="0"/>
          <w:sz w:val="21"/>
          <w:szCs w:val="21"/>
        </w:rPr>
        <w:t>2.4.2  细部要求为:详见答疑、招标文件、</w:t>
      </w:r>
      <w:r>
        <w:rPr>
          <w:rFonts w:hint="eastAsia" w:ascii="宋体" w:hAnsi="宋体" w:cs="TimesNewRomanPSMT"/>
          <w:kern w:val="0"/>
          <w:sz w:val="21"/>
          <w:szCs w:val="21"/>
          <w:lang w:val="en-US" w:eastAsia="zh-CN"/>
        </w:rPr>
        <w:t>施工图纸、</w:t>
      </w:r>
      <w:r>
        <w:rPr>
          <w:rFonts w:hint="eastAsia" w:ascii="宋体" w:hAnsi="宋体" w:cs="TimesNewRomanPSMT"/>
          <w:kern w:val="0"/>
          <w:sz w:val="21"/>
          <w:szCs w:val="21"/>
        </w:rPr>
        <w:t>政府相关文件、规范等其他资料，满足验收要求。</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TimesNewRomanPSMT"/>
          <w:kern w:val="0"/>
          <w:sz w:val="21"/>
          <w:szCs w:val="21"/>
        </w:rPr>
      </w:pPr>
      <w:r>
        <w:rPr>
          <w:rFonts w:hint="eastAsia" w:ascii="宋体" w:hAnsi="宋体" w:cs="TimesNewRomanPSMT"/>
          <w:kern w:val="0"/>
          <w:sz w:val="21"/>
          <w:szCs w:val="21"/>
        </w:rPr>
        <w:t>2.4.3  其它均按</w:t>
      </w:r>
      <w:r>
        <w:rPr>
          <w:rFonts w:hint="eastAsia" w:ascii="宋体" w:hAnsi="宋体" w:cs="TimesNewRomanPSMT"/>
          <w:kern w:val="0"/>
          <w:sz w:val="21"/>
          <w:szCs w:val="21"/>
          <w:lang w:val="en-US" w:eastAsia="zh-CN"/>
        </w:rPr>
        <w:t>现场实际情况</w:t>
      </w:r>
      <w:r>
        <w:rPr>
          <w:rFonts w:hint="eastAsia" w:ascii="宋体" w:hAnsi="宋体" w:cs="TimesNewRomanPSMT"/>
          <w:kern w:val="0"/>
          <w:sz w:val="21"/>
          <w:szCs w:val="21"/>
        </w:rPr>
        <w:t>、业主等单位工作联系单要求施工。</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宋体"/>
          <w:kern w:val="0"/>
          <w:sz w:val="21"/>
          <w:szCs w:val="21"/>
        </w:rPr>
      </w:pPr>
      <w:r>
        <w:rPr>
          <w:rFonts w:hint="eastAsia" w:ascii="宋体" w:hAnsi="宋体" w:cs="TimesNewRomanPSMT"/>
          <w:kern w:val="0"/>
          <w:sz w:val="21"/>
          <w:szCs w:val="21"/>
        </w:rPr>
        <w:t>2.5 工程地点：位于</w:t>
      </w:r>
      <w:r>
        <w:rPr>
          <w:rFonts w:hint="eastAsia" w:ascii="宋体" w:hAnsi="宋体" w:cs="宋体"/>
          <w:b w:val="0"/>
          <w:bCs w:val="0"/>
          <w:color w:val="FF0000"/>
          <w:kern w:val="0"/>
          <w:sz w:val="21"/>
          <w:szCs w:val="21"/>
          <w:u w:val="none"/>
          <w:lang w:val="en-US" w:eastAsia="zh-CN"/>
        </w:rPr>
        <w:t>湖州南浔</w:t>
      </w:r>
      <w:r>
        <w:rPr>
          <w:rFonts w:hint="eastAsia" w:ascii="宋体" w:hAnsi="宋体" w:cs="宋体"/>
          <w:color w:val="FF0000"/>
          <w:kern w:val="0"/>
          <w:sz w:val="21"/>
          <w:szCs w:val="21"/>
          <w:u w:val="none"/>
          <w:lang w:val="en-US" w:eastAsia="zh-CN"/>
        </w:rPr>
        <w:t>区頔塘北菜场</w:t>
      </w:r>
      <w:r>
        <w:rPr>
          <w:rFonts w:hint="eastAsia" w:ascii="宋体" w:hAnsi="宋体" w:cs="TimesNewRomanPSMT"/>
          <w:kern w:val="0"/>
          <w:sz w:val="21"/>
          <w:szCs w:val="21"/>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ascii="宋体" w:hAnsi="宋体" w:cs="黑体"/>
          <w:b/>
          <w:kern w:val="0"/>
          <w:sz w:val="21"/>
          <w:szCs w:val="21"/>
        </w:rPr>
      </w:pPr>
      <w:r>
        <w:rPr>
          <w:rFonts w:ascii="宋体" w:hAnsi="宋体" w:cs="TimesNewRomanPSMT"/>
          <w:b/>
          <w:kern w:val="0"/>
          <w:sz w:val="21"/>
          <w:szCs w:val="21"/>
        </w:rPr>
        <w:t xml:space="preserve">3. </w:t>
      </w:r>
      <w:r>
        <w:rPr>
          <w:rFonts w:hint="eastAsia" w:ascii="宋体" w:hAnsi="宋体" w:cs="黑体"/>
          <w:b/>
          <w:kern w:val="0"/>
          <w:sz w:val="21"/>
          <w:szCs w:val="21"/>
        </w:rPr>
        <w:t>投标人资格要求</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rPr>
          <w:rFonts w:ascii="宋体" w:hAnsi="宋体" w:cs="宋体"/>
          <w:color w:val="4F81BD" w:themeColor="accent1"/>
          <w:kern w:val="0"/>
          <w:sz w:val="21"/>
          <w:szCs w:val="21"/>
        </w:rPr>
      </w:pPr>
      <w:r>
        <w:rPr>
          <w:rFonts w:hint="eastAsia" w:ascii="宋体" w:hAnsi="宋体" w:cs="宋体"/>
          <w:color w:val="4F81BD" w:themeColor="accent1"/>
          <w:kern w:val="0"/>
          <w:sz w:val="21"/>
          <w:szCs w:val="21"/>
        </w:rPr>
        <w:t>本次招标要求投标人</w:t>
      </w:r>
      <w:r>
        <w:rPr>
          <w:rFonts w:hint="eastAsia" w:ascii="宋体" w:hAnsi="宋体" w:cs="宋体"/>
          <w:color w:val="4F81BD" w:themeColor="accent1"/>
          <w:kern w:val="0"/>
          <w:sz w:val="21"/>
          <w:szCs w:val="21"/>
          <w:lang w:val="en-US" w:eastAsia="zh-CN"/>
        </w:rPr>
        <w:t>为已入湖州南浔城投城市建设集团有限公司市建筑劳务资质分包库。</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ascii="宋体" w:hAnsi="宋体" w:cs="黑体"/>
          <w:b/>
          <w:kern w:val="0"/>
          <w:sz w:val="21"/>
          <w:szCs w:val="21"/>
        </w:rPr>
      </w:pPr>
      <w:r>
        <w:rPr>
          <w:rFonts w:ascii="宋体" w:hAnsi="宋体" w:cs="TimesNewRomanPSMT"/>
          <w:b/>
          <w:kern w:val="0"/>
          <w:sz w:val="21"/>
          <w:szCs w:val="21"/>
        </w:rPr>
        <w:t xml:space="preserve">4. </w:t>
      </w:r>
      <w:r>
        <w:rPr>
          <w:rFonts w:hint="eastAsia" w:ascii="宋体" w:hAnsi="宋体" w:cs="黑体"/>
          <w:b/>
          <w:kern w:val="0"/>
          <w:sz w:val="21"/>
          <w:szCs w:val="21"/>
        </w:rPr>
        <w:t>招标文件的获取</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仿宋_GB2312"/>
          <w:kern w:val="0"/>
          <w:sz w:val="21"/>
          <w:szCs w:val="21"/>
        </w:rPr>
      </w:pPr>
      <w:r>
        <w:rPr>
          <w:rFonts w:ascii="宋体" w:hAnsi="宋体" w:cs="TimesNewRomanPSMT"/>
          <w:kern w:val="0"/>
          <w:sz w:val="21"/>
          <w:szCs w:val="21"/>
        </w:rPr>
        <w:t xml:space="preserve">4.1 </w:t>
      </w:r>
      <w:r>
        <w:rPr>
          <w:rFonts w:hint="eastAsia" w:ascii="宋体" w:hAnsi="宋体" w:cs="仿宋_GB2312"/>
          <w:kern w:val="0"/>
          <w:sz w:val="21"/>
          <w:szCs w:val="21"/>
        </w:rPr>
        <w:t>凡有意参加投标者，请于</w:t>
      </w:r>
      <w:r>
        <w:rPr>
          <w:rFonts w:hint="eastAsia" w:ascii="宋体" w:hAnsi="宋体" w:cs="宋体"/>
          <w:color w:val="FF0000"/>
          <w:kern w:val="0"/>
          <w:sz w:val="21"/>
          <w:szCs w:val="21"/>
          <w:u w:val="single"/>
          <w:lang w:val="en-US" w:eastAsia="zh-CN"/>
        </w:rPr>
        <w:t>2021年12月14日至2021年12月16日</w:t>
      </w:r>
      <w:r>
        <w:rPr>
          <w:rFonts w:hint="eastAsia" w:ascii="宋体" w:hAnsi="宋体" w:cs="仿宋_GB2312"/>
          <w:bCs/>
          <w:kern w:val="0"/>
          <w:sz w:val="21"/>
          <w:szCs w:val="21"/>
        </w:rPr>
        <w:t>，</w:t>
      </w:r>
      <w:r>
        <w:rPr>
          <w:rFonts w:hint="eastAsia" w:ascii="宋体" w:hAnsi="宋体" w:cs="仿宋_GB2312"/>
          <w:kern w:val="0"/>
          <w:sz w:val="21"/>
          <w:szCs w:val="21"/>
        </w:rPr>
        <w:t>在湖州南浔城投城市建设集团有限公司官网（www.hznxctszlh.com）查看招标信息。</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仿宋_GB2312"/>
          <w:kern w:val="0"/>
          <w:sz w:val="21"/>
          <w:szCs w:val="21"/>
        </w:rPr>
      </w:pPr>
      <w:r>
        <w:rPr>
          <w:rFonts w:ascii="宋体" w:hAnsi="宋体" w:cs="仿宋_GB2312"/>
          <w:kern w:val="0"/>
          <w:sz w:val="21"/>
          <w:szCs w:val="21"/>
        </w:rPr>
        <w:t>4.</w:t>
      </w:r>
      <w:r>
        <w:rPr>
          <w:rFonts w:hint="eastAsia" w:ascii="宋体" w:hAnsi="宋体" w:cs="仿宋_GB2312"/>
          <w:kern w:val="0"/>
          <w:sz w:val="21"/>
          <w:szCs w:val="21"/>
        </w:rPr>
        <w:t>2招标文件领取及投标时间：</w:t>
      </w:r>
      <w:r>
        <w:rPr>
          <w:rFonts w:hint="eastAsia" w:ascii="宋体" w:hAnsi="宋体" w:cs="仿宋_GB2312"/>
          <w:kern w:val="0"/>
          <w:sz w:val="21"/>
          <w:szCs w:val="21"/>
          <w:u w:val="single"/>
        </w:rPr>
        <w:t>以湖州南浔城投城市建设集团有限公司官网信息为准</w:t>
      </w:r>
      <w:r>
        <w:rPr>
          <w:rFonts w:hint="eastAsia" w:ascii="宋体" w:hAnsi="宋体" w:cs="仿宋_GB2312"/>
          <w:kern w:val="0"/>
          <w:sz w:val="21"/>
          <w:szCs w:val="21"/>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ascii="宋体" w:hAnsi="宋体" w:cs="黑体"/>
          <w:b/>
          <w:kern w:val="0"/>
          <w:sz w:val="21"/>
          <w:szCs w:val="21"/>
        </w:rPr>
      </w:pPr>
      <w:r>
        <w:rPr>
          <w:rFonts w:ascii="宋体" w:hAnsi="宋体" w:cs="TimesNewRomanPSMT"/>
          <w:b/>
          <w:kern w:val="0"/>
          <w:sz w:val="21"/>
          <w:szCs w:val="21"/>
        </w:rPr>
        <w:t xml:space="preserve">5. </w:t>
      </w:r>
      <w:r>
        <w:rPr>
          <w:rFonts w:hint="eastAsia" w:ascii="宋体" w:hAnsi="宋体" w:cs="黑体"/>
          <w:b/>
          <w:kern w:val="0"/>
          <w:sz w:val="21"/>
          <w:szCs w:val="21"/>
        </w:rPr>
        <w:t>投标文件的递交</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仿宋_GB2312"/>
          <w:kern w:val="0"/>
          <w:sz w:val="21"/>
          <w:szCs w:val="21"/>
        </w:rPr>
      </w:pPr>
      <w:r>
        <w:rPr>
          <w:rFonts w:ascii="宋体" w:hAnsi="宋体" w:cs="TimesNewRomanPSMT"/>
          <w:kern w:val="0"/>
          <w:sz w:val="21"/>
          <w:szCs w:val="21"/>
        </w:rPr>
        <w:t>5</w:t>
      </w:r>
      <w:r>
        <w:rPr>
          <w:rFonts w:hint="eastAsia" w:ascii="宋体" w:hAnsi="宋体" w:cs="仿宋_GB2312"/>
          <w:kern w:val="0"/>
          <w:sz w:val="21"/>
          <w:szCs w:val="21"/>
        </w:rPr>
        <w:t>.</w:t>
      </w:r>
      <w:r>
        <w:rPr>
          <w:rFonts w:hint="eastAsia" w:ascii="宋体" w:hAnsi="宋体" w:cs="仿宋_GB2312"/>
          <w:kern w:val="0"/>
          <w:sz w:val="21"/>
          <w:szCs w:val="21"/>
          <w:lang w:val="en-US" w:eastAsia="zh-CN"/>
        </w:rPr>
        <w:t>1</w:t>
      </w:r>
      <w:r>
        <w:rPr>
          <w:rFonts w:hint="eastAsia" w:ascii="宋体" w:hAnsi="宋体" w:cs="仿宋_GB2312"/>
          <w:kern w:val="0"/>
          <w:sz w:val="21"/>
          <w:szCs w:val="21"/>
        </w:rPr>
        <w:t>投标文件以书面形式装订成册密封后于投标截止时前递交至公司招标办，投标文件采取书递交的形式，装订密封。</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hint="eastAsia" w:ascii="宋体" w:hAnsi="宋体" w:cs="仿宋_GB2312"/>
          <w:kern w:val="0"/>
          <w:sz w:val="21"/>
          <w:szCs w:val="21"/>
        </w:rPr>
      </w:pPr>
      <w:r>
        <w:rPr>
          <w:rFonts w:hint="eastAsia" w:ascii="宋体" w:hAnsi="宋体" w:cs="仿宋_GB2312"/>
          <w:kern w:val="0"/>
          <w:sz w:val="21"/>
          <w:szCs w:val="21"/>
        </w:rPr>
        <w:t>5.2此工程分包</w:t>
      </w:r>
      <w:r>
        <w:rPr>
          <w:rFonts w:hint="eastAsia" w:ascii="宋体" w:hAnsi="宋体" w:cs="仿宋_GB2312"/>
          <w:kern w:val="0"/>
          <w:sz w:val="21"/>
          <w:szCs w:val="21"/>
          <w:lang w:val="en-US" w:eastAsia="zh-CN"/>
        </w:rPr>
        <w:t>招标</w:t>
      </w:r>
      <w:r>
        <w:rPr>
          <w:rFonts w:hint="eastAsia" w:ascii="宋体" w:hAnsi="宋体" w:cs="仿宋_GB2312"/>
          <w:color w:val="FF0000"/>
          <w:kern w:val="0"/>
          <w:sz w:val="21"/>
          <w:szCs w:val="21"/>
        </w:rPr>
        <w:t>基础下浮费率为：</w:t>
      </w:r>
      <w:r>
        <w:rPr>
          <w:rFonts w:hint="eastAsia" w:ascii="宋体" w:hAnsi="宋体" w:cs="仿宋_GB2312"/>
          <w:color w:val="FF0000"/>
          <w:kern w:val="0"/>
          <w:sz w:val="21"/>
          <w:szCs w:val="21"/>
          <w:u w:val="single"/>
          <w:lang w:val="en-US" w:eastAsia="zh-CN"/>
        </w:rPr>
        <w:t>15</w:t>
      </w:r>
      <w:r>
        <w:rPr>
          <w:rFonts w:hint="eastAsia" w:ascii="宋体" w:hAnsi="宋体" w:cs="仿宋_GB2312"/>
          <w:color w:val="FF0000"/>
          <w:kern w:val="0"/>
          <w:sz w:val="21"/>
          <w:szCs w:val="21"/>
        </w:rPr>
        <w:t>%（审计结算价下浮</w:t>
      </w:r>
      <w:r>
        <w:rPr>
          <w:rFonts w:hint="eastAsia" w:ascii="宋体" w:hAnsi="宋体" w:cs="仿宋_GB2312"/>
          <w:color w:val="FF0000"/>
          <w:kern w:val="0"/>
          <w:sz w:val="21"/>
          <w:szCs w:val="21"/>
          <w:lang w:val="en-US" w:eastAsia="zh-CN"/>
        </w:rPr>
        <w:t>中标率</w:t>
      </w:r>
      <w:r>
        <w:rPr>
          <w:rFonts w:hint="eastAsia" w:ascii="宋体" w:hAnsi="宋体" w:cs="仿宋_GB2312"/>
          <w:color w:val="FF0000"/>
          <w:kern w:val="0"/>
          <w:sz w:val="21"/>
          <w:szCs w:val="21"/>
        </w:rPr>
        <w:t>）</w:t>
      </w:r>
      <w:r>
        <w:rPr>
          <w:rFonts w:hint="eastAsia" w:ascii="宋体" w:hAnsi="宋体" w:cs="仿宋_GB2312"/>
          <w:color w:val="FF0000"/>
          <w:kern w:val="0"/>
          <w:sz w:val="21"/>
          <w:szCs w:val="21"/>
          <w:lang w:eastAsia="zh-CN"/>
        </w:rPr>
        <w:t>（</w:t>
      </w:r>
      <w:r>
        <w:rPr>
          <w:rFonts w:hint="eastAsia" w:ascii="宋体" w:hAnsi="宋体" w:cs="仿宋_GB2312"/>
          <w:color w:val="FF0000"/>
          <w:kern w:val="0"/>
          <w:sz w:val="21"/>
          <w:szCs w:val="21"/>
          <w:lang w:val="en-US" w:eastAsia="zh-CN"/>
        </w:rPr>
        <w:t>工程暂估总价400万元）</w:t>
      </w:r>
      <w:r>
        <w:rPr>
          <w:rFonts w:hint="eastAsia" w:ascii="宋体" w:hAnsi="宋体" w:cs="仿宋_GB2312"/>
          <w:kern w:val="0"/>
          <w:sz w:val="21"/>
          <w:szCs w:val="21"/>
        </w:rPr>
        <w:t>，投标单位投标报价</w:t>
      </w:r>
      <w:r>
        <w:rPr>
          <w:rFonts w:hint="eastAsia" w:ascii="宋体" w:hAnsi="宋体" w:cs="仿宋_GB2312"/>
          <w:color w:val="FF0000"/>
          <w:kern w:val="0"/>
          <w:sz w:val="21"/>
          <w:szCs w:val="21"/>
        </w:rPr>
        <w:t>不得低于基础价</w:t>
      </w:r>
      <w:r>
        <w:rPr>
          <w:rFonts w:hint="eastAsia" w:ascii="宋体" w:hAnsi="宋体" w:cs="仿宋_GB2312"/>
          <w:kern w:val="0"/>
          <w:sz w:val="21"/>
          <w:szCs w:val="21"/>
        </w:rPr>
        <w:t>，否则作为废标处理。</w:t>
      </w:r>
    </w:p>
    <w:p>
      <w:pPr>
        <w:pStyle w:val="2"/>
        <w:ind w:left="0" w:leftChars="0" w:firstLine="0" w:firstLineChars="0"/>
        <w:jc w:val="both"/>
        <w:rPr>
          <w:rFonts w:hint="eastAsia" w:ascii="仿宋_GB2312" w:hAnsi="仿宋" w:eastAsia="仿宋_GB2312" w:cs="仿宋"/>
          <w:color w:val="FF0000"/>
        </w:rPr>
      </w:pPr>
      <w:r>
        <w:rPr>
          <w:rFonts w:hint="eastAsia" w:ascii="宋体" w:hAnsi="宋体" w:cs="仿宋_GB2312"/>
          <w:kern w:val="0"/>
          <w:sz w:val="21"/>
          <w:szCs w:val="21"/>
        </w:rPr>
        <w:t>5.3投标时所附文件包括：《投标函》、《法人授权委托书》、</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营业执照</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承诺函</w:t>
      </w:r>
      <w:r>
        <w:rPr>
          <w:rFonts w:hint="eastAsia" w:ascii="宋体" w:hAnsi="宋体" w:cs="仿宋_GB2312"/>
          <w:kern w:val="0"/>
          <w:sz w:val="21"/>
          <w:szCs w:val="21"/>
          <w:lang w:eastAsia="zh-CN"/>
        </w:rPr>
        <w:t>》、</w:t>
      </w:r>
      <w:r>
        <w:rPr>
          <w:rFonts w:hint="eastAsia" w:ascii="宋体" w:hAnsi="宋体" w:cs="仿宋_GB2312"/>
          <w:kern w:val="0"/>
          <w:sz w:val="21"/>
          <w:szCs w:val="21"/>
        </w:rPr>
        <w:t>《分包项目管理人员表》、《项目管理组织机构》</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w:t>
      </w:r>
      <w:r>
        <w:rPr>
          <w:rFonts w:hint="eastAsia" w:ascii="宋体" w:hAnsi="宋体" w:cs="仿宋_GB2312"/>
          <w:kern w:val="0"/>
          <w:sz w:val="21"/>
          <w:szCs w:val="21"/>
        </w:rPr>
        <w:t>施工组织设计</w:t>
      </w:r>
      <w:r>
        <w:rPr>
          <w:rFonts w:hint="eastAsia" w:ascii="宋体" w:hAnsi="宋体" w:cs="仿宋_GB2312"/>
          <w:kern w:val="0"/>
          <w:sz w:val="21"/>
          <w:szCs w:val="21"/>
          <w:lang w:val="en-US" w:eastAsia="zh-CN"/>
        </w:rPr>
        <w:t>》</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w:t>
      </w:r>
      <w:r>
        <w:rPr>
          <w:rFonts w:hint="eastAsia" w:ascii="宋体" w:hAnsi="宋体" w:cs="仿宋_GB2312"/>
          <w:kern w:val="0"/>
          <w:sz w:val="21"/>
          <w:szCs w:val="21"/>
        </w:rPr>
        <w:t>重难点关键工程的施工方案</w:t>
      </w:r>
      <w:r>
        <w:rPr>
          <w:rFonts w:hint="eastAsia" w:ascii="宋体" w:hAnsi="宋体" w:cs="仿宋_GB2312"/>
          <w:kern w:val="0"/>
          <w:sz w:val="21"/>
          <w:szCs w:val="21"/>
          <w:lang w:val="en-US" w:eastAsia="zh-CN"/>
        </w:rPr>
        <w:t>》</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w:t>
      </w:r>
      <w:r>
        <w:rPr>
          <w:rFonts w:hint="eastAsia" w:ascii="宋体" w:hAnsi="宋体" w:cs="仿宋_GB2312"/>
          <w:kern w:val="0"/>
          <w:sz w:val="21"/>
          <w:szCs w:val="21"/>
        </w:rPr>
        <w:t>质量安全进度保障方案</w:t>
      </w:r>
      <w:r>
        <w:rPr>
          <w:rFonts w:hint="eastAsia" w:ascii="宋体" w:hAnsi="宋体" w:cs="仿宋_GB2312"/>
          <w:kern w:val="0"/>
          <w:sz w:val="21"/>
          <w:szCs w:val="21"/>
          <w:lang w:val="en-US" w:eastAsia="zh-CN"/>
        </w:rPr>
        <w:t>》、《</w:t>
      </w:r>
      <w:r>
        <w:rPr>
          <w:rFonts w:hint="eastAsia" w:ascii="宋体" w:hAnsi="宋体" w:cs="仿宋_GB2312"/>
          <w:kern w:val="0"/>
          <w:sz w:val="21"/>
          <w:szCs w:val="21"/>
        </w:rPr>
        <w:t>信誉及业绩评价</w:t>
      </w:r>
      <w:r>
        <w:rPr>
          <w:rFonts w:hint="eastAsia" w:ascii="宋体" w:hAnsi="宋体" w:cs="仿宋_GB2312"/>
          <w:kern w:val="0"/>
          <w:sz w:val="21"/>
          <w:szCs w:val="21"/>
          <w:lang w:val="en-US" w:eastAsia="zh-CN"/>
        </w:rPr>
        <w:t>》</w:t>
      </w:r>
      <w:r>
        <w:rPr>
          <w:rFonts w:hint="eastAsia" w:ascii="宋体" w:hAnsi="宋体" w:cs="仿宋_GB2312"/>
          <w:kern w:val="0"/>
          <w:sz w:val="21"/>
          <w:szCs w:val="21"/>
        </w:rPr>
        <w:t>，分包项目管理人员名单附相对应人员的有效证件。</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hint="eastAsia" w:ascii="宋体" w:hAnsi="宋体" w:cs="仿宋_GB2312"/>
          <w:sz w:val="21"/>
          <w:szCs w:val="21"/>
        </w:rPr>
      </w:pPr>
      <w:r>
        <w:rPr>
          <w:rFonts w:ascii="宋体" w:hAnsi="宋体" w:cs="仿宋_GB2312"/>
          <w:kern w:val="0"/>
          <w:sz w:val="21"/>
          <w:szCs w:val="21"/>
        </w:rPr>
        <w:t>5.</w:t>
      </w:r>
      <w:r>
        <w:rPr>
          <w:rFonts w:hint="eastAsia" w:ascii="宋体" w:hAnsi="宋体" w:cs="仿宋_GB2312"/>
          <w:kern w:val="0"/>
          <w:sz w:val="21"/>
          <w:szCs w:val="21"/>
        </w:rPr>
        <w:t>4</w:t>
      </w:r>
      <w:r>
        <w:rPr>
          <w:rFonts w:hint="eastAsia" w:ascii="宋体" w:hAnsi="宋体" w:cs="仿宋_GB2312"/>
          <w:sz w:val="21"/>
          <w:szCs w:val="21"/>
        </w:rPr>
        <w:t>规定的投标时间截止后招标单位不接收投标文件。</w:t>
      </w: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keepNext w:val="0"/>
        <w:keepLines w:val="0"/>
        <w:pageBreakBefore w:val="0"/>
        <w:widowControl w:val="0"/>
        <w:kinsoku/>
        <w:wordWrap/>
        <w:overflowPunct/>
        <w:topLinePunct w:val="0"/>
        <w:autoSpaceDE w:val="0"/>
        <w:autoSpaceDN w:val="0"/>
        <w:bidi w:val="0"/>
        <w:adjustRightInd w:val="0"/>
        <w:spacing w:line="240" w:lineRule="auto"/>
        <w:ind w:firstLine="0" w:firstLineChars="0"/>
        <w:jc w:val="center"/>
        <w:textAlignment w:val="auto"/>
        <w:rPr>
          <w:rFonts w:ascii="宋体" w:hAnsi="宋体" w:cs="黑体"/>
          <w:b/>
          <w:kern w:val="0"/>
          <w:szCs w:val="21"/>
          <w:u w:val="single"/>
        </w:rPr>
      </w:pPr>
      <w:r>
        <w:rPr>
          <w:rFonts w:hint="eastAsia" w:ascii="宋体" w:hAnsi="宋体" w:cs="黑体"/>
          <w:b/>
          <w:kern w:val="0"/>
          <w:szCs w:val="21"/>
          <w:u w:val="single"/>
        </w:rPr>
        <w:t>第二章</w:t>
      </w:r>
      <w:bookmarkStart w:id="1" w:name="投标人须知"/>
      <w:r>
        <w:rPr>
          <w:rFonts w:hint="eastAsia" w:ascii="宋体" w:hAnsi="宋体" w:cs="黑体"/>
          <w:b/>
          <w:kern w:val="0"/>
          <w:szCs w:val="21"/>
          <w:u w:val="single"/>
        </w:rPr>
        <w:t>投标人须知</w:t>
      </w:r>
      <w:bookmarkEnd w:id="1"/>
    </w:p>
    <w:p>
      <w:pPr>
        <w:autoSpaceDE w:val="0"/>
        <w:autoSpaceDN w:val="0"/>
        <w:adjustRightInd w:val="0"/>
        <w:spacing w:line="360" w:lineRule="auto"/>
        <w:jc w:val="center"/>
        <w:rPr>
          <w:rFonts w:ascii="宋体" w:hAnsi="宋体" w:cs="黑体"/>
          <w:kern w:val="0"/>
          <w:szCs w:val="21"/>
        </w:rPr>
      </w:pPr>
      <w:r>
        <w:rPr>
          <w:rFonts w:hint="eastAsia" w:ascii="宋体" w:hAnsi="宋体" w:cs="黑体"/>
          <w:kern w:val="0"/>
          <w:szCs w:val="21"/>
        </w:rPr>
        <w:t>投标人须知前附表</w:t>
      </w:r>
    </w:p>
    <w:tbl>
      <w:tblPr>
        <w:tblStyle w:val="14"/>
        <w:tblW w:w="10548" w:type="dxa"/>
        <w:tblInd w:w="0" w:type="dxa"/>
        <w:tblLayout w:type="fixed"/>
        <w:tblCellMar>
          <w:top w:w="0" w:type="dxa"/>
          <w:left w:w="108" w:type="dxa"/>
          <w:bottom w:w="0" w:type="dxa"/>
          <w:right w:w="108" w:type="dxa"/>
        </w:tblCellMar>
      </w:tblPr>
      <w:tblGrid>
        <w:gridCol w:w="828"/>
        <w:gridCol w:w="2361"/>
        <w:gridCol w:w="1815"/>
        <w:gridCol w:w="864"/>
        <w:gridCol w:w="906"/>
        <w:gridCol w:w="723"/>
        <w:gridCol w:w="582"/>
        <w:gridCol w:w="2469"/>
      </w:tblGrid>
      <w:tr>
        <w:tblPrEx>
          <w:tblCellMar>
            <w:top w:w="0" w:type="dxa"/>
            <w:left w:w="108" w:type="dxa"/>
            <w:bottom w:w="0" w:type="dxa"/>
            <w:right w:w="108" w:type="dxa"/>
          </w:tblCellMar>
        </w:tblPrEx>
        <w:trPr>
          <w:trHeight w:val="465"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pStyle w:val="21"/>
              <w:spacing w:line="360" w:lineRule="auto"/>
              <w:jc w:val="center"/>
              <w:rPr>
                <w:rFonts w:hAnsi="宋体"/>
                <w:color w:val="auto"/>
                <w:sz w:val="18"/>
                <w:szCs w:val="18"/>
              </w:rPr>
            </w:pPr>
            <w:r>
              <w:rPr>
                <w:rFonts w:hint="eastAsia" w:hAnsi="宋体"/>
                <w:color w:val="auto"/>
                <w:sz w:val="18"/>
                <w:szCs w:val="18"/>
              </w:rPr>
              <w:t>条款号</w:t>
            </w:r>
          </w:p>
        </w:tc>
        <w:tc>
          <w:tcPr>
            <w:tcW w:w="2361" w:type="dxa"/>
            <w:tcBorders>
              <w:top w:val="single" w:color="000000" w:sz="6" w:space="0"/>
              <w:left w:val="single" w:color="000000" w:sz="6" w:space="0"/>
              <w:bottom w:val="single" w:color="000000" w:sz="6" w:space="0"/>
              <w:right w:val="single" w:color="000000" w:sz="6" w:space="0"/>
            </w:tcBorders>
            <w:vAlign w:val="center"/>
          </w:tcPr>
          <w:p>
            <w:pPr>
              <w:pStyle w:val="21"/>
              <w:spacing w:line="360" w:lineRule="auto"/>
              <w:jc w:val="center"/>
              <w:rPr>
                <w:rFonts w:hAnsi="宋体"/>
                <w:color w:val="auto"/>
                <w:sz w:val="21"/>
                <w:szCs w:val="21"/>
              </w:rPr>
            </w:pPr>
            <w:r>
              <w:rPr>
                <w:rFonts w:hint="eastAsia" w:hAnsi="宋体"/>
                <w:color w:val="auto"/>
                <w:sz w:val="21"/>
                <w:szCs w:val="21"/>
              </w:rPr>
              <w:t>条款名称</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pStyle w:val="21"/>
              <w:spacing w:line="360" w:lineRule="auto"/>
              <w:jc w:val="center"/>
              <w:rPr>
                <w:rFonts w:hAnsi="宋体"/>
                <w:color w:val="auto"/>
                <w:sz w:val="21"/>
                <w:szCs w:val="21"/>
              </w:rPr>
            </w:pPr>
            <w:r>
              <w:rPr>
                <w:rFonts w:hint="eastAsia" w:hAnsi="宋体"/>
                <w:color w:val="auto"/>
                <w:sz w:val="21"/>
                <w:szCs w:val="21"/>
              </w:rPr>
              <w:t>编列内容</w:t>
            </w:r>
          </w:p>
        </w:tc>
      </w:tr>
      <w:tr>
        <w:tblPrEx>
          <w:tblCellMar>
            <w:top w:w="0" w:type="dxa"/>
            <w:left w:w="108" w:type="dxa"/>
            <w:bottom w:w="0" w:type="dxa"/>
            <w:right w:w="108" w:type="dxa"/>
          </w:tblCellMar>
        </w:tblPrEx>
        <w:trPr>
          <w:trHeight w:val="500" w:hRule="atLeast"/>
        </w:trPr>
        <w:tc>
          <w:tcPr>
            <w:tcW w:w="828" w:type="dxa"/>
            <w:vMerge w:val="restart"/>
            <w:tcBorders>
              <w:top w:val="single" w:color="000000" w:sz="6" w:space="0"/>
              <w:left w:val="single" w:color="000000" w:sz="6" w:space="0"/>
              <w:right w:val="single" w:color="000000" w:sz="6" w:space="0"/>
            </w:tcBorders>
            <w:vAlign w:val="center"/>
          </w:tcPr>
          <w:p>
            <w:pPr>
              <w:pStyle w:val="21"/>
              <w:spacing w:line="360" w:lineRule="auto"/>
              <w:jc w:val="both"/>
              <w:rPr>
                <w:rFonts w:hAnsi="宋体" w:cs="Times New Roman"/>
                <w:color w:val="auto"/>
                <w:sz w:val="21"/>
                <w:szCs w:val="21"/>
              </w:rPr>
            </w:pPr>
            <w:r>
              <w:rPr>
                <w:rFonts w:hAnsi="宋体" w:cs="Times New Roman"/>
                <w:color w:val="auto"/>
                <w:sz w:val="21"/>
                <w:szCs w:val="21"/>
              </w:rPr>
              <w:t>1.1.2</w:t>
            </w:r>
          </w:p>
        </w:tc>
        <w:tc>
          <w:tcPr>
            <w:tcW w:w="2361" w:type="dxa"/>
            <w:vMerge w:val="restart"/>
            <w:tcBorders>
              <w:top w:val="single" w:color="000000" w:sz="6" w:space="0"/>
              <w:left w:val="single" w:color="000000" w:sz="6" w:space="0"/>
              <w:right w:val="single" w:color="auto" w:sz="4" w:space="0"/>
            </w:tcBorders>
            <w:vAlign w:val="center"/>
          </w:tcPr>
          <w:p>
            <w:pPr>
              <w:pStyle w:val="21"/>
              <w:spacing w:line="360" w:lineRule="auto"/>
              <w:jc w:val="both"/>
              <w:rPr>
                <w:rFonts w:hAnsi="宋体" w:cs="Times New Roman"/>
                <w:color w:val="auto"/>
                <w:sz w:val="21"/>
                <w:szCs w:val="21"/>
              </w:rPr>
            </w:pPr>
            <w:r>
              <w:rPr>
                <w:rFonts w:hint="eastAsia" w:hAnsi="宋体"/>
                <w:color w:val="auto"/>
                <w:sz w:val="21"/>
                <w:szCs w:val="21"/>
              </w:rPr>
              <w:t>招标人</w:t>
            </w:r>
          </w:p>
        </w:tc>
        <w:tc>
          <w:tcPr>
            <w:tcW w:w="1815" w:type="dxa"/>
            <w:tcBorders>
              <w:top w:val="single" w:color="auto" w:sz="4" w:space="0"/>
              <w:left w:val="single" w:color="auto" w:sz="4" w:space="0"/>
              <w:bottom w:val="single" w:color="auto" w:sz="4" w:space="0"/>
              <w:right w:val="single" w:color="auto" w:sz="4" w:space="0"/>
            </w:tcBorders>
            <w:vAlign w:val="center"/>
          </w:tcPr>
          <w:p>
            <w:pPr>
              <w:pStyle w:val="21"/>
              <w:spacing w:line="360" w:lineRule="auto"/>
              <w:jc w:val="both"/>
              <w:rPr>
                <w:rFonts w:hAnsi="宋体"/>
                <w:color w:val="auto"/>
                <w:sz w:val="21"/>
                <w:szCs w:val="21"/>
              </w:rPr>
            </w:pPr>
            <w:r>
              <w:rPr>
                <w:rFonts w:hint="eastAsia" w:hAnsi="宋体"/>
                <w:color w:val="auto"/>
                <w:sz w:val="21"/>
                <w:szCs w:val="21"/>
              </w:rPr>
              <w:t>名称：</w:t>
            </w:r>
          </w:p>
        </w:tc>
        <w:tc>
          <w:tcPr>
            <w:tcW w:w="5544" w:type="dxa"/>
            <w:gridSpan w:val="5"/>
            <w:tcBorders>
              <w:top w:val="single" w:color="auto" w:sz="4" w:space="0"/>
              <w:left w:val="single" w:color="auto" w:sz="4" w:space="0"/>
              <w:bottom w:val="single" w:color="auto" w:sz="4" w:space="0"/>
              <w:right w:val="single" w:color="auto" w:sz="4" w:space="0"/>
            </w:tcBorders>
            <w:vAlign w:val="center"/>
          </w:tcPr>
          <w:p>
            <w:pPr>
              <w:pStyle w:val="21"/>
              <w:spacing w:line="360" w:lineRule="auto"/>
              <w:jc w:val="both"/>
              <w:rPr>
                <w:rFonts w:hAnsi="宋体" w:cs="Times New Roman"/>
                <w:color w:val="auto"/>
                <w:sz w:val="21"/>
                <w:szCs w:val="21"/>
              </w:rPr>
            </w:pPr>
            <w:r>
              <w:rPr>
                <w:rFonts w:hint="eastAsia" w:hAnsi="宋体"/>
                <w:color w:val="auto"/>
                <w:sz w:val="21"/>
                <w:szCs w:val="21"/>
              </w:rPr>
              <w:t>湖州南浔城投城市建设集团有限公司</w:t>
            </w:r>
          </w:p>
        </w:tc>
      </w:tr>
      <w:tr>
        <w:tblPrEx>
          <w:tblCellMar>
            <w:top w:w="0" w:type="dxa"/>
            <w:left w:w="108" w:type="dxa"/>
            <w:bottom w:w="0" w:type="dxa"/>
            <w:right w:w="108" w:type="dxa"/>
          </w:tblCellMar>
        </w:tblPrEx>
        <w:trPr>
          <w:trHeight w:val="500" w:hRule="atLeast"/>
        </w:trPr>
        <w:tc>
          <w:tcPr>
            <w:tcW w:w="828" w:type="dxa"/>
            <w:vMerge w:val="continue"/>
            <w:tcBorders>
              <w:left w:val="single" w:color="000000" w:sz="6" w:space="0"/>
              <w:right w:val="single" w:color="000000" w:sz="6" w:space="0"/>
            </w:tcBorders>
            <w:vAlign w:val="center"/>
          </w:tcPr>
          <w:p>
            <w:pPr>
              <w:pStyle w:val="21"/>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21"/>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21"/>
              <w:spacing w:line="360" w:lineRule="auto"/>
              <w:jc w:val="both"/>
              <w:rPr>
                <w:rFonts w:hAnsi="宋体"/>
                <w:color w:val="auto"/>
                <w:sz w:val="21"/>
                <w:szCs w:val="21"/>
              </w:rPr>
            </w:pPr>
            <w:r>
              <w:rPr>
                <w:rFonts w:hint="eastAsia" w:hAnsi="宋体"/>
                <w:color w:val="auto"/>
                <w:sz w:val="21"/>
                <w:szCs w:val="21"/>
              </w:rPr>
              <w:t>地址：</w:t>
            </w:r>
          </w:p>
        </w:tc>
        <w:tc>
          <w:tcPr>
            <w:tcW w:w="5544" w:type="dxa"/>
            <w:gridSpan w:val="5"/>
            <w:tcBorders>
              <w:top w:val="single" w:color="auto" w:sz="4" w:space="0"/>
              <w:left w:val="single" w:color="auto" w:sz="4" w:space="0"/>
              <w:bottom w:val="single" w:color="auto" w:sz="4" w:space="0"/>
              <w:right w:val="single" w:color="auto" w:sz="4" w:space="0"/>
            </w:tcBorders>
            <w:vAlign w:val="center"/>
          </w:tcPr>
          <w:p>
            <w:pPr>
              <w:pStyle w:val="21"/>
              <w:spacing w:line="360" w:lineRule="auto"/>
              <w:jc w:val="both"/>
              <w:rPr>
                <w:rFonts w:hAnsi="宋体" w:cs="Times New Roman"/>
                <w:color w:val="auto"/>
                <w:sz w:val="21"/>
                <w:szCs w:val="21"/>
              </w:rPr>
            </w:pPr>
            <w:r>
              <w:rPr>
                <w:rFonts w:hint="eastAsia" w:hAnsi="宋体" w:cs="仿宋_GB2312"/>
                <w:sz w:val="21"/>
                <w:szCs w:val="21"/>
              </w:rPr>
              <w:t>湖州南浔朝阳路88号</w:t>
            </w:r>
          </w:p>
        </w:tc>
      </w:tr>
      <w:tr>
        <w:tblPrEx>
          <w:tblCellMar>
            <w:top w:w="0" w:type="dxa"/>
            <w:left w:w="108" w:type="dxa"/>
            <w:bottom w:w="0" w:type="dxa"/>
            <w:right w:w="108" w:type="dxa"/>
          </w:tblCellMar>
        </w:tblPrEx>
        <w:trPr>
          <w:trHeight w:val="363" w:hRule="atLeast"/>
        </w:trPr>
        <w:tc>
          <w:tcPr>
            <w:tcW w:w="828" w:type="dxa"/>
            <w:vMerge w:val="continue"/>
            <w:tcBorders>
              <w:left w:val="single" w:color="000000" w:sz="6" w:space="0"/>
              <w:right w:val="single" w:color="000000" w:sz="6" w:space="0"/>
            </w:tcBorders>
            <w:vAlign w:val="center"/>
          </w:tcPr>
          <w:p>
            <w:pPr>
              <w:pStyle w:val="21"/>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21"/>
              <w:spacing w:line="360" w:lineRule="auto"/>
              <w:jc w:val="both"/>
              <w:rPr>
                <w:rFonts w:hAnsi="宋体" w:cs="Times New Roman"/>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21"/>
              <w:spacing w:line="360" w:lineRule="auto"/>
              <w:jc w:val="both"/>
              <w:rPr>
                <w:rFonts w:hAnsi="宋体"/>
                <w:color w:val="auto"/>
                <w:sz w:val="21"/>
                <w:szCs w:val="21"/>
              </w:rPr>
            </w:pPr>
            <w:r>
              <w:rPr>
                <w:rFonts w:hint="eastAsia" w:hAnsi="宋体"/>
                <w:color w:val="auto"/>
                <w:sz w:val="21"/>
                <w:szCs w:val="21"/>
              </w:rPr>
              <w:t>商务联系人：</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1"/>
              <w:spacing w:line="360" w:lineRule="auto"/>
              <w:jc w:val="both"/>
              <w:rPr>
                <w:rFonts w:hAnsi="宋体" w:cs="仿宋_GB2312"/>
                <w:color w:val="auto"/>
                <w:sz w:val="21"/>
                <w:szCs w:val="21"/>
              </w:rPr>
            </w:pPr>
            <w:r>
              <w:rPr>
                <w:rFonts w:hint="eastAsia" w:hAnsi="宋体" w:cs="Times New Roman"/>
                <w:color w:val="auto"/>
                <w:sz w:val="18"/>
                <w:szCs w:val="18"/>
              </w:rPr>
              <w:t>王工</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1"/>
              <w:spacing w:line="360" w:lineRule="auto"/>
              <w:jc w:val="both"/>
              <w:rPr>
                <w:rFonts w:hAnsi="宋体" w:cs="仿宋_GB2312"/>
                <w:color w:val="auto"/>
                <w:sz w:val="21"/>
                <w:szCs w:val="21"/>
              </w:rPr>
            </w:pPr>
            <w:r>
              <w:rPr>
                <w:rFonts w:hint="eastAsia" w:hAnsi="宋体"/>
                <w:color w:val="auto"/>
                <w:sz w:val="21"/>
                <w:szCs w:val="21"/>
              </w:rPr>
              <w:t>电话：</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1"/>
              <w:spacing w:line="360" w:lineRule="auto"/>
              <w:jc w:val="both"/>
              <w:rPr>
                <w:rFonts w:hAnsi="宋体" w:cs="仿宋_GB2312"/>
                <w:color w:val="auto"/>
                <w:sz w:val="21"/>
                <w:szCs w:val="21"/>
              </w:rPr>
            </w:pPr>
            <w:r>
              <w:rPr>
                <w:rFonts w:hint="eastAsia" w:hAnsi="宋体" w:cs="Times New Roman"/>
                <w:color w:val="auto"/>
                <w:sz w:val="21"/>
                <w:szCs w:val="21"/>
              </w:rPr>
              <w:t>0572-3018736</w:t>
            </w:r>
          </w:p>
        </w:tc>
      </w:tr>
      <w:tr>
        <w:tblPrEx>
          <w:tblCellMar>
            <w:top w:w="0" w:type="dxa"/>
            <w:left w:w="108" w:type="dxa"/>
            <w:bottom w:w="0" w:type="dxa"/>
            <w:right w:w="108" w:type="dxa"/>
          </w:tblCellMar>
        </w:tblPrEx>
        <w:trPr>
          <w:trHeight w:val="390" w:hRule="atLeast"/>
        </w:trPr>
        <w:tc>
          <w:tcPr>
            <w:tcW w:w="828" w:type="dxa"/>
            <w:vMerge w:val="continue"/>
            <w:tcBorders>
              <w:left w:val="single" w:color="000000" w:sz="6" w:space="0"/>
              <w:right w:val="single" w:color="000000" w:sz="6" w:space="0"/>
            </w:tcBorders>
            <w:vAlign w:val="center"/>
          </w:tcPr>
          <w:p>
            <w:pPr>
              <w:pStyle w:val="21"/>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21"/>
              <w:spacing w:line="360" w:lineRule="auto"/>
              <w:jc w:val="both"/>
              <w:rPr>
                <w:rFonts w:hAnsi="宋体" w:cs="Times New Roman"/>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21"/>
              <w:spacing w:line="360" w:lineRule="auto"/>
              <w:jc w:val="both"/>
              <w:rPr>
                <w:rFonts w:hAnsi="宋体"/>
                <w:color w:val="auto"/>
                <w:sz w:val="21"/>
                <w:szCs w:val="21"/>
              </w:rPr>
            </w:pPr>
            <w:r>
              <w:rPr>
                <w:rFonts w:hint="eastAsia" w:hAnsi="宋体"/>
                <w:color w:val="auto"/>
                <w:sz w:val="21"/>
                <w:szCs w:val="21"/>
              </w:rPr>
              <w:t>传真：</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1"/>
              <w:spacing w:line="360" w:lineRule="auto"/>
              <w:jc w:val="both"/>
              <w:rPr>
                <w:rFonts w:hAnsi="宋体" w:cs="仿宋_GB2312"/>
                <w:color w:val="auto"/>
                <w:sz w:val="21"/>
                <w:szCs w:val="21"/>
              </w:rPr>
            </w:pPr>
            <w:r>
              <w:rPr>
                <w:rFonts w:hint="eastAsia" w:hAnsi="宋体" w:cs="Times New Roman"/>
                <w:color w:val="auto"/>
                <w:sz w:val="21"/>
                <w:szCs w:val="21"/>
              </w:rPr>
              <w:t>/</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1"/>
              <w:spacing w:line="360" w:lineRule="auto"/>
              <w:jc w:val="both"/>
              <w:rPr>
                <w:rFonts w:hAnsi="宋体" w:cs="仿宋_GB2312"/>
                <w:color w:val="auto"/>
                <w:sz w:val="21"/>
                <w:szCs w:val="21"/>
              </w:rPr>
            </w:pPr>
            <w:r>
              <w:rPr>
                <w:rFonts w:hint="eastAsia" w:hAnsi="宋体"/>
                <w:color w:val="auto"/>
                <w:sz w:val="21"/>
                <w:szCs w:val="21"/>
              </w:rPr>
              <w:t>电子邮件：</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1"/>
              <w:spacing w:line="360" w:lineRule="auto"/>
              <w:jc w:val="both"/>
              <w:rPr>
                <w:rFonts w:hAnsi="宋体" w:cs="仿宋_GB2312"/>
                <w:color w:val="auto"/>
                <w:sz w:val="21"/>
                <w:szCs w:val="21"/>
              </w:rPr>
            </w:pPr>
            <w:r>
              <w:rPr>
                <w:rFonts w:hint="eastAsia" w:hAnsi="宋体" w:cs="Times New Roman"/>
                <w:color w:val="auto"/>
                <w:sz w:val="21"/>
                <w:szCs w:val="21"/>
              </w:rPr>
              <w:t>295499242@qq.com</w:t>
            </w:r>
          </w:p>
        </w:tc>
      </w:tr>
      <w:tr>
        <w:tblPrEx>
          <w:tblCellMar>
            <w:top w:w="0" w:type="dxa"/>
            <w:left w:w="108" w:type="dxa"/>
            <w:bottom w:w="0" w:type="dxa"/>
            <w:right w:w="108" w:type="dxa"/>
          </w:tblCellMar>
        </w:tblPrEx>
        <w:trPr>
          <w:trHeight w:val="503" w:hRule="atLeast"/>
        </w:trPr>
        <w:tc>
          <w:tcPr>
            <w:tcW w:w="828" w:type="dxa"/>
            <w:vMerge w:val="continue"/>
            <w:tcBorders>
              <w:left w:val="single" w:color="000000" w:sz="6" w:space="0"/>
              <w:right w:val="single" w:color="000000" w:sz="6" w:space="0"/>
            </w:tcBorders>
            <w:vAlign w:val="center"/>
          </w:tcPr>
          <w:p>
            <w:pPr>
              <w:pStyle w:val="21"/>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21"/>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21"/>
              <w:spacing w:line="360" w:lineRule="auto"/>
              <w:jc w:val="both"/>
              <w:rPr>
                <w:rFonts w:hAnsi="宋体"/>
                <w:color w:val="auto"/>
                <w:sz w:val="21"/>
                <w:szCs w:val="21"/>
              </w:rPr>
            </w:pPr>
            <w:r>
              <w:rPr>
                <w:rFonts w:hint="eastAsia" w:hAnsi="宋体"/>
                <w:color w:val="auto"/>
                <w:sz w:val="21"/>
                <w:szCs w:val="21"/>
              </w:rPr>
              <w:t>技术联系人：</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1"/>
              <w:spacing w:line="360" w:lineRule="auto"/>
              <w:jc w:val="both"/>
              <w:rPr>
                <w:rFonts w:hAnsi="宋体" w:cs="仿宋_GB2312"/>
                <w:color w:val="auto"/>
                <w:sz w:val="21"/>
                <w:szCs w:val="21"/>
              </w:rPr>
            </w:pPr>
            <w:r>
              <w:rPr>
                <w:rFonts w:hint="eastAsia" w:hAnsi="宋体" w:cs="仿宋_GB2312"/>
                <w:color w:val="auto"/>
                <w:sz w:val="21"/>
                <w:szCs w:val="21"/>
                <w:lang w:val="en-US" w:eastAsia="zh-CN"/>
              </w:rPr>
              <w:t>/</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1"/>
              <w:spacing w:line="360" w:lineRule="auto"/>
              <w:jc w:val="both"/>
              <w:rPr>
                <w:rFonts w:hAnsi="宋体" w:cs="仿宋_GB2312"/>
                <w:color w:val="auto"/>
                <w:sz w:val="21"/>
                <w:szCs w:val="21"/>
              </w:rPr>
            </w:pPr>
            <w:r>
              <w:rPr>
                <w:rFonts w:hint="eastAsia" w:hAnsi="宋体"/>
                <w:color w:val="auto"/>
                <w:sz w:val="21"/>
                <w:szCs w:val="21"/>
              </w:rPr>
              <w:t>电话：</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1"/>
              <w:spacing w:line="360" w:lineRule="auto"/>
              <w:jc w:val="both"/>
              <w:rPr>
                <w:rFonts w:hAnsi="宋体" w:cs="仿宋_GB2312"/>
                <w:color w:val="auto"/>
                <w:sz w:val="21"/>
                <w:szCs w:val="21"/>
              </w:rPr>
            </w:pPr>
            <w:r>
              <w:rPr>
                <w:rFonts w:hint="eastAsia" w:hAnsi="宋体" w:cs="Times New Roman"/>
                <w:color w:val="auto"/>
                <w:sz w:val="21"/>
                <w:szCs w:val="21"/>
              </w:rPr>
              <w:t>/</w:t>
            </w:r>
          </w:p>
        </w:tc>
      </w:tr>
      <w:tr>
        <w:tblPrEx>
          <w:tblCellMar>
            <w:top w:w="0" w:type="dxa"/>
            <w:left w:w="108" w:type="dxa"/>
            <w:bottom w:w="0" w:type="dxa"/>
            <w:right w:w="108" w:type="dxa"/>
          </w:tblCellMar>
        </w:tblPrEx>
        <w:trPr>
          <w:trHeight w:val="274" w:hRule="atLeast"/>
        </w:trPr>
        <w:tc>
          <w:tcPr>
            <w:tcW w:w="828" w:type="dxa"/>
            <w:vMerge w:val="continue"/>
            <w:tcBorders>
              <w:left w:val="single" w:color="000000" w:sz="6" w:space="0"/>
              <w:right w:val="single" w:color="000000" w:sz="6" w:space="0"/>
            </w:tcBorders>
            <w:vAlign w:val="center"/>
          </w:tcPr>
          <w:p>
            <w:pPr>
              <w:pStyle w:val="21"/>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21"/>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21"/>
              <w:spacing w:line="360" w:lineRule="auto"/>
              <w:jc w:val="both"/>
              <w:rPr>
                <w:rFonts w:hAnsi="宋体"/>
                <w:color w:val="auto"/>
                <w:sz w:val="21"/>
                <w:szCs w:val="21"/>
              </w:rPr>
            </w:pPr>
            <w:r>
              <w:rPr>
                <w:rFonts w:hint="eastAsia" w:hAnsi="宋体"/>
                <w:color w:val="auto"/>
                <w:sz w:val="21"/>
                <w:szCs w:val="21"/>
              </w:rPr>
              <w:t>传真：</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1"/>
              <w:spacing w:line="360" w:lineRule="auto"/>
              <w:jc w:val="both"/>
              <w:rPr>
                <w:rFonts w:hAnsi="宋体" w:cs="Times New Roman"/>
                <w:color w:val="auto"/>
                <w:sz w:val="21"/>
                <w:szCs w:val="21"/>
              </w:rPr>
            </w:pPr>
            <w:r>
              <w:rPr>
                <w:rFonts w:hint="eastAsia" w:hAnsi="宋体" w:cs="Times New Roman"/>
                <w:color w:val="auto"/>
                <w:sz w:val="21"/>
                <w:szCs w:val="21"/>
              </w:rPr>
              <w:t>/</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1"/>
              <w:spacing w:line="360" w:lineRule="auto"/>
              <w:jc w:val="both"/>
              <w:rPr>
                <w:rFonts w:hAnsi="宋体" w:cs="Times New Roman"/>
                <w:color w:val="auto"/>
                <w:sz w:val="21"/>
                <w:szCs w:val="21"/>
              </w:rPr>
            </w:pPr>
            <w:r>
              <w:rPr>
                <w:rFonts w:hint="eastAsia" w:hAnsi="宋体"/>
                <w:color w:val="auto"/>
                <w:sz w:val="21"/>
                <w:szCs w:val="21"/>
              </w:rPr>
              <w:t>电子邮件：</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1"/>
              <w:spacing w:line="360" w:lineRule="auto"/>
              <w:jc w:val="both"/>
              <w:rPr>
                <w:rFonts w:hAnsi="宋体" w:cs="Times New Roman"/>
                <w:color w:val="auto"/>
                <w:sz w:val="21"/>
                <w:szCs w:val="21"/>
              </w:rPr>
            </w:pPr>
            <w:r>
              <w:rPr>
                <w:rFonts w:hint="eastAsia" w:hAnsi="宋体" w:cs="Times New Roman"/>
                <w:color w:val="auto"/>
                <w:sz w:val="21"/>
                <w:szCs w:val="21"/>
              </w:rPr>
              <w:t>/</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pStyle w:val="21"/>
              <w:spacing w:line="360" w:lineRule="auto"/>
              <w:jc w:val="both"/>
              <w:rPr>
                <w:rFonts w:hAnsi="宋体" w:cs="Times New Roman"/>
                <w:color w:val="auto"/>
                <w:sz w:val="21"/>
                <w:szCs w:val="21"/>
              </w:rPr>
            </w:pPr>
            <w:r>
              <w:rPr>
                <w:rFonts w:hAnsi="宋体" w:cs="Times New Roman"/>
                <w:color w:val="auto"/>
                <w:sz w:val="21"/>
                <w:szCs w:val="21"/>
              </w:rPr>
              <w:t>1.1.</w:t>
            </w:r>
            <w:r>
              <w:rPr>
                <w:rFonts w:hint="eastAsia" w:hAnsi="宋体" w:cs="Times New Roman"/>
                <w:color w:val="auto"/>
                <w:sz w:val="21"/>
                <w:szCs w:val="21"/>
              </w:rPr>
              <w:t>2</w:t>
            </w:r>
          </w:p>
        </w:tc>
        <w:tc>
          <w:tcPr>
            <w:tcW w:w="2361" w:type="dxa"/>
            <w:tcBorders>
              <w:top w:val="single" w:color="000000" w:sz="6" w:space="0"/>
              <w:left w:val="single" w:color="000000" w:sz="6" w:space="0"/>
              <w:bottom w:val="single" w:color="000000" w:sz="6" w:space="0"/>
              <w:right w:val="single" w:color="000000" w:sz="6" w:space="0"/>
            </w:tcBorders>
            <w:vAlign w:val="center"/>
          </w:tcPr>
          <w:p>
            <w:pPr>
              <w:pStyle w:val="21"/>
              <w:spacing w:line="360" w:lineRule="auto"/>
              <w:jc w:val="both"/>
              <w:rPr>
                <w:rFonts w:hAnsi="宋体"/>
                <w:color w:val="auto"/>
                <w:sz w:val="21"/>
                <w:szCs w:val="21"/>
              </w:rPr>
            </w:pPr>
            <w:r>
              <w:rPr>
                <w:rFonts w:hint="eastAsia" w:hAnsi="宋体"/>
                <w:color w:val="auto"/>
                <w:sz w:val="21"/>
                <w:szCs w:val="21"/>
              </w:rPr>
              <w:t>项目名称</w:t>
            </w:r>
          </w:p>
        </w:tc>
        <w:tc>
          <w:tcPr>
            <w:tcW w:w="7359" w:type="dxa"/>
            <w:gridSpan w:val="6"/>
            <w:tcBorders>
              <w:top w:val="single" w:color="auto" w:sz="4" w:space="0"/>
              <w:left w:val="single" w:color="000000" w:sz="6" w:space="0"/>
              <w:bottom w:val="single" w:color="000000" w:sz="6" w:space="0"/>
              <w:right w:val="single" w:color="000000" w:sz="6" w:space="0"/>
            </w:tcBorders>
            <w:vAlign w:val="center"/>
          </w:tcPr>
          <w:p>
            <w:pPr>
              <w:jc w:val="left"/>
              <w:rPr>
                <w:rFonts w:hAnsi="宋体"/>
                <w:szCs w:val="21"/>
              </w:rPr>
            </w:pPr>
            <w:r>
              <w:rPr>
                <w:rFonts w:hint="eastAsia" w:ascii="宋体" w:hAnsi="宋体" w:cs="宋体"/>
                <w:color w:val="FF0000"/>
                <w:kern w:val="0"/>
                <w:sz w:val="21"/>
                <w:szCs w:val="21"/>
                <w:u w:val="none"/>
                <w:lang w:val="en-US" w:eastAsia="zh-CN"/>
              </w:rPr>
              <w:t>南浔蔬菜批发（临时过度项目）劳务分包工程</w:t>
            </w:r>
          </w:p>
        </w:tc>
      </w:tr>
      <w:tr>
        <w:tblPrEx>
          <w:tblCellMar>
            <w:top w:w="0" w:type="dxa"/>
            <w:left w:w="108" w:type="dxa"/>
            <w:bottom w:w="0" w:type="dxa"/>
            <w:right w:w="108" w:type="dxa"/>
          </w:tblCellMar>
        </w:tblPrEx>
        <w:trPr>
          <w:trHeight w:val="423" w:hRule="atLeast"/>
        </w:trPr>
        <w:tc>
          <w:tcPr>
            <w:tcW w:w="828" w:type="dxa"/>
            <w:tcBorders>
              <w:top w:val="single" w:color="000000" w:sz="6" w:space="0"/>
              <w:left w:val="single" w:color="000000" w:sz="6" w:space="0"/>
              <w:right w:val="single" w:color="000000" w:sz="6" w:space="0"/>
            </w:tcBorders>
            <w:vAlign w:val="center"/>
          </w:tcPr>
          <w:p>
            <w:pPr>
              <w:pStyle w:val="21"/>
              <w:spacing w:line="360" w:lineRule="auto"/>
              <w:jc w:val="both"/>
              <w:rPr>
                <w:rFonts w:hAnsi="宋体" w:cs="Times New Roman"/>
                <w:color w:val="auto"/>
                <w:sz w:val="21"/>
                <w:szCs w:val="21"/>
              </w:rPr>
            </w:pPr>
            <w:r>
              <w:rPr>
                <w:rFonts w:hint="eastAsia" w:hAnsi="宋体" w:cs="Times New Roman"/>
                <w:color w:val="auto"/>
                <w:sz w:val="21"/>
                <w:szCs w:val="21"/>
              </w:rPr>
              <w:t>1.2</w:t>
            </w:r>
          </w:p>
        </w:tc>
        <w:tc>
          <w:tcPr>
            <w:tcW w:w="2361" w:type="dxa"/>
            <w:tcBorders>
              <w:top w:val="single" w:color="000000" w:sz="6" w:space="0"/>
              <w:left w:val="single" w:color="000000" w:sz="6" w:space="0"/>
              <w:right w:val="single" w:color="000000" w:sz="6" w:space="0"/>
            </w:tcBorders>
            <w:vAlign w:val="center"/>
          </w:tcPr>
          <w:p>
            <w:pPr>
              <w:pStyle w:val="21"/>
              <w:spacing w:line="360" w:lineRule="auto"/>
              <w:jc w:val="both"/>
              <w:rPr>
                <w:rFonts w:hAnsi="宋体"/>
                <w:color w:val="auto"/>
                <w:sz w:val="21"/>
                <w:szCs w:val="21"/>
              </w:rPr>
            </w:pPr>
            <w:r>
              <w:rPr>
                <w:rFonts w:hint="eastAsia" w:hAnsi="宋体"/>
                <w:color w:val="auto"/>
                <w:sz w:val="21"/>
                <w:szCs w:val="21"/>
              </w:rPr>
              <w:t>招标范围</w:t>
            </w:r>
          </w:p>
        </w:tc>
        <w:tc>
          <w:tcPr>
            <w:tcW w:w="7359" w:type="dxa"/>
            <w:gridSpan w:val="6"/>
            <w:tcBorders>
              <w:top w:val="single" w:color="000000" w:sz="6" w:space="0"/>
              <w:left w:val="single" w:color="000000" w:sz="6" w:space="0"/>
              <w:bottom w:val="single" w:color="000000" w:sz="6" w:space="0"/>
              <w:right w:val="single" w:color="000000" w:sz="6" w:space="0"/>
            </w:tcBorders>
            <w:vAlign w:val="bottom"/>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snapToGrid/>
              <w:spacing w:before="0" w:beforeAutospacing="0" w:after="0" w:afterAutospacing="0" w:line="360" w:lineRule="exact"/>
              <w:ind w:left="0" w:right="0" w:firstLine="0"/>
              <w:rPr>
                <w:rFonts w:hint="default" w:hAnsi="宋体"/>
                <w:color w:val="FF0000"/>
                <w:szCs w:val="21"/>
                <w:lang w:val="en-US"/>
              </w:rPr>
            </w:pPr>
            <w:r>
              <w:rPr>
                <w:rFonts w:hint="eastAsia" w:cs="TimesNewRomanPSMT"/>
                <w:b w:val="0"/>
                <w:bCs w:val="0"/>
                <w:kern w:val="0"/>
                <w:sz w:val="21"/>
                <w:szCs w:val="21"/>
                <w:lang w:val="en-US" w:eastAsia="zh-CN"/>
              </w:rPr>
              <w:t>頔塘北菜场土建、钢结构、室外雨污水管道、水电等，</w:t>
            </w:r>
            <w:r>
              <w:rPr>
                <w:rFonts w:hint="eastAsia" w:eastAsia="宋体" w:cs="宋体"/>
                <w:b w:val="0"/>
                <w:bCs w:val="0"/>
                <w:color w:val="auto"/>
                <w:kern w:val="0"/>
                <w:sz w:val="21"/>
                <w:szCs w:val="21"/>
                <w:u w:val="none"/>
                <w:lang w:val="en-US" w:eastAsia="zh-CN" w:bidi="ar-SA"/>
              </w:rPr>
              <w:t>具体</w:t>
            </w:r>
            <w:r>
              <w:rPr>
                <w:rFonts w:hint="eastAsia" w:cs="宋体"/>
                <w:b w:val="0"/>
                <w:bCs w:val="0"/>
                <w:color w:val="auto"/>
                <w:kern w:val="0"/>
                <w:sz w:val="21"/>
                <w:szCs w:val="21"/>
                <w:u w:val="none"/>
                <w:lang w:val="en-US" w:eastAsia="zh-CN" w:bidi="ar-SA"/>
              </w:rPr>
              <w:t>施工范围</w:t>
            </w:r>
            <w:r>
              <w:rPr>
                <w:rFonts w:hint="eastAsia" w:eastAsia="宋体" w:cs="宋体"/>
                <w:b w:val="0"/>
                <w:bCs w:val="0"/>
                <w:color w:val="auto"/>
                <w:kern w:val="0"/>
                <w:sz w:val="21"/>
                <w:szCs w:val="21"/>
                <w:u w:val="none"/>
                <w:lang w:val="en-US" w:eastAsia="zh-CN" w:bidi="ar-SA"/>
              </w:rPr>
              <w:t>以</w:t>
            </w:r>
            <w:r>
              <w:rPr>
                <w:rFonts w:hint="eastAsia" w:cs="宋体"/>
                <w:b w:val="0"/>
                <w:bCs w:val="0"/>
                <w:color w:val="auto"/>
                <w:kern w:val="0"/>
                <w:sz w:val="21"/>
                <w:szCs w:val="21"/>
                <w:u w:val="none"/>
                <w:lang w:val="en-US" w:eastAsia="zh-CN" w:bidi="ar-SA"/>
              </w:rPr>
              <w:t>施工图、</w:t>
            </w:r>
            <w:r>
              <w:rPr>
                <w:rFonts w:hint="eastAsia" w:ascii="宋体" w:hAnsi="宋体" w:eastAsia="宋体" w:cs="宋体"/>
                <w:b w:val="0"/>
                <w:bCs w:val="0"/>
                <w:color w:val="auto"/>
                <w:kern w:val="0"/>
                <w:sz w:val="21"/>
                <w:szCs w:val="21"/>
                <w:u w:val="none"/>
                <w:lang w:val="en-US" w:eastAsia="zh-CN" w:bidi="ar-SA"/>
              </w:rPr>
              <w:t>现场实际情况和</w:t>
            </w:r>
            <w:r>
              <w:rPr>
                <w:rFonts w:hint="eastAsia" w:cs="宋体"/>
                <w:b w:val="0"/>
                <w:bCs w:val="0"/>
                <w:color w:val="auto"/>
                <w:kern w:val="0"/>
                <w:sz w:val="21"/>
                <w:szCs w:val="21"/>
                <w:u w:val="none"/>
                <w:lang w:val="en-US" w:eastAsia="zh-CN" w:bidi="ar-SA"/>
              </w:rPr>
              <w:t>招标单位、</w:t>
            </w:r>
            <w:r>
              <w:rPr>
                <w:rFonts w:hint="eastAsia" w:ascii="宋体" w:hAnsi="宋体" w:eastAsia="宋体" w:cs="宋体"/>
                <w:b w:val="0"/>
                <w:bCs w:val="0"/>
                <w:color w:val="auto"/>
                <w:kern w:val="0"/>
                <w:sz w:val="21"/>
                <w:szCs w:val="21"/>
                <w:u w:val="none"/>
                <w:lang w:val="en-US" w:eastAsia="zh-CN" w:bidi="ar-SA"/>
              </w:rPr>
              <w:t>业主单位要求为准，直至满足功能性要求及业主单位要求并达到竣工验收合格为止。</w:t>
            </w:r>
          </w:p>
        </w:tc>
      </w:tr>
      <w:tr>
        <w:tblPrEx>
          <w:tblCellMar>
            <w:top w:w="0" w:type="dxa"/>
            <w:left w:w="108" w:type="dxa"/>
            <w:bottom w:w="0" w:type="dxa"/>
            <w:right w:w="108" w:type="dxa"/>
          </w:tblCellMar>
        </w:tblPrEx>
        <w:trPr>
          <w:trHeight w:val="450" w:hRule="atLeast"/>
        </w:trPr>
        <w:tc>
          <w:tcPr>
            <w:tcW w:w="828" w:type="dxa"/>
            <w:vMerge w:val="restart"/>
            <w:tcBorders>
              <w:top w:val="single" w:color="000000" w:sz="6" w:space="0"/>
              <w:left w:val="single" w:color="000000" w:sz="6" w:space="0"/>
              <w:right w:val="single" w:color="000000" w:sz="6" w:space="0"/>
            </w:tcBorders>
            <w:vAlign w:val="center"/>
          </w:tcPr>
          <w:p>
            <w:pPr>
              <w:pStyle w:val="21"/>
              <w:spacing w:line="360" w:lineRule="auto"/>
              <w:jc w:val="both"/>
              <w:rPr>
                <w:rFonts w:hAnsi="宋体" w:cs="Times New Roman"/>
                <w:color w:val="auto"/>
                <w:sz w:val="21"/>
                <w:szCs w:val="21"/>
              </w:rPr>
            </w:pPr>
            <w:r>
              <w:rPr>
                <w:rFonts w:hAnsi="宋体" w:cs="Times New Roman"/>
                <w:color w:val="auto"/>
                <w:sz w:val="21"/>
                <w:szCs w:val="21"/>
              </w:rPr>
              <w:t>1.</w:t>
            </w:r>
            <w:r>
              <w:rPr>
                <w:rFonts w:hint="eastAsia" w:hAnsi="宋体" w:cs="Times New Roman"/>
                <w:color w:val="auto"/>
                <w:sz w:val="21"/>
                <w:szCs w:val="21"/>
              </w:rPr>
              <w:t>2</w:t>
            </w:r>
          </w:p>
        </w:tc>
        <w:tc>
          <w:tcPr>
            <w:tcW w:w="2361" w:type="dxa"/>
            <w:vMerge w:val="restart"/>
            <w:tcBorders>
              <w:top w:val="single" w:color="000000" w:sz="6" w:space="0"/>
              <w:left w:val="single" w:color="000000" w:sz="6" w:space="0"/>
              <w:right w:val="single" w:color="000000" w:sz="6" w:space="0"/>
            </w:tcBorders>
            <w:vAlign w:val="center"/>
          </w:tcPr>
          <w:p>
            <w:pPr>
              <w:pStyle w:val="21"/>
              <w:spacing w:line="360" w:lineRule="auto"/>
              <w:jc w:val="both"/>
              <w:rPr>
                <w:rFonts w:hAnsi="宋体"/>
                <w:color w:val="auto"/>
                <w:sz w:val="21"/>
                <w:szCs w:val="21"/>
              </w:rPr>
            </w:pPr>
            <w:r>
              <w:rPr>
                <w:rFonts w:hint="eastAsia" w:hAnsi="宋体"/>
                <w:color w:val="auto"/>
                <w:sz w:val="21"/>
                <w:szCs w:val="21"/>
              </w:rPr>
              <w:t>合同工期</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pStyle w:val="21"/>
              <w:spacing w:line="360" w:lineRule="auto"/>
              <w:jc w:val="both"/>
              <w:rPr>
                <w:rFonts w:hint="default" w:hAnsi="宋体" w:eastAsia="宋体" w:cs="Times New Roman"/>
                <w:color w:val="auto"/>
                <w:sz w:val="21"/>
                <w:szCs w:val="21"/>
                <w:lang w:val="en-US" w:eastAsia="zh-CN"/>
              </w:rPr>
            </w:pPr>
            <w:r>
              <w:rPr>
                <w:rFonts w:hint="eastAsia" w:hAnsi="宋体"/>
                <w:color w:val="auto"/>
                <w:sz w:val="21"/>
                <w:szCs w:val="21"/>
              </w:rPr>
              <w:t>绝对工期：</w:t>
            </w:r>
            <w:r>
              <w:rPr>
                <w:rFonts w:hint="eastAsia" w:hAnsi="宋体"/>
                <w:color w:val="auto"/>
                <w:sz w:val="21"/>
                <w:szCs w:val="21"/>
                <w:lang w:val="en-US" w:eastAsia="zh-CN"/>
              </w:rPr>
              <w:t>70日历天</w:t>
            </w:r>
          </w:p>
        </w:tc>
      </w:tr>
      <w:tr>
        <w:tblPrEx>
          <w:tblCellMar>
            <w:top w:w="0" w:type="dxa"/>
            <w:left w:w="108" w:type="dxa"/>
            <w:bottom w:w="0" w:type="dxa"/>
            <w:right w:w="108" w:type="dxa"/>
          </w:tblCellMar>
        </w:tblPrEx>
        <w:trPr>
          <w:trHeight w:val="450" w:hRule="atLeast"/>
        </w:trPr>
        <w:tc>
          <w:tcPr>
            <w:tcW w:w="828" w:type="dxa"/>
            <w:vMerge w:val="continue"/>
            <w:tcBorders>
              <w:left w:val="single" w:color="000000" w:sz="6" w:space="0"/>
              <w:right w:val="single" w:color="000000" w:sz="6" w:space="0"/>
            </w:tcBorders>
            <w:vAlign w:val="center"/>
          </w:tcPr>
          <w:p>
            <w:pPr>
              <w:pStyle w:val="21"/>
              <w:spacing w:line="360" w:lineRule="auto"/>
              <w:jc w:val="both"/>
              <w:rPr>
                <w:rFonts w:hAnsi="宋体" w:cs="Times New Roman"/>
                <w:color w:val="auto"/>
                <w:sz w:val="21"/>
                <w:szCs w:val="21"/>
              </w:rPr>
            </w:pPr>
          </w:p>
        </w:tc>
        <w:tc>
          <w:tcPr>
            <w:tcW w:w="2361" w:type="dxa"/>
            <w:vMerge w:val="continue"/>
            <w:tcBorders>
              <w:left w:val="single" w:color="000000" w:sz="6" w:space="0"/>
              <w:right w:val="single" w:color="000000" w:sz="6" w:space="0"/>
            </w:tcBorders>
            <w:vAlign w:val="center"/>
          </w:tcPr>
          <w:p>
            <w:pPr>
              <w:pStyle w:val="21"/>
              <w:spacing w:line="360" w:lineRule="auto"/>
              <w:jc w:val="both"/>
              <w:rPr>
                <w:rFonts w:hAnsi="宋体"/>
                <w:color w:val="auto"/>
                <w:sz w:val="21"/>
                <w:szCs w:val="21"/>
              </w:rPr>
            </w:pP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pStyle w:val="21"/>
              <w:spacing w:line="360" w:lineRule="auto"/>
              <w:jc w:val="both"/>
              <w:rPr>
                <w:rFonts w:hint="default" w:hAnsi="宋体" w:eastAsia="宋体" w:cs="Times New Roman"/>
                <w:color w:val="auto"/>
                <w:sz w:val="21"/>
                <w:szCs w:val="21"/>
                <w:lang w:val="en-US" w:eastAsia="zh-CN"/>
              </w:rPr>
            </w:pPr>
            <w:r>
              <w:rPr>
                <w:rFonts w:hint="eastAsia" w:hAnsi="宋体"/>
                <w:color w:val="auto"/>
                <w:sz w:val="21"/>
                <w:szCs w:val="21"/>
              </w:rPr>
              <w:t>计划开工日期：</w:t>
            </w:r>
            <w:r>
              <w:rPr>
                <w:rFonts w:hint="eastAsia" w:hAnsi="宋体"/>
                <w:color w:val="auto"/>
                <w:sz w:val="21"/>
                <w:szCs w:val="21"/>
                <w:lang w:val="en-US" w:eastAsia="zh-CN"/>
              </w:rPr>
              <w:t>以甲方要求为准</w:t>
            </w:r>
          </w:p>
        </w:tc>
      </w:tr>
      <w:tr>
        <w:tblPrEx>
          <w:tblCellMar>
            <w:top w:w="0" w:type="dxa"/>
            <w:left w:w="108" w:type="dxa"/>
            <w:bottom w:w="0" w:type="dxa"/>
            <w:right w:w="108" w:type="dxa"/>
          </w:tblCellMar>
        </w:tblPrEx>
        <w:trPr>
          <w:trHeight w:val="385" w:hRule="atLeast"/>
        </w:trPr>
        <w:tc>
          <w:tcPr>
            <w:tcW w:w="828" w:type="dxa"/>
            <w:tcBorders>
              <w:top w:val="single" w:color="000000" w:sz="6" w:space="0"/>
              <w:left w:val="single" w:color="000000" w:sz="6" w:space="0"/>
              <w:right w:val="single" w:color="000000" w:sz="6" w:space="0"/>
            </w:tcBorders>
            <w:vAlign w:val="center"/>
          </w:tcPr>
          <w:p>
            <w:pPr>
              <w:pStyle w:val="21"/>
              <w:spacing w:line="360" w:lineRule="auto"/>
              <w:jc w:val="both"/>
              <w:rPr>
                <w:rFonts w:hAnsi="宋体" w:cs="Times New Roman"/>
                <w:color w:val="auto"/>
                <w:sz w:val="21"/>
                <w:szCs w:val="21"/>
              </w:rPr>
            </w:pPr>
            <w:r>
              <w:rPr>
                <w:rFonts w:hAnsi="宋体" w:cs="Times New Roman"/>
                <w:color w:val="auto"/>
                <w:sz w:val="21"/>
                <w:szCs w:val="21"/>
              </w:rPr>
              <w:t>1.</w:t>
            </w:r>
            <w:r>
              <w:rPr>
                <w:rFonts w:hint="eastAsia" w:hAnsi="宋体" w:cs="Times New Roman"/>
                <w:color w:val="auto"/>
                <w:sz w:val="21"/>
                <w:szCs w:val="21"/>
              </w:rPr>
              <w:t>2</w:t>
            </w:r>
          </w:p>
        </w:tc>
        <w:tc>
          <w:tcPr>
            <w:tcW w:w="2361" w:type="dxa"/>
            <w:tcBorders>
              <w:top w:val="single" w:color="000000" w:sz="6" w:space="0"/>
              <w:left w:val="single" w:color="000000" w:sz="6" w:space="0"/>
              <w:right w:val="single" w:color="000000" w:sz="6" w:space="0"/>
            </w:tcBorders>
            <w:vAlign w:val="center"/>
          </w:tcPr>
          <w:p>
            <w:pPr>
              <w:pStyle w:val="21"/>
              <w:spacing w:line="360" w:lineRule="auto"/>
              <w:jc w:val="both"/>
              <w:rPr>
                <w:rFonts w:hAnsi="宋体" w:cs="Times New Roman"/>
                <w:color w:val="auto"/>
                <w:sz w:val="21"/>
                <w:szCs w:val="21"/>
              </w:rPr>
            </w:pPr>
            <w:r>
              <w:rPr>
                <w:rFonts w:hint="eastAsia" w:hAnsi="宋体"/>
                <w:color w:val="auto"/>
                <w:sz w:val="21"/>
                <w:szCs w:val="21"/>
              </w:rPr>
              <w:t>质量要求</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pStyle w:val="21"/>
              <w:spacing w:line="360" w:lineRule="auto"/>
              <w:jc w:val="both"/>
              <w:rPr>
                <w:rFonts w:hAnsi="宋体"/>
                <w:color w:val="auto"/>
                <w:sz w:val="21"/>
                <w:szCs w:val="21"/>
                <w:u w:val="single"/>
              </w:rPr>
            </w:pPr>
            <w:r>
              <w:rPr>
                <w:rFonts w:hAnsi="宋体"/>
                <w:color w:val="auto"/>
                <w:szCs w:val="21"/>
              </w:rPr>
              <w:t>■</w:t>
            </w:r>
            <w:r>
              <w:rPr>
                <w:rFonts w:hint="eastAsia" w:hAnsi="宋体"/>
                <w:color w:val="auto"/>
                <w:sz w:val="21"/>
                <w:szCs w:val="21"/>
              </w:rPr>
              <w:t xml:space="preserve">合格 </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1.4</w:t>
            </w:r>
          </w:p>
        </w:tc>
        <w:tc>
          <w:tcPr>
            <w:tcW w:w="2361" w:type="dxa"/>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费用承担</w:t>
            </w: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Ansi="宋体"/>
                <w:szCs w:val="21"/>
              </w:rPr>
            </w:pPr>
            <w:r>
              <w:rPr>
                <w:rFonts w:hint="eastAsia" w:ascii="宋体" w:hAnsi="宋体" w:cs="仿宋_GB2312"/>
                <w:kern w:val="0"/>
                <w:szCs w:val="21"/>
              </w:rPr>
              <w:t>投标人准备和参加投标活动发生的费用自理。</w:t>
            </w:r>
          </w:p>
        </w:tc>
      </w:tr>
      <w:tr>
        <w:tblPrEx>
          <w:tblCellMar>
            <w:top w:w="0" w:type="dxa"/>
            <w:left w:w="108" w:type="dxa"/>
            <w:bottom w:w="0" w:type="dxa"/>
            <w:right w:w="108" w:type="dxa"/>
          </w:tblCellMar>
        </w:tblPrEx>
        <w:trPr>
          <w:trHeight w:val="452" w:hRule="atLeast"/>
        </w:trPr>
        <w:tc>
          <w:tcPr>
            <w:tcW w:w="828" w:type="dxa"/>
            <w:vMerge w:val="restart"/>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1.</w:t>
            </w:r>
            <w:r>
              <w:rPr>
                <w:rFonts w:hint="eastAsia" w:ascii="宋体" w:hAnsi="宋体"/>
                <w:kern w:val="0"/>
                <w:szCs w:val="21"/>
              </w:rPr>
              <w:t>8</w:t>
            </w:r>
          </w:p>
        </w:tc>
        <w:tc>
          <w:tcPr>
            <w:tcW w:w="2361" w:type="dxa"/>
            <w:vMerge w:val="restart"/>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r>
              <w:rPr>
                <w:rFonts w:hint="eastAsia" w:ascii="宋体" w:hAnsi="宋体" w:cs="宋体"/>
                <w:kern w:val="0"/>
                <w:szCs w:val="21"/>
              </w:rPr>
              <w:t>踏勘现场</w:t>
            </w: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Ansi="宋体"/>
                <w:szCs w:val="21"/>
              </w:rPr>
              <w:t>■</w:t>
            </w:r>
            <w:r>
              <w:rPr>
                <w:rFonts w:hint="eastAsia" w:ascii="宋体" w:hAnsi="宋体" w:cs="宋体"/>
                <w:kern w:val="0"/>
                <w:szCs w:val="21"/>
              </w:rPr>
              <w:t xml:space="preserve">不组织     </w:t>
            </w:r>
            <w:r>
              <w:rPr>
                <w:rFonts w:ascii="宋体" w:hAnsi="宋体"/>
                <w:kern w:val="0"/>
                <w:szCs w:val="21"/>
              </w:rPr>
              <w:t>□</w:t>
            </w:r>
            <w:r>
              <w:rPr>
                <w:rFonts w:hint="eastAsia" w:ascii="宋体" w:hAnsi="宋体" w:cs="宋体"/>
                <w:kern w:val="0"/>
                <w:szCs w:val="21"/>
              </w:rPr>
              <w:t>组织，踏勘时间：</w:t>
            </w:r>
          </w:p>
        </w:tc>
      </w:tr>
      <w:tr>
        <w:tblPrEx>
          <w:tblCellMar>
            <w:top w:w="0" w:type="dxa"/>
            <w:left w:w="108" w:type="dxa"/>
            <w:bottom w:w="0" w:type="dxa"/>
            <w:right w:w="108" w:type="dxa"/>
          </w:tblCellMar>
        </w:tblPrEx>
        <w:trPr>
          <w:trHeight w:val="380" w:hRule="atLeast"/>
        </w:trPr>
        <w:tc>
          <w:tcPr>
            <w:tcW w:w="828" w:type="dxa"/>
            <w:vMerge w:val="continue"/>
            <w:tcBorders>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p>
        </w:tc>
        <w:tc>
          <w:tcPr>
            <w:tcW w:w="2361" w:type="dxa"/>
            <w:vMerge w:val="continue"/>
            <w:tcBorders>
              <w:left w:val="single" w:color="000000" w:sz="6" w:space="0"/>
              <w:bottom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踏勘集中地点：</w:t>
            </w:r>
          </w:p>
        </w:tc>
      </w:tr>
      <w:tr>
        <w:tblPrEx>
          <w:tblCellMar>
            <w:top w:w="0" w:type="dxa"/>
            <w:left w:w="108" w:type="dxa"/>
            <w:bottom w:w="0" w:type="dxa"/>
            <w:right w:w="108" w:type="dxa"/>
          </w:tblCellMar>
        </w:tblPrEx>
        <w:trPr>
          <w:trHeight w:val="386"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1.</w:t>
            </w:r>
            <w:r>
              <w:rPr>
                <w:rFonts w:hint="eastAsia" w:ascii="宋体" w:hAnsi="宋体"/>
                <w:kern w:val="0"/>
                <w:szCs w:val="21"/>
              </w:rPr>
              <w:t>9</w:t>
            </w:r>
          </w:p>
        </w:tc>
        <w:tc>
          <w:tcPr>
            <w:tcW w:w="2361" w:type="dxa"/>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r>
              <w:rPr>
                <w:rFonts w:hint="eastAsia" w:ascii="宋体" w:hAnsi="宋体" w:cs="宋体"/>
                <w:kern w:val="0"/>
                <w:szCs w:val="21"/>
              </w:rPr>
              <w:t>转包</w:t>
            </w:r>
          </w:p>
        </w:tc>
        <w:tc>
          <w:tcPr>
            <w:tcW w:w="4308"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Ansi="宋体"/>
                <w:szCs w:val="21"/>
              </w:rPr>
              <w:t>■</w:t>
            </w:r>
            <w:r>
              <w:rPr>
                <w:rFonts w:hint="eastAsia" w:ascii="宋体" w:hAnsi="宋体" w:cs="宋体"/>
                <w:kern w:val="0"/>
                <w:szCs w:val="21"/>
              </w:rPr>
              <w:t>不允许</w:t>
            </w:r>
          </w:p>
        </w:tc>
        <w:tc>
          <w:tcPr>
            <w:tcW w:w="305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ascii="宋体" w:hAnsi="宋体"/>
                <w:kern w:val="0"/>
                <w:szCs w:val="21"/>
              </w:rPr>
              <w:t>□</w:t>
            </w:r>
            <w:r>
              <w:rPr>
                <w:rFonts w:hint="eastAsia" w:ascii="宋体" w:hAnsi="宋体" w:cs="宋体"/>
                <w:kern w:val="0"/>
                <w:szCs w:val="21"/>
              </w:rPr>
              <w:t>允许</w:t>
            </w:r>
          </w:p>
        </w:tc>
      </w:tr>
      <w:tr>
        <w:tblPrEx>
          <w:tblCellMar>
            <w:top w:w="0" w:type="dxa"/>
            <w:left w:w="108" w:type="dxa"/>
            <w:bottom w:w="0" w:type="dxa"/>
            <w:right w:w="108" w:type="dxa"/>
          </w:tblCellMar>
        </w:tblPrEx>
        <w:trPr>
          <w:trHeight w:val="385"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 xml:space="preserve">2. </w:t>
            </w:r>
            <w:r>
              <w:rPr>
                <w:rFonts w:hint="eastAsia" w:ascii="宋体" w:hAnsi="宋体"/>
                <w:kern w:val="0"/>
                <w:szCs w:val="21"/>
              </w:rPr>
              <w:t>3</w:t>
            </w:r>
          </w:p>
        </w:tc>
        <w:tc>
          <w:tcPr>
            <w:tcW w:w="2361"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投标截止时间</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default" w:ascii="宋体" w:hAnsi="宋体" w:cs="宋体"/>
                <w:kern w:val="0"/>
                <w:szCs w:val="21"/>
                <w:lang w:val="en-US"/>
              </w:rPr>
            </w:pPr>
            <w:r>
              <w:rPr>
                <w:rFonts w:hint="eastAsia" w:ascii="宋体" w:hAnsi="宋体" w:cs="仿宋_GB2312"/>
                <w:bCs/>
                <w:kern w:val="0"/>
                <w:szCs w:val="21"/>
                <w:highlight w:val="yellow"/>
              </w:rPr>
              <w:t>2021年</w:t>
            </w:r>
            <w:r>
              <w:rPr>
                <w:rFonts w:hint="eastAsia" w:ascii="宋体" w:hAnsi="宋体" w:cs="仿宋_GB2312"/>
                <w:bCs/>
                <w:kern w:val="0"/>
                <w:szCs w:val="21"/>
                <w:highlight w:val="yellow"/>
                <w:lang w:val="en-US" w:eastAsia="zh-CN"/>
              </w:rPr>
              <w:t>12</w:t>
            </w:r>
            <w:r>
              <w:rPr>
                <w:rFonts w:hint="eastAsia" w:ascii="宋体" w:hAnsi="宋体" w:cs="仿宋_GB2312"/>
                <w:bCs/>
                <w:kern w:val="0"/>
                <w:szCs w:val="21"/>
                <w:highlight w:val="yellow"/>
              </w:rPr>
              <w:t>月</w:t>
            </w:r>
            <w:r>
              <w:rPr>
                <w:rFonts w:hint="eastAsia" w:ascii="宋体" w:hAnsi="宋体" w:cs="仿宋_GB2312"/>
                <w:bCs/>
                <w:kern w:val="0"/>
                <w:szCs w:val="21"/>
                <w:highlight w:val="yellow"/>
                <w:lang w:val="en-US" w:eastAsia="zh-CN"/>
              </w:rPr>
              <w:t>16</w:t>
            </w:r>
            <w:r>
              <w:rPr>
                <w:rFonts w:hint="eastAsia" w:ascii="宋体" w:hAnsi="宋体" w:cs="仿宋_GB2312"/>
                <w:bCs/>
                <w:kern w:val="0"/>
                <w:szCs w:val="21"/>
                <w:highlight w:val="yellow"/>
              </w:rPr>
              <w:t>日</w:t>
            </w:r>
            <w:r>
              <w:rPr>
                <w:rFonts w:hint="eastAsia" w:ascii="宋体" w:hAnsi="宋体" w:cs="仿宋_GB2312"/>
                <w:bCs/>
                <w:kern w:val="0"/>
                <w:szCs w:val="21"/>
                <w:highlight w:val="yellow"/>
                <w:lang w:val="en-US" w:eastAsia="zh-CN"/>
              </w:rPr>
              <w:t>14时30分</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 xml:space="preserve">3. </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投标有效期</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60天</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分包税率</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9%</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费用说明</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jc w:val="left"/>
              <w:rPr>
                <w:rFonts w:ascii="宋体" w:hAnsi="宋体" w:cs="TimesNewRomanPSMT"/>
                <w:kern w:val="0"/>
                <w:szCs w:val="21"/>
              </w:rPr>
            </w:pPr>
            <w:r>
              <w:rPr>
                <w:rFonts w:hint="eastAsia" w:ascii="宋体" w:hAnsi="宋体" w:cs="仿宋"/>
                <w:b/>
                <w:bCs/>
                <w:szCs w:val="21"/>
              </w:rPr>
              <w:t>注：</w:t>
            </w:r>
            <w:r>
              <w:rPr>
                <w:rFonts w:hint="eastAsia" w:ascii="宋体" w:hAnsi="宋体" w:cs="仿宋"/>
                <w:szCs w:val="21"/>
              </w:rPr>
              <w:t>本次招标只接受已经缴纳投标保证金或年度投标保证金的合格供应商，投标前缴纳至指定账号，请将投标保证金和办理交纳年度保证金分包商的缴纳凭证截图发给招标业务人员。</w:t>
            </w:r>
          </w:p>
          <w:p>
            <w:pPr>
              <w:autoSpaceDE w:val="0"/>
              <w:autoSpaceDN w:val="0"/>
              <w:adjustRightInd w:val="0"/>
              <w:spacing w:line="240" w:lineRule="auto"/>
              <w:rPr>
                <w:rFonts w:ascii="宋体" w:hAnsi="宋体"/>
                <w:kern w:val="0"/>
                <w:szCs w:val="21"/>
              </w:rPr>
            </w:pPr>
            <w:r>
              <w:rPr>
                <w:rFonts w:hint="eastAsia" w:ascii="宋体" w:hAnsi="宋体" w:cs="仿宋_GB2312"/>
                <w:kern w:val="0"/>
                <w:szCs w:val="21"/>
              </w:rPr>
              <w:t>以下内容为具体缴纳金额和缴纳方式：</w:t>
            </w:r>
          </w:p>
        </w:tc>
      </w:tr>
      <w:tr>
        <w:tblPrEx>
          <w:tblCellMar>
            <w:top w:w="0" w:type="dxa"/>
            <w:left w:w="108" w:type="dxa"/>
            <w:bottom w:w="0" w:type="dxa"/>
            <w:right w:w="108" w:type="dxa"/>
          </w:tblCellMar>
        </w:tblPrEx>
        <w:trPr>
          <w:trHeight w:val="342" w:hRule="atLeast"/>
        </w:trPr>
        <w:tc>
          <w:tcPr>
            <w:tcW w:w="828" w:type="dxa"/>
            <w:vMerge w:val="restart"/>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3.4</w:t>
            </w:r>
          </w:p>
        </w:tc>
        <w:tc>
          <w:tcPr>
            <w:tcW w:w="2361" w:type="dxa"/>
            <w:vMerge w:val="restart"/>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w:t>
            </w: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投标保证金的形式：</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kern w:val="0"/>
                <w:szCs w:val="21"/>
                <w:highlight w:val="yellow"/>
              </w:rPr>
            </w:pPr>
            <w:r>
              <w:rPr>
                <w:rFonts w:hint="eastAsia" w:ascii="宋体" w:hAnsi="宋体"/>
                <w:kern w:val="0"/>
                <w:szCs w:val="21"/>
              </w:rPr>
              <w:t>现金转账</w:t>
            </w:r>
          </w:p>
        </w:tc>
      </w:tr>
      <w:tr>
        <w:tblPrEx>
          <w:tblCellMar>
            <w:top w:w="0" w:type="dxa"/>
            <w:left w:w="108" w:type="dxa"/>
            <w:bottom w:w="0" w:type="dxa"/>
            <w:right w:w="108" w:type="dxa"/>
          </w:tblCellMar>
        </w:tblPrEx>
        <w:trPr>
          <w:trHeight w:val="420" w:hRule="atLeast"/>
        </w:trPr>
        <w:tc>
          <w:tcPr>
            <w:tcW w:w="828" w:type="dxa"/>
            <w:vMerge w:val="continue"/>
            <w:tcBorders>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p>
        </w:tc>
        <w:tc>
          <w:tcPr>
            <w:tcW w:w="2361" w:type="dxa"/>
            <w:vMerge w:val="continue"/>
            <w:tcBorders>
              <w:left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投标保证金的金额：</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kern w:val="0"/>
                <w:szCs w:val="21"/>
                <w:highlight w:val="yellow"/>
              </w:rPr>
            </w:pPr>
            <w:r>
              <w:rPr>
                <w:rFonts w:hint="eastAsia" w:ascii="宋体" w:hAnsi="宋体"/>
                <w:kern w:val="0"/>
                <w:szCs w:val="21"/>
                <w:u w:val="single"/>
                <w:lang w:val="en-US" w:eastAsia="zh-CN"/>
              </w:rPr>
              <w:t>/</w:t>
            </w:r>
            <w:r>
              <w:rPr>
                <w:rFonts w:hint="eastAsia" w:ascii="宋体" w:hAnsi="宋体"/>
                <w:kern w:val="0"/>
                <w:szCs w:val="21"/>
              </w:rPr>
              <w:t>万元（大写金额</w:t>
            </w:r>
            <w:r>
              <w:rPr>
                <w:rFonts w:hint="eastAsia" w:ascii="宋体" w:hAnsi="宋体"/>
                <w:kern w:val="0"/>
                <w:szCs w:val="21"/>
                <w:u w:val="single"/>
              </w:rPr>
              <w:t xml:space="preserve">  </w:t>
            </w:r>
            <w:r>
              <w:rPr>
                <w:rFonts w:hint="eastAsia" w:ascii="宋体" w:hAnsi="宋体"/>
                <w:kern w:val="0"/>
                <w:szCs w:val="21"/>
                <w:u w:val="single"/>
                <w:lang w:val="en-US" w:eastAsia="zh-CN"/>
              </w:rPr>
              <w:t>/</w:t>
            </w:r>
            <w:r>
              <w:rPr>
                <w:rFonts w:hint="eastAsia" w:ascii="宋体" w:hAnsi="宋体"/>
                <w:kern w:val="0"/>
                <w:szCs w:val="21"/>
              </w:rPr>
              <w:t>整）</w:t>
            </w:r>
          </w:p>
        </w:tc>
      </w:tr>
      <w:tr>
        <w:tblPrEx>
          <w:tblCellMar>
            <w:top w:w="0" w:type="dxa"/>
            <w:left w:w="108" w:type="dxa"/>
            <w:bottom w:w="0" w:type="dxa"/>
            <w:right w:w="108" w:type="dxa"/>
          </w:tblCellMar>
        </w:tblPrEx>
        <w:trPr>
          <w:trHeight w:val="415" w:hRule="atLeast"/>
        </w:trPr>
        <w:tc>
          <w:tcPr>
            <w:tcW w:w="828" w:type="dxa"/>
            <w:vMerge w:val="continue"/>
            <w:tcBorders>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p>
        </w:tc>
        <w:tc>
          <w:tcPr>
            <w:tcW w:w="2361" w:type="dxa"/>
            <w:vMerge w:val="continue"/>
            <w:tcBorders>
              <w:left w:val="single" w:color="000000" w:sz="6" w:space="0"/>
              <w:bottom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投标保证金递交时间：</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b/>
                <w:kern w:val="0"/>
                <w:szCs w:val="21"/>
                <w:highlight w:val="yellow"/>
              </w:rPr>
            </w:pPr>
            <w:r>
              <w:rPr>
                <w:rFonts w:hint="eastAsia" w:ascii="宋体" w:hAnsi="宋体"/>
                <w:kern w:val="0"/>
                <w:szCs w:val="21"/>
              </w:rPr>
              <w:t>开标前半小时指定账号递交。</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3.4.1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kern w:val="0"/>
                <w:szCs w:val="21"/>
              </w:rPr>
            </w:pPr>
            <w:r>
              <w:rPr>
                <w:rFonts w:hint="eastAsia" w:ascii="宋体"/>
                <w:kern w:val="0"/>
                <w:szCs w:val="21"/>
              </w:rPr>
              <w:t>费用交纳方式</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r>
              <w:rPr>
                <w:rFonts w:hint="eastAsia"/>
              </w:rPr>
              <w:t xml:space="preserve">投标保证金缴纳时，应从分包商单位账号缴纳，不得以个人名义缴纳。转账时请在凭证上备注：                             </w:t>
            </w:r>
          </w:p>
          <w:p>
            <w:pPr>
              <w:rPr>
                <w:rFonts w:hint="eastAsia" w:eastAsia="宋体"/>
                <w:lang w:eastAsia="zh-CN"/>
              </w:rPr>
            </w:pPr>
            <w:r>
              <w:rPr>
                <w:rFonts w:hint="eastAsia"/>
              </w:rPr>
              <w:t>投标保证金凭证备注：</w:t>
            </w:r>
            <w:r>
              <w:rPr>
                <w:rFonts w:hint="eastAsia" w:ascii="宋体" w:hAnsi="宋体" w:cs="宋体"/>
                <w:color w:val="FF0000"/>
                <w:kern w:val="0"/>
                <w:szCs w:val="21"/>
                <w:lang w:val="en-US" w:eastAsia="zh-CN"/>
              </w:rPr>
              <w:t>/</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3.4.2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投标保证金收取账号</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ascii="宋体" w:hAnsi="宋体"/>
                <w:kern w:val="0"/>
                <w:szCs w:val="21"/>
              </w:rPr>
            </w:pPr>
            <w:r>
              <w:rPr>
                <w:rFonts w:hint="eastAsia" w:ascii="宋体" w:hAnsi="宋体"/>
                <w:kern w:val="0"/>
                <w:szCs w:val="21"/>
              </w:rPr>
              <w:t xml:space="preserve">户名：湖州南浔城投城市建设集团有限公司  </w:t>
            </w:r>
          </w:p>
          <w:p>
            <w:pPr>
              <w:autoSpaceDE w:val="0"/>
              <w:autoSpaceDN w:val="0"/>
              <w:adjustRightInd w:val="0"/>
              <w:spacing w:line="240" w:lineRule="auto"/>
              <w:rPr>
                <w:rFonts w:ascii="宋体" w:hAnsi="宋体"/>
                <w:kern w:val="0"/>
                <w:szCs w:val="21"/>
              </w:rPr>
            </w:pPr>
            <w:r>
              <w:rPr>
                <w:rFonts w:hint="eastAsia" w:ascii="宋体" w:hAnsi="宋体"/>
                <w:kern w:val="0"/>
                <w:szCs w:val="21"/>
              </w:rPr>
              <w:t>开户行：中国银行南浔支行</w:t>
            </w:r>
          </w:p>
          <w:p>
            <w:pPr>
              <w:autoSpaceDE w:val="0"/>
              <w:autoSpaceDN w:val="0"/>
              <w:adjustRightInd w:val="0"/>
              <w:spacing w:line="240" w:lineRule="auto"/>
              <w:rPr>
                <w:rFonts w:ascii="宋体" w:hAnsi="宋体"/>
                <w:kern w:val="0"/>
                <w:szCs w:val="21"/>
              </w:rPr>
            </w:pPr>
            <w:r>
              <w:rPr>
                <w:rFonts w:hint="eastAsia" w:ascii="宋体" w:hAnsi="宋体"/>
                <w:kern w:val="0"/>
                <w:szCs w:val="21"/>
              </w:rPr>
              <w:t>账号：366258342239</w:t>
            </w:r>
          </w:p>
          <w:p>
            <w:pPr>
              <w:autoSpaceDE w:val="0"/>
              <w:autoSpaceDN w:val="0"/>
              <w:adjustRightInd w:val="0"/>
              <w:spacing w:line="240" w:lineRule="auto"/>
              <w:rPr>
                <w:rFonts w:ascii="宋体" w:hAnsi="宋体"/>
                <w:kern w:val="0"/>
                <w:szCs w:val="21"/>
              </w:rPr>
            </w:pPr>
            <w:r>
              <w:rPr>
                <w:rFonts w:hint="eastAsia" w:ascii="宋体" w:hAnsi="宋体"/>
                <w:kern w:val="0"/>
                <w:szCs w:val="21"/>
              </w:rPr>
              <w:t xml:space="preserve">缴纳凭证截图发给湖州南浔城投城市建设集团有限公司王工，电话：0572-3018736；QQ邮箱：295499242@qq.com；  </w:t>
            </w:r>
          </w:p>
          <w:p>
            <w:pPr>
              <w:autoSpaceDE w:val="0"/>
              <w:autoSpaceDN w:val="0"/>
              <w:adjustRightInd w:val="0"/>
              <w:spacing w:line="240" w:lineRule="auto"/>
              <w:rPr>
                <w:rFonts w:ascii="宋体" w:hAnsi="宋体"/>
                <w:kern w:val="0"/>
                <w:szCs w:val="21"/>
              </w:rPr>
            </w:pPr>
            <w:r>
              <w:rPr>
                <w:rFonts w:hint="eastAsia" w:ascii="宋体" w:hAnsi="宋体"/>
                <w:kern w:val="0"/>
                <w:szCs w:val="21"/>
              </w:rPr>
              <w:t xml:space="preserve">注：如不截图缴纳凭证，出现问题，后果自负。        </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3.</w:t>
            </w:r>
            <w:r>
              <w:rPr>
                <w:rFonts w:hint="eastAsia" w:ascii="宋体" w:hAnsi="宋体"/>
                <w:kern w:val="0"/>
                <w:szCs w:val="21"/>
              </w:rPr>
              <w:t>5</w:t>
            </w:r>
            <w:r>
              <w:rPr>
                <w:rFonts w:ascii="宋体" w:hAnsi="宋体"/>
                <w:kern w:val="0"/>
                <w:szCs w:val="21"/>
              </w:rPr>
              <w:t>.3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签字或盖章要求</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均要求</w:t>
            </w:r>
          </w:p>
        </w:tc>
      </w:tr>
      <w:tr>
        <w:tblPrEx>
          <w:tblCellMar>
            <w:top w:w="0" w:type="dxa"/>
            <w:left w:w="108" w:type="dxa"/>
            <w:bottom w:w="0" w:type="dxa"/>
            <w:right w:w="108" w:type="dxa"/>
          </w:tblCellMar>
        </w:tblPrEx>
        <w:trPr>
          <w:trHeight w:val="404"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4.1</w:t>
            </w:r>
          </w:p>
        </w:tc>
        <w:tc>
          <w:tcPr>
            <w:tcW w:w="2361"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投标文件形式</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ascii="宋体" w:hAnsi="宋体"/>
                <w:kern w:val="0"/>
                <w:szCs w:val="21"/>
              </w:rPr>
            </w:pPr>
            <w:r>
              <w:rPr>
                <w:rFonts w:hint="eastAsia" w:ascii="宋体" w:hAnsi="宋体"/>
                <w:kern w:val="0"/>
                <w:szCs w:val="21"/>
              </w:rPr>
              <w:t>书面形式、签字盖章装订成册，密封后于投标截止前递交至建设集团公司</w:t>
            </w:r>
          </w:p>
          <w:p>
            <w:pPr>
              <w:autoSpaceDE w:val="0"/>
              <w:autoSpaceDN w:val="0"/>
              <w:adjustRightInd w:val="0"/>
              <w:spacing w:line="240" w:lineRule="auto"/>
              <w:rPr>
                <w:rFonts w:ascii="宋体" w:hAnsi="宋体"/>
                <w:kern w:val="0"/>
                <w:szCs w:val="21"/>
                <w:highlight w:val="yellow"/>
              </w:rPr>
            </w:pPr>
            <w:r>
              <w:rPr>
                <w:rFonts w:hint="eastAsia"/>
              </w:rPr>
              <w:t>注：投标附件均需按要求法人签字盖章。</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4.2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highlight w:val="yellow"/>
              </w:rPr>
            </w:pPr>
            <w:r>
              <w:rPr>
                <w:rFonts w:hint="eastAsia" w:ascii="宋体" w:hAnsi="宋体" w:cs="宋体"/>
                <w:kern w:val="0"/>
                <w:szCs w:val="21"/>
              </w:rPr>
              <w:t>递交投标文件地点</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cs="仿宋_GB2312"/>
                <w:kern w:val="0"/>
                <w:szCs w:val="21"/>
              </w:rPr>
              <w:t>湖州南浔城投城市建设集团有限公司</w:t>
            </w:r>
            <w:r>
              <w:rPr>
                <w:rFonts w:hint="eastAsia" w:ascii="宋体" w:hAnsi="宋体" w:cs="仿宋_GB2312"/>
                <w:kern w:val="0"/>
                <w:szCs w:val="21"/>
                <w:lang w:val="en-US" w:eastAsia="zh-CN"/>
              </w:rPr>
              <w:t>竞标</w:t>
            </w:r>
            <w:r>
              <w:rPr>
                <w:rFonts w:hint="eastAsia" w:ascii="宋体" w:hAnsi="宋体" w:cs="仿宋_GB2312"/>
                <w:kern w:val="0"/>
                <w:szCs w:val="21"/>
              </w:rPr>
              <w:t>办</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5.1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开标时间和地点</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ascii="宋体" w:hAnsi="宋体" w:cs="宋体"/>
                <w:kern w:val="0"/>
                <w:szCs w:val="21"/>
              </w:rPr>
            </w:pPr>
            <w:r>
              <w:rPr>
                <w:rFonts w:hint="eastAsia" w:ascii="宋体" w:hAnsi="宋体" w:cs="宋体"/>
                <w:kern w:val="0"/>
                <w:szCs w:val="21"/>
              </w:rPr>
              <w:t>开标时间：同投标截止时间</w:t>
            </w:r>
          </w:p>
          <w:p>
            <w:pPr>
              <w:autoSpaceDE w:val="0"/>
              <w:autoSpaceDN w:val="0"/>
              <w:adjustRightInd w:val="0"/>
              <w:spacing w:line="240" w:lineRule="auto"/>
              <w:rPr>
                <w:rFonts w:ascii="宋体" w:hAnsi="宋体"/>
                <w:kern w:val="0"/>
                <w:szCs w:val="21"/>
              </w:rPr>
            </w:pPr>
            <w:r>
              <w:rPr>
                <w:rFonts w:hint="eastAsia" w:ascii="宋体" w:hAnsi="宋体" w:cs="宋体"/>
                <w:kern w:val="0"/>
                <w:szCs w:val="21"/>
              </w:rPr>
              <w:t>开标地点：</w:t>
            </w:r>
            <w:r>
              <w:rPr>
                <w:rFonts w:hint="eastAsia" w:ascii="宋体" w:hAnsi="宋体" w:cs="仿宋_GB2312"/>
                <w:kern w:val="0"/>
                <w:szCs w:val="21"/>
              </w:rPr>
              <w:t>湖州南浔城投城市建设集团有限公司二楼开标室</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履约担保</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 xml:space="preserve">履约担保的形式：现金 </w:t>
            </w:r>
          </w:p>
        </w:tc>
      </w:tr>
      <w:tr>
        <w:tblPrEx>
          <w:tblCellMar>
            <w:top w:w="0" w:type="dxa"/>
            <w:left w:w="108" w:type="dxa"/>
            <w:bottom w:w="0" w:type="dxa"/>
            <w:right w:w="108" w:type="dxa"/>
          </w:tblCellMar>
        </w:tblPrEx>
        <w:trPr>
          <w:trHeight w:val="438"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履约担保的金额</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wordWrap w:val="0"/>
              <w:adjustRightInd w:val="0"/>
              <w:snapToGrid w:val="0"/>
              <w:spacing w:line="400" w:lineRule="exact"/>
              <w:jc w:val="left"/>
              <w:rPr>
                <w:rFonts w:ascii="宋体" w:hAnsi="宋体" w:cs="仿宋_GB2312"/>
                <w:kern w:val="0"/>
                <w:szCs w:val="21"/>
              </w:rPr>
            </w:pPr>
            <w:r>
              <w:rPr>
                <w:rFonts w:hint="eastAsia" w:ascii="宋体" w:hAnsi="宋体"/>
                <w:kern w:val="0"/>
                <w:szCs w:val="21"/>
              </w:rPr>
              <w:t xml:space="preserve">履约担保合同金额的 </w:t>
            </w:r>
            <w:r>
              <w:rPr>
                <w:rFonts w:hint="eastAsia" w:ascii="宋体" w:hAnsi="宋体"/>
                <w:color w:val="FF0000"/>
                <w:kern w:val="0"/>
                <w:szCs w:val="21"/>
                <w:u w:val="single"/>
              </w:rPr>
              <w:t xml:space="preserve">3 </w:t>
            </w:r>
            <w:r>
              <w:rPr>
                <w:rFonts w:ascii="宋体" w:hAnsi="宋体"/>
                <w:kern w:val="0"/>
                <w:szCs w:val="21"/>
              </w:rPr>
              <w:t>%</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农民工工资保证金</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wordWrap w:val="0"/>
              <w:adjustRightInd w:val="0"/>
              <w:snapToGrid w:val="0"/>
              <w:spacing w:line="400" w:lineRule="exact"/>
              <w:jc w:val="left"/>
              <w:rPr>
                <w:rFonts w:ascii="宋体" w:hAnsi="宋体" w:cs="仿宋_GB2312"/>
                <w:kern w:val="0"/>
                <w:szCs w:val="21"/>
              </w:rPr>
            </w:pPr>
            <w:r>
              <w:rPr>
                <w:rFonts w:hint="eastAsia" w:ascii="宋体" w:hAnsi="宋体"/>
                <w:kern w:val="0"/>
                <w:szCs w:val="21"/>
              </w:rPr>
              <w:t>合同金额的</w:t>
            </w:r>
            <w:r>
              <w:rPr>
                <w:rFonts w:hint="eastAsia" w:ascii="宋体" w:hAnsi="宋体"/>
                <w:color w:val="FF0000"/>
                <w:kern w:val="0"/>
                <w:szCs w:val="21"/>
                <w:u w:val="single"/>
              </w:rPr>
              <w:t xml:space="preserve"> 3 </w:t>
            </w:r>
            <w:r>
              <w:rPr>
                <w:rFonts w:ascii="宋体" w:hAnsi="宋体"/>
                <w:kern w:val="0"/>
                <w:szCs w:val="21"/>
              </w:rPr>
              <w:t>%</w:t>
            </w:r>
            <w:r>
              <w:rPr>
                <w:rFonts w:hint="eastAsia" w:ascii="宋体" w:hAnsi="宋体"/>
                <w:kern w:val="0"/>
                <w:szCs w:val="21"/>
              </w:rPr>
              <w:t>，</w:t>
            </w:r>
            <w:r>
              <w:rPr>
                <w:rFonts w:hint="eastAsia" w:ascii="宋体" w:hAnsi="宋体" w:cs="仿宋_GB2312"/>
                <w:kern w:val="0"/>
                <w:szCs w:val="21"/>
              </w:rPr>
              <w:t>农民工工资支付保证金必须现金缴纳 。</w:t>
            </w:r>
          </w:p>
        </w:tc>
      </w:tr>
    </w:tbl>
    <w:p>
      <w:pPr>
        <w:autoSpaceDE w:val="0"/>
        <w:autoSpaceDN w:val="0"/>
        <w:adjustRightInd w:val="0"/>
        <w:jc w:val="left"/>
        <w:rPr>
          <w:rFonts w:ascii="宋体" w:hAnsi="宋体" w:cs="TimesNewRomanPSMT"/>
          <w:b/>
          <w:kern w:val="0"/>
          <w:szCs w:val="21"/>
        </w:rPr>
      </w:pP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b/>
          <w:kern w:val="0"/>
          <w:szCs w:val="21"/>
        </w:rPr>
      </w:pPr>
      <w:r>
        <w:rPr>
          <w:rFonts w:ascii="宋体" w:hAnsi="宋体" w:cs="TimesNewRomanPSMT"/>
          <w:b/>
          <w:kern w:val="0"/>
          <w:szCs w:val="21"/>
        </w:rPr>
        <w:t xml:space="preserve">1. </w:t>
      </w:r>
      <w:r>
        <w:rPr>
          <w:rFonts w:hint="eastAsia" w:ascii="宋体" w:hAnsi="宋体" w:cs="黑体"/>
          <w:b/>
          <w:kern w:val="0"/>
          <w:szCs w:val="21"/>
        </w:rPr>
        <w:t>总则</w:t>
      </w:r>
    </w:p>
    <w:p>
      <w:pPr>
        <w:pStyle w:val="7"/>
        <w:keepNext w:val="0"/>
        <w:keepLines w:val="0"/>
        <w:pageBreakBefore w:val="0"/>
        <w:widowControl w:val="0"/>
        <w:kinsoku/>
        <w:wordWrap/>
        <w:overflowPunct/>
        <w:topLinePunct w:val="0"/>
        <w:bidi w:val="0"/>
        <w:spacing w:line="320" w:lineRule="exact"/>
      </w:pPr>
      <w:r>
        <w:rPr>
          <w:rFonts w:ascii="宋体" w:hAnsi="宋体" w:cs="TimesNewRomanPSMT"/>
          <w:kern w:val="0"/>
          <w:szCs w:val="21"/>
        </w:rPr>
        <w:t xml:space="preserve">1.1 </w:t>
      </w:r>
      <w:r>
        <w:rPr>
          <w:rFonts w:hint="eastAsia" w:ascii="宋体" w:hAnsi="宋体"/>
          <w:kern w:val="0"/>
          <w:szCs w:val="21"/>
        </w:rPr>
        <w:t xml:space="preserve">项目概况   </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 xml:space="preserve">1.1.1 </w:t>
      </w:r>
      <w:r>
        <w:rPr>
          <w:rFonts w:hint="eastAsia" w:ascii="宋体" w:hAnsi="宋体" w:cs="仿宋_GB2312"/>
          <w:kern w:val="0"/>
          <w:szCs w:val="21"/>
        </w:rPr>
        <w:t>根据《中华人民共和国招标投标法》等有关法律、法规和规章的规定，本招标项目已具备招标条件，现对本</w:t>
      </w:r>
      <w:r>
        <w:rPr>
          <w:rFonts w:hint="eastAsia" w:ascii="宋体" w:hAnsi="宋体" w:cs="仿宋_GB2312"/>
          <w:kern w:val="0"/>
          <w:szCs w:val="21"/>
          <w:lang w:val="en-US" w:eastAsia="zh-CN"/>
        </w:rPr>
        <w:t>项目</w:t>
      </w:r>
      <w:r>
        <w:rPr>
          <w:rFonts w:hint="eastAsia" w:ascii="宋体" w:hAnsi="宋体" w:cs="仿宋_GB2312"/>
          <w:kern w:val="0"/>
          <w:szCs w:val="21"/>
        </w:rPr>
        <w:t>施工分包进行招标。</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 xml:space="preserve">1.1.2 </w:t>
      </w:r>
      <w:r>
        <w:rPr>
          <w:rFonts w:hint="eastAsia" w:ascii="宋体" w:hAnsi="宋体" w:cs="仿宋_GB2312"/>
          <w:kern w:val="0"/>
          <w:szCs w:val="21"/>
        </w:rPr>
        <w:t>其余见投标人须知前附表。</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kern w:val="0"/>
          <w:szCs w:val="21"/>
        </w:rPr>
      </w:pPr>
      <w:r>
        <w:rPr>
          <w:rFonts w:ascii="宋体" w:hAnsi="宋体" w:cs="TimesNewRomanPSMT"/>
          <w:kern w:val="0"/>
          <w:szCs w:val="21"/>
        </w:rPr>
        <w:t>1.</w:t>
      </w:r>
      <w:r>
        <w:rPr>
          <w:rFonts w:hint="eastAsia" w:ascii="宋体" w:hAnsi="宋体" w:cs="TimesNewRomanPSMT"/>
          <w:kern w:val="0"/>
          <w:szCs w:val="21"/>
        </w:rPr>
        <w:t>2</w:t>
      </w:r>
      <w:r>
        <w:rPr>
          <w:rFonts w:hint="eastAsia" w:ascii="宋体" w:hAnsi="宋体" w:cs="黑体"/>
          <w:kern w:val="0"/>
          <w:szCs w:val="21"/>
        </w:rPr>
        <w:t>招标范围、计划工期和质量要求</w:t>
      </w:r>
      <w:r>
        <w:rPr>
          <w:rFonts w:hint="eastAsia" w:ascii="宋体" w:hAnsi="宋体" w:cs="仿宋_GB2312"/>
          <w:kern w:val="0"/>
          <w:szCs w:val="21"/>
        </w:rPr>
        <w:t>：见招标须知和投标人须知前附表。</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kern w:val="0"/>
          <w:szCs w:val="21"/>
        </w:rPr>
      </w:pPr>
      <w:r>
        <w:rPr>
          <w:rFonts w:ascii="宋体" w:hAnsi="宋体" w:cs="TimesNewRomanPSMT"/>
          <w:kern w:val="0"/>
          <w:szCs w:val="21"/>
        </w:rPr>
        <w:t>1.</w:t>
      </w:r>
      <w:r>
        <w:rPr>
          <w:rFonts w:hint="eastAsia" w:ascii="宋体" w:hAnsi="宋体" w:cs="TimesNewRomanPSMT"/>
          <w:kern w:val="0"/>
          <w:szCs w:val="21"/>
        </w:rPr>
        <w:t>3</w:t>
      </w:r>
      <w:r>
        <w:rPr>
          <w:rFonts w:hint="eastAsia" w:ascii="宋体" w:hAnsi="宋体" w:cs="黑体"/>
          <w:kern w:val="0"/>
          <w:szCs w:val="21"/>
        </w:rPr>
        <w:t>投标人资格要求</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3</w:t>
      </w:r>
      <w:r>
        <w:rPr>
          <w:rFonts w:ascii="宋体" w:hAnsi="宋体" w:cs="TimesNewRomanPSMT"/>
          <w:kern w:val="0"/>
          <w:szCs w:val="21"/>
        </w:rPr>
        <w:t xml:space="preserve">.1 </w:t>
      </w:r>
      <w:r>
        <w:rPr>
          <w:rFonts w:hint="eastAsia" w:ascii="宋体" w:hAnsi="宋体" w:cs="仿宋_GB2312"/>
          <w:kern w:val="0"/>
          <w:szCs w:val="21"/>
        </w:rPr>
        <w:t>投标人应具有本工程相应的资质条件，财务能力，相对应的业绩、信誉。</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3</w:t>
      </w:r>
      <w:r>
        <w:rPr>
          <w:rFonts w:ascii="宋体" w:hAnsi="宋体" w:cs="TimesNewRomanPSMT"/>
          <w:kern w:val="0"/>
          <w:szCs w:val="21"/>
        </w:rPr>
        <w:t xml:space="preserve">.2 </w:t>
      </w:r>
      <w:r>
        <w:rPr>
          <w:rFonts w:hint="eastAsia" w:ascii="宋体" w:hAnsi="宋体" w:cs="仿宋_GB2312"/>
          <w:kern w:val="0"/>
          <w:szCs w:val="21"/>
        </w:rPr>
        <w:t>投标人不得存在下列情形之一：</w:t>
      </w:r>
    </w:p>
    <w:p>
      <w:pPr>
        <w:keepNext w:val="0"/>
        <w:keepLines w:val="0"/>
        <w:pageBreakBefore w:val="0"/>
        <w:widowControl w:val="0"/>
        <w:numPr>
          <w:ilvl w:val="0"/>
          <w:numId w:val="1"/>
        </w:numPr>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hint="eastAsia" w:ascii="宋体" w:hAnsi="宋体" w:cs="仿宋_GB2312"/>
          <w:kern w:val="0"/>
          <w:szCs w:val="21"/>
        </w:rPr>
        <w:t>被责令停业的；（</w:t>
      </w:r>
      <w:r>
        <w:rPr>
          <w:rFonts w:ascii="宋体" w:hAnsi="宋体" w:cs="TimesNewRomanPSMT"/>
          <w:kern w:val="0"/>
          <w:szCs w:val="21"/>
        </w:rPr>
        <w:t>2</w:t>
      </w:r>
      <w:r>
        <w:rPr>
          <w:rFonts w:hint="eastAsia" w:ascii="宋体" w:hAnsi="宋体" w:cs="仿宋_GB2312"/>
          <w:kern w:val="0"/>
          <w:szCs w:val="21"/>
        </w:rPr>
        <w:t>）被暂停或取消投标资格的；（</w:t>
      </w:r>
      <w:r>
        <w:rPr>
          <w:rFonts w:ascii="宋体" w:hAnsi="宋体" w:cs="TimesNewRomanPSMT"/>
          <w:kern w:val="0"/>
          <w:szCs w:val="21"/>
        </w:rPr>
        <w:t>3</w:t>
      </w:r>
      <w:r>
        <w:rPr>
          <w:rFonts w:hint="eastAsia" w:ascii="宋体" w:hAnsi="宋体" w:cs="仿宋_GB2312"/>
          <w:kern w:val="0"/>
          <w:szCs w:val="21"/>
        </w:rPr>
        <w:t>）财产被接管或冻结的；（</w:t>
      </w:r>
      <w:r>
        <w:rPr>
          <w:rFonts w:ascii="宋体" w:hAnsi="宋体" w:cs="TimesNewRomanPSMT"/>
          <w:kern w:val="0"/>
          <w:szCs w:val="21"/>
        </w:rPr>
        <w:t>4</w:t>
      </w:r>
      <w:r>
        <w:rPr>
          <w:rFonts w:hint="eastAsia" w:ascii="宋体" w:hAnsi="宋体" w:cs="仿宋_GB2312"/>
          <w:kern w:val="0"/>
          <w:szCs w:val="21"/>
        </w:rPr>
        <w:t>）在最近三年内有骗取中标或严重违约或重大工程质量问题的；(5)被列入城投城市建设集团分包商“黑名单”的。</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4</w:t>
      </w:r>
      <w:r>
        <w:rPr>
          <w:rFonts w:hint="eastAsia" w:ascii="宋体" w:hAnsi="宋体" w:cs="黑体"/>
          <w:kern w:val="0"/>
          <w:szCs w:val="21"/>
        </w:rPr>
        <w:t>费用承担：（1）</w:t>
      </w:r>
      <w:r>
        <w:rPr>
          <w:rFonts w:hint="eastAsia" w:ascii="宋体" w:hAnsi="宋体" w:cs="仿宋_GB2312"/>
          <w:kern w:val="0"/>
          <w:szCs w:val="21"/>
        </w:rPr>
        <w:t>投标人准备和参加投标活动发生的费用自理；（2）投标保证金</w:t>
      </w:r>
      <w:r>
        <w:rPr>
          <w:rFonts w:hint="eastAsia" w:ascii="宋体" w:hAnsi="宋体" w:cs="仿宋_GB2312"/>
          <w:kern w:val="0"/>
          <w:szCs w:val="21"/>
          <w:lang w:val="en-US" w:eastAsia="zh-CN"/>
        </w:rPr>
        <w:t>/</w:t>
      </w:r>
      <w:r>
        <w:rPr>
          <w:rFonts w:hint="eastAsia" w:ascii="宋体" w:hAnsi="宋体" w:cs="仿宋_GB2312"/>
          <w:kern w:val="0"/>
          <w:szCs w:val="21"/>
        </w:rPr>
        <w:t>万元（大写金额</w:t>
      </w:r>
      <w:r>
        <w:rPr>
          <w:rFonts w:hint="eastAsia" w:ascii="宋体" w:hAnsi="宋体" w:cs="仿宋_GB2312"/>
          <w:kern w:val="0"/>
          <w:szCs w:val="21"/>
          <w:lang w:val="en-US" w:eastAsia="zh-CN"/>
        </w:rPr>
        <w:t>/</w:t>
      </w:r>
      <w:r>
        <w:rPr>
          <w:rFonts w:hint="eastAsia" w:ascii="宋体" w:hAnsi="宋体" w:cs="仿宋_GB2312"/>
          <w:kern w:val="0"/>
          <w:szCs w:val="21"/>
        </w:rPr>
        <w:t>万元）；（3）清单漏项或者描述不精确视为已包含在总价中。</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5</w:t>
      </w:r>
      <w:r>
        <w:rPr>
          <w:rFonts w:hint="eastAsia" w:ascii="宋体" w:hAnsi="宋体" w:cs="黑体"/>
          <w:kern w:val="0"/>
          <w:szCs w:val="21"/>
        </w:rPr>
        <w:t>保密：</w:t>
      </w:r>
      <w:r>
        <w:rPr>
          <w:rFonts w:hint="eastAsia" w:ascii="宋体" w:hAnsi="宋体" w:cs="仿宋_GB2312"/>
          <w:kern w:val="0"/>
          <w:szCs w:val="21"/>
        </w:rPr>
        <w:t>参与招标投标活动的各方应对招标文件和投标文件中的商业和技术等秘密保密，违者应对由此造成的后果承担法律责任。</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6</w:t>
      </w:r>
      <w:r>
        <w:rPr>
          <w:rFonts w:hint="eastAsia" w:ascii="宋体" w:hAnsi="宋体" w:cs="黑体"/>
          <w:kern w:val="0"/>
          <w:szCs w:val="21"/>
        </w:rPr>
        <w:t>语言文字：</w:t>
      </w:r>
      <w:r>
        <w:rPr>
          <w:rFonts w:hint="eastAsia" w:ascii="宋体" w:hAnsi="宋体" w:cs="仿宋_GB2312"/>
          <w:kern w:val="0"/>
          <w:szCs w:val="21"/>
        </w:rPr>
        <w:t>除专用术语外，与招标投标有关的语言均使用中文。必要时专用术语应附有中文注释。</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7</w:t>
      </w:r>
      <w:r>
        <w:rPr>
          <w:rFonts w:hint="eastAsia" w:ascii="宋体" w:hAnsi="宋体" w:cs="黑体"/>
          <w:kern w:val="0"/>
          <w:szCs w:val="21"/>
        </w:rPr>
        <w:t>计量单位：</w:t>
      </w:r>
      <w:r>
        <w:rPr>
          <w:rFonts w:hint="eastAsia" w:ascii="宋体" w:hAnsi="宋体" w:cs="仿宋_GB2312"/>
          <w:kern w:val="0"/>
          <w:szCs w:val="21"/>
        </w:rPr>
        <w:t>所有计量均采用中华人民共和国法定计量单位。</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kern w:val="0"/>
          <w:szCs w:val="21"/>
        </w:rPr>
      </w:pPr>
      <w:r>
        <w:rPr>
          <w:rFonts w:ascii="宋体" w:hAnsi="宋体" w:cs="TimesNewRomanPSMT"/>
          <w:kern w:val="0"/>
          <w:szCs w:val="21"/>
        </w:rPr>
        <w:t>1.</w:t>
      </w:r>
      <w:r>
        <w:rPr>
          <w:rFonts w:hint="eastAsia" w:ascii="宋体" w:hAnsi="宋体" w:cs="TimesNewRomanPSMT"/>
          <w:kern w:val="0"/>
          <w:szCs w:val="21"/>
        </w:rPr>
        <w:t>8</w:t>
      </w:r>
      <w:r>
        <w:rPr>
          <w:rFonts w:hint="eastAsia" w:ascii="宋体" w:hAnsi="宋体" w:cs="黑体"/>
          <w:kern w:val="0"/>
          <w:szCs w:val="21"/>
        </w:rPr>
        <w:t>踏勘现场</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8</w:t>
      </w:r>
      <w:r>
        <w:rPr>
          <w:rFonts w:ascii="宋体" w:hAnsi="宋体" w:cs="TimesNewRomanPSMT"/>
          <w:kern w:val="0"/>
          <w:szCs w:val="21"/>
        </w:rPr>
        <w:t xml:space="preserve">.1 </w:t>
      </w:r>
      <w:r>
        <w:rPr>
          <w:rFonts w:hint="eastAsia" w:ascii="宋体" w:hAnsi="宋体" w:cs="TimesNewRomanPSMT"/>
          <w:kern w:val="0"/>
          <w:szCs w:val="21"/>
        </w:rPr>
        <w:t>本项目不</w:t>
      </w:r>
      <w:r>
        <w:rPr>
          <w:rFonts w:hint="eastAsia" w:ascii="宋体" w:hAnsi="宋体" w:cs="仿宋_GB2312"/>
          <w:kern w:val="0"/>
          <w:szCs w:val="21"/>
        </w:rPr>
        <w:t>组织踏勘现场。</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8</w:t>
      </w:r>
      <w:r>
        <w:rPr>
          <w:rFonts w:ascii="宋体" w:hAnsi="宋体" w:cs="TimesNewRomanPSMT"/>
          <w:kern w:val="0"/>
          <w:szCs w:val="21"/>
        </w:rPr>
        <w:t>.</w:t>
      </w:r>
      <w:r>
        <w:rPr>
          <w:rFonts w:hint="eastAsia" w:ascii="宋体" w:hAnsi="宋体" w:cs="TimesNewRomanPSMT"/>
          <w:kern w:val="0"/>
          <w:szCs w:val="21"/>
        </w:rPr>
        <w:t xml:space="preserve">2 </w:t>
      </w:r>
      <w:r>
        <w:rPr>
          <w:rFonts w:hint="eastAsia" w:ascii="宋体" w:hAnsi="宋体" w:cs="仿宋_GB2312"/>
          <w:kern w:val="0"/>
          <w:szCs w:val="21"/>
        </w:rPr>
        <w:t>除招标人的原因外，投标人自行负责在踏勘现场中所发生的人员伤亡和财产损失。</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8</w:t>
      </w:r>
      <w:r>
        <w:rPr>
          <w:rFonts w:ascii="宋体" w:hAnsi="宋体" w:cs="TimesNewRomanPSMT"/>
          <w:kern w:val="0"/>
          <w:szCs w:val="21"/>
        </w:rPr>
        <w:t>.</w:t>
      </w:r>
      <w:r>
        <w:rPr>
          <w:rFonts w:hint="eastAsia" w:ascii="宋体" w:hAnsi="宋体" w:cs="TimesNewRomanPSMT"/>
          <w:kern w:val="0"/>
          <w:szCs w:val="21"/>
        </w:rPr>
        <w:t>3</w:t>
      </w:r>
      <w:r>
        <w:rPr>
          <w:rFonts w:ascii="宋体" w:hAnsi="宋体" w:cs="TimesNewRomanPSMT"/>
          <w:kern w:val="0"/>
          <w:szCs w:val="21"/>
        </w:rPr>
        <w:t xml:space="preserve"> </w:t>
      </w:r>
      <w:r>
        <w:rPr>
          <w:rFonts w:hint="eastAsia" w:ascii="宋体" w:hAnsi="宋体" w:cs="仿宋_GB2312"/>
          <w:kern w:val="0"/>
          <w:szCs w:val="21"/>
        </w:rPr>
        <w:t>招标人在踏勘现场中介绍的工程场地和相关的周边环境情况，供投标人在编制投标文件时参考，招标人不对投标人据此作出的判断和决策负责。</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TimesNewRomanPSMT"/>
          <w:kern w:val="0"/>
          <w:szCs w:val="21"/>
        </w:rPr>
      </w:pPr>
      <w:r>
        <w:rPr>
          <w:rFonts w:ascii="宋体" w:hAnsi="宋体" w:cs="TimesNewRomanPSMT"/>
          <w:kern w:val="0"/>
          <w:szCs w:val="21"/>
        </w:rPr>
        <w:t>1.</w:t>
      </w:r>
      <w:r>
        <w:rPr>
          <w:rFonts w:hint="eastAsia" w:ascii="宋体" w:hAnsi="宋体" w:cs="TimesNewRomanPSMT"/>
          <w:kern w:val="0"/>
          <w:szCs w:val="21"/>
        </w:rPr>
        <w:t>9 中标人负责对现场机械进行保护和维修。</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10</w:t>
      </w:r>
      <w:r>
        <w:rPr>
          <w:rFonts w:hint="eastAsia" w:ascii="宋体" w:hAnsi="宋体" w:cs="黑体"/>
          <w:kern w:val="0"/>
          <w:szCs w:val="21"/>
        </w:rPr>
        <w:t>转包：本</w:t>
      </w:r>
      <w:r>
        <w:rPr>
          <w:rFonts w:hint="eastAsia" w:ascii="宋体" w:hAnsi="宋体" w:cs="仿宋_GB2312"/>
          <w:kern w:val="0"/>
          <w:szCs w:val="21"/>
        </w:rPr>
        <w:t>工程不得转包。</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b/>
          <w:kern w:val="0"/>
          <w:szCs w:val="21"/>
        </w:rPr>
      </w:pPr>
      <w:r>
        <w:rPr>
          <w:rFonts w:ascii="宋体" w:hAnsi="宋体" w:cs="TimesNewRomanPSMT"/>
          <w:b/>
          <w:kern w:val="0"/>
          <w:szCs w:val="21"/>
        </w:rPr>
        <w:t xml:space="preserve">2. </w:t>
      </w:r>
      <w:r>
        <w:rPr>
          <w:rFonts w:hint="eastAsia" w:ascii="宋体" w:hAnsi="宋体" w:cs="黑体"/>
          <w:b/>
          <w:kern w:val="0"/>
          <w:szCs w:val="21"/>
        </w:rPr>
        <w:t>招标文件</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kern w:val="0"/>
          <w:szCs w:val="21"/>
        </w:rPr>
      </w:pPr>
      <w:r>
        <w:rPr>
          <w:rFonts w:ascii="宋体" w:hAnsi="宋体" w:cs="TimesNewRomanPSMT"/>
          <w:kern w:val="0"/>
          <w:szCs w:val="21"/>
        </w:rPr>
        <w:t xml:space="preserve">2.1 </w:t>
      </w:r>
      <w:r>
        <w:rPr>
          <w:rFonts w:hint="eastAsia" w:ascii="宋体" w:hAnsi="宋体" w:cs="黑体"/>
          <w:kern w:val="0"/>
          <w:szCs w:val="21"/>
        </w:rPr>
        <w:t>招标文件的组成</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color w:val="FF0000"/>
          <w:kern w:val="0"/>
          <w:szCs w:val="21"/>
        </w:rPr>
      </w:pPr>
      <w:r>
        <w:rPr>
          <w:rFonts w:hint="eastAsia" w:ascii="宋体" w:hAnsi="宋体" w:cs="仿宋_GB2312"/>
          <w:color w:val="FF0000"/>
          <w:kern w:val="0"/>
          <w:szCs w:val="21"/>
        </w:rPr>
        <w:t>本招标文件包括：（</w:t>
      </w:r>
      <w:r>
        <w:rPr>
          <w:rFonts w:ascii="宋体" w:hAnsi="宋体" w:cs="TimesNewRomanPSMT"/>
          <w:color w:val="FF0000"/>
          <w:kern w:val="0"/>
          <w:szCs w:val="21"/>
        </w:rPr>
        <w:t>1</w:t>
      </w:r>
      <w:r>
        <w:rPr>
          <w:rFonts w:hint="eastAsia" w:ascii="宋体" w:hAnsi="宋体" w:cs="仿宋_GB2312"/>
          <w:color w:val="FF0000"/>
          <w:kern w:val="0"/>
          <w:szCs w:val="21"/>
        </w:rPr>
        <w:t>）招标须知；（</w:t>
      </w:r>
      <w:r>
        <w:rPr>
          <w:rFonts w:ascii="宋体" w:hAnsi="宋体" w:cs="TimesNewRomanPSMT"/>
          <w:color w:val="FF0000"/>
          <w:kern w:val="0"/>
          <w:szCs w:val="21"/>
        </w:rPr>
        <w:t>2</w:t>
      </w:r>
      <w:r>
        <w:rPr>
          <w:rFonts w:hint="eastAsia" w:ascii="宋体" w:hAnsi="宋体" w:cs="仿宋_GB2312"/>
          <w:color w:val="FF0000"/>
          <w:kern w:val="0"/>
          <w:szCs w:val="21"/>
        </w:rPr>
        <w:t>）投标人须知；（</w:t>
      </w:r>
      <w:r>
        <w:rPr>
          <w:rFonts w:ascii="宋体" w:hAnsi="宋体" w:cs="TimesNewRomanPSMT"/>
          <w:color w:val="FF0000"/>
          <w:kern w:val="0"/>
          <w:szCs w:val="21"/>
        </w:rPr>
        <w:t>3</w:t>
      </w:r>
      <w:r>
        <w:rPr>
          <w:rFonts w:hint="eastAsia" w:ascii="宋体" w:hAnsi="宋体" w:cs="仿宋_GB2312"/>
          <w:color w:val="FF0000"/>
          <w:kern w:val="0"/>
          <w:szCs w:val="21"/>
        </w:rPr>
        <w:t>）评标办法；（</w:t>
      </w:r>
      <w:r>
        <w:rPr>
          <w:rFonts w:ascii="宋体" w:hAnsi="宋体" w:cs="TimesNewRomanPSMT"/>
          <w:color w:val="FF0000"/>
          <w:kern w:val="0"/>
          <w:szCs w:val="21"/>
        </w:rPr>
        <w:t>4</w:t>
      </w:r>
      <w:r>
        <w:rPr>
          <w:rFonts w:hint="eastAsia" w:ascii="宋体" w:hAnsi="宋体" w:cs="仿宋_GB2312"/>
          <w:color w:val="FF0000"/>
          <w:kern w:val="0"/>
          <w:szCs w:val="21"/>
        </w:rPr>
        <w:t>）合同条款及格式；（</w:t>
      </w:r>
      <w:r>
        <w:rPr>
          <w:rFonts w:ascii="宋体" w:hAnsi="宋体" w:cs="TimesNewRomanPSMT"/>
          <w:color w:val="FF0000"/>
          <w:kern w:val="0"/>
          <w:szCs w:val="21"/>
        </w:rPr>
        <w:t>5</w:t>
      </w:r>
      <w:r>
        <w:rPr>
          <w:rFonts w:hint="eastAsia" w:ascii="宋体" w:hAnsi="宋体" w:cs="仿宋_GB2312"/>
          <w:color w:val="FF0000"/>
          <w:kern w:val="0"/>
          <w:szCs w:val="21"/>
        </w:rPr>
        <w:t>）报价取费标准；（</w:t>
      </w:r>
      <w:r>
        <w:rPr>
          <w:rFonts w:hint="eastAsia" w:ascii="宋体" w:hAnsi="宋体" w:cs="TimesNewRomanPSMT"/>
          <w:color w:val="FF0000"/>
          <w:kern w:val="0"/>
          <w:szCs w:val="21"/>
          <w:lang w:val="en-US" w:eastAsia="zh-CN"/>
        </w:rPr>
        <w:t>6</w:t>
      </w:r>
      <w:r>
        <w:rPr>
          <w:rFonts w:hint="eastAsia" w:ascii="宋体" w:hAnsi="宋体" w:cs="仿宋_GB2312"/>
          <w:color w:val="FF0000"/>
          <w:kern w:val="0"/>
          <w:szCs w:val="21"/>
        </w:rPr>
        <w:t>）</w:t>
      </w:r>
      <w:r>
        <w:rPr>
          <w:rFonts w:hint="eastAsia" w:ascii="宋体" w:hAnsi="宋体" w:cs="仿宋_GB2312"/>
          <w:color w:val="FF0000"/>
          <w:kern w:val="0"/>
          <w:szCs w:val="21"/>
          <w:lang w:val="en-US" w:eastAsia="zh-CN"/>
        </w:rPr>
        <w:t>施工图；（7）</w:t>
      </w:r>
      <w:r>
        <w:rPr>
          <w:rFonts w:hint="eastAsia" w:ascii="宋体" w:hAnsi="宋体" w:cs="仿宋_GB2312"/>
          <w:color w:val="FF0000"/>
          <w:kern w:val="0"/>
          <w:szCs w:val="21"/>
        </w:rPr>
        <w:t>技术标准和要求；（</w:t>
      </w:r>
      <w:r>
        <w:rPr>
          <w:rFonts w:hint="eastAsia" w:ascii="宋体" w:hAnsi="宋体" w:cs="仿宋_GB2312"/>
          <w:color w:val="FF0000"/>
          <w:kern w:val="0"/>
          <w:szCs w:val="21"/>
          <w:lang w:val="en-US" w:eastAsia="zh-CN"/>
        </w:rPr>
        <w:t>8</w:t>
      </w:r>
      <w:r>
        <w:rPr>
          <w:rFonts w:hint="eastAsia" w:ascii="宋体" w:hAnsi="宋体" w:cs="仿宋_GB2312"/>
          <w:color w:val="FF0000"/>
          <w:kern w:val="0"/>
          <w:szCs w:val="21"/>
        </w:rPr>
        <w:t>）投标文件格式；（</w:t>
      </w:r>
      <w:r>
        <w:rPr>
          <w:rFonts w:hint="eastAsia" w:ascii="宋体" w:hAnsi="宋体" w:cs="仿宋_GB2312"/>
          <w:color w:val="FF0000"/>
          <w:kern w:val="0"/>
          <w:szCs w:val="21"/>
          <w:lang w:val="en-US" w:eastAsia="zh-CN"/>
        </w:rPr>
        <w:t>9</w:t>
      </w:r>
      <w:r>
        <w:rPr>
          <w:rFonts w:hint="eastAsia" w:ascii="宋体" w:hAnsi="宋体" w:cs="仿宋_GB2312"/>
          <w:color w:val="FF0000"/>
          <w:kern w:val="0"/>
          <w:szCs w:val="21"/>
        </w:rPr>
        <w:t>）投标人须知前附表规定的其他材料。对招标文件所作的澄清、修改，构成招标文件的组成部分。</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kern w:val="0"/>
          <w:szCs w:val="21"/>
        </w:rPr>
      </w:pPr>
      <w:r>
        <w:rPr>
          <w:rFonts w:ascii="宋体" w:hAnsi="宋体" w:cs="TimesNewRomanPSMT"/>
          <w:kern w:val="0"/>
          <w:szCs w:val="21"/>
        </w:rPr>
        <w:t xml:space="preserve">2.2 </w:t>
      </w:r>
      <w:r>
        <w:rPr>
          <w:rFonts w:hint="eastAsia" w:ascii="宋体" w:hAnsi="宋体" w:cs="黑体"/>
          <w:kern w:val="0"/>
          <w:szCs w:val="21"/>
        </w:rPr>
        <w:t>招标文件的澄清</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hint="eastAsia" w:ascii="宋体" w:hAnsi="宋体" w:cs="仿宋_GB2312"/>
          <w:kern w:val="0"/>
          <w:szCs w:val="21"/>
        </w:rPr>
        <w:t>投标人应仔细阅读和检查招标文件的全部内容。如发现缺页或附件不全，应及时向招标人提出，以便补齐。如有疑问，应在投标截止时间前以书面形式（包括信函、电报、传真等可以有形地表现所载内容的形式，下同），要求招标人对招标文件予以澄清。</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kern w:val="0"/>
          <w:szCs w:val="21"/>
        </w:rPr>
      </w:pPr>
      <w:r>
        <w:rPr>
          <w:rFonts w:ascii="宋体" w:hAnsi="宋体" w:cs="TimesNewRomanPSMT"/>
          <w:kern w:val="0"/>
          <w:szCs w:val="21"/>
        </w:rPr>
        <w:t xml:space="preserve">2.3 </w:t>
      </w:r>
      <w:r>
        <w:rPr>
          <w:rFonts w:hint="eastAsia" w:ascii="宋体" w:hAnsi="宋体" w:cs="黑体"/>
          <w:kern w:val="0"/>
          <w:szCs w:val="21"/>
        </w:rPr>
        <w:t>招标文件的修改</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hint="eastAsia" w:ascii="宋体" w:hAnsi="宋体" w:cs="仿宋_GB2312"/>
          <w:kern w:val="0"/>
          <w:szCs w:val="21"/>
        </w:rPr>
        <w:t>在投标截止时间前，招标人可以书面形式修改招标文件，并通知所有的投标人。</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b/>
          <w:kern w:val="0"/>
          <w:szCs w:val="21"/>
        </w:rPr>
      </w:pPr>
      <w:r>
        <w:rPr>
          <w:rFonts w:ascii="宋体" w:hAnsi="宋体" w:cs="TimesNewRomanPSMT"/>
          <w:b/>
          <w:kern w:val="0"/>
          <w:szCs w:val="21"/>
        </w:rPr>
        <w:t xml:space="preserve">3. </w:t>
      </w:r>
      <w:r>
        <w:rPr>
          <w:rFonts w:hint="eastAsia" w:ascii="宋体" w:hAnsi="宋体" w:cs="黑体"/>
          <w:b/>
          <w:kern w:val="0"/>
          <w:szCs w:val="21"/>
        </w:rPr>
        <w:t>投标文件</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kern w:val="0"/>
          <w:szCs w:val="21"/>
        </w:rPr>
      </w:pPr>
      <w:r>
        <w:rPr>
          <w:rFonts w:ascii="宋体" w:hAnsi="宋体" w:cs="TimesNewRomanPSMT"/>
          <w:kern w:val="0"/>
          <w:szCs w:val="21"/>
        </w:rPr>
        <w:t xml:space="preserve">3.1 </w:t>
      </w:r>
      <w:r>
        <w:rPr>
          <w:rFonts w:hint="eastAsia" w:ascii="宋体" w:hAnsi="宋体" w:cs="黑体"/>
          <w:kern w:val="0"/>
          <w:szCs w:val="21"/>
        </w:rPr>
        <w:t>投标文件的组成</w:t>
      </w:r>
    </w:p>
    <w:p>
      <w:pPr>
        <w:keepNext w:val="0"/>
        <w:keepLines w:val="0"/>
        <w:pageBreakBefore w:val="0"/>
        <w:widowControl w:val="0"/>
        <w:kinsoku/>
        <w:wordWrap/>
        <w:overflowPunct/>
        <w:topLinePunct w:val="0"/>
        <w:autoSpaceDE w:val="0"/>
        <w:autoSpaceDN w:val="0"/>
        <w:bidi w:val="0"/>
        <w:adjustRightInd w:val="0"/>
        <w:spacing w:line="320" w:lineRule="exact"/>
        <w:jc w:val="left"/>
        <w:rPr>
          <w:rFonts w:hint="eastAsia" w:ascii="宋体" w:hAnsi="宋体" w:cs="仿宋_GB2312"/>
          <w:kern w:val="0"/>
          <w:szCs w:val="21"/>
        </w:rPr>
      </w:pPr>
      <w:r>
        <w:rPr>
          <w:rFonts w:hint="eastAsia" w:ascii="宋体" w:hAnsi="宋体" w:cs="仿宋_GB2312"/>
          <w:kern w:val="0"/>
          <w:szCs w:val="21"/>
        </w:rPr>
        <w:t>3.1.1 投标文件应包括下列内容：《投标函》、《法人授权委托书》、</w:t>
      </w:r>
      <w:r>
        <w:rPr>
          <w:rFonts w:hint="eastAsia" w:ascii="宋体" w:hAnsi="宋体" w:cs="仿宋_GB2312"/>
          <w:kern w:val="0"/>
          <w:szCs w:val="21"/>
          <w:lang w:eastAsia="zh-CN"/>
        </w:rPr>
        <w:t>《</w:t>
      </w:r>
      <w:r>
        <w:rPr>
          <w:rFonts w:hint="eastAsia" w:ascii="宋体" w:hAnsi="宋体" w:cs="仿宋_GB2312"/>
          <w:kern w:val="0"/>
          <w:szCs w:val="21"/>
          <w:lang w:val="en-US" w:eastAsia="zh-CN"/>
        </w:rPr>
        <w:t>营业执照</w:t>
      </w:r>
      <w:r>
        <w:rPr>
          <w:rFonts w:hint="eastAsia" w:ascii="宋体" w:hAnsi="宋体" w:cs="仿宋_GB2312"/>
          <w:kern w:val="0"/>
          <w:szCs w:val="21"/>
          <w:lang w:eastAsia="zh-CN"/>
        </w:rPr>
        <w:t>》、《</w:t>
      </w:r>
      <w:r>
        <w:rPr>
          <w:rFonts w:hint="eastAsia" w:ascii="宋体" w:hAnsi="宋体" w:cs="仿宋_GB2312"/>
          <w:kern w:val="0"/>
          <w:szCs w:val="21"/>
          <w:lang w:val="en-US" w:eastAsia="zh-CN"/>
        </w:rPr>
        <w:t>承诺函</w:t>
      </w:r>
      <w:r>
        <w:rPr>
          <w:rFonts w:hint="eastAsia" w:ascii="宋体" w:hAnsi="宋体" w:cs="仿宋_GB2312"/>
          <w:kern w:val="0"/>
          <w:szCs w:val="21"/>
          <w:lang w:eastAsia="zh-CN"/>
        </w:rPr>
        <w:t>》、</w:t>
      </w:r>
      <w:r>
        <w:rPr>
          <w:rFonts w:hint="eastAsia" w:ascii="宋体" w:hAnsi="宋体" w:cs="仿宋_GB2312"/>
          <w:kern w:val="0"/>
          <w:szCs w:val="21"/>
        </w:rPr>
        <w:t>《分包项目管理人员表》、《项目管理组织机构》</w:t>
      </w:r>
      <w:r>
        <w:rPr>
          <w:rFonts w:hint="eastAsia" w:ascii="宋体" w:hAnsi="宋体" w:cs="仿宋_GB2312"/>
          <w:kern w:val="0"/>
          <w:szCs w:val="21"/>
          <w:lang w:eastAsia="zh-CN"/>
        </w:rPr>
        <w:t>、</w:t>
      </w:r>
      <w:r>
        <w:rPr>
          <w:rFonts w:hint="eastAsia" w:ascii="宋体" w:hAnsi="宋体" w:cs="仿宋_GB2312"/>
          <w:kern w:val="0"/>
          <w:szCs w:val="21"/>
          <w:lang w:val="en-US" w:eastAsia="zh-CN"/>
        </w:rPr>
        <w:t>《</w:t>
      </w:r>
      <w:r>
        <w:rPr>
          <w:rFonts w:hint="eastAsia" w:ascii="宋体" w:hAnsi="宋体" w:cs="仿宋_GB2312"/>
          <w:kern w:val="0"/>
          <w:szCs w:val="21"/>
        </w:rPr>
        <w:t>施工组织设计</w:t>
      </w:r>
      <w:r>
        <w:rPr>
          <w:rFonts w:hint="eastAsia" w:ascii="宋体" w:hAnsi="宋体" w:cs="仿宋_GB2312"/>
          <w:kern w:val="0"/>
          <w:szCs w:val="21"/>
          <w:lang w:val="en-US" w:eastAsia="zh-CN"/>
        </w:rPr>
        <w:t>》</w:t>
      </w:r>
      <w:r>
        <w:rPr>
          <w:rFonts w:hint="eastAsia" w:ascii="宋体" w:hAnsi="宋体" w:cs="仿宋_GB2312"/>
          <w:kern w:val="0"/>
          <w:szCs w:val="21"/>
          <w:lang w:eastAsia="zh-CN"/>
        </w:rPr>
        <w:t>、</w:t>
      </w:r>
      <w:r>
        <w:rPr>
          <w:rFonts w:hint="eastAsia" w:ascii="宋体" w:hAnsi="宋体" w:cs="仿宋_GB2312"/>
          <w:kern w:val="0"/>
          <w:szCs w:val="21"/>
          <w:lang w:val="en-US" w:eastAsia="zh-CN"/>
        </w:rPr>
        <w:t>《</w:t>
      </w:r>
      <w:r>
        <w:rPr>
          <w:rFonts w:hint="eastAsia" w:ascii="宋体" w:hAnsi="宋体" w:cs="仿宋_GB2312"/>
          <w:kern w:val="0"/>
          <w:szCs w:val="21"/>
        </w:rPr>
        <w:t>重难点关键工程的施工方案</w:t>
      </w:r>
      <w:r>
        <w:rPr>
          <w:rFonts w:hint="eastAsia" w:ascii="宋体" w:hAnsi="宋体" w:cs="仿宋_GB2312"/>
          <w:kern w:val="0"/>
          <w:szCs w:val="21"/>
          <w:lang w:val="en-US" w:eastAsia="zh-CN"/>
        </w:rPr>
        <w:t>》</w:t>
      </w:r>
      <w:r>
        <w:rPr>
          <w:rFonts w:hint="eastAsia" w:ascii="宋体" w:hAnsi="宋体" w:cs="仿宋_GB2312"/>
          <w:kern w:val="0"/>
          <w:szCs w:val="21"/>
          <w:lang w:eastAsia="zh-CN"/>
        </w:rPr>
        <w:t>、</w:t>
      </w:r>
      <w:r>
        <w:rPr>
          <w:rFonts w:hint="eastAsia" w:ascii="宋体" w:hAnsi="宋体" w:cs="仿宋_GB2312"/>
          <w:kern w:val="0"/>
          <w:szCs w:val="21"/>
          <w:lang w:val="en-US" w:eastAsia="zh-CN"/>
        </w:rPr>
        <w:t>《</w:t>
      </w:r>
      <w:r>
        <w:rPr>
          <w:rFonts w:hint="eastAsia" w:ascii="宋体" w:hAnsi="宋体" w:cs="仿宋_GB2312"/>
          <w:kern w:val="0"/>
          <w:szCs w:val="21"/>
        </w:rPr>
        <w:t>质量安全进度保障方案</w:t>
      </w:r>
      <w:r>
        <w:rPr>
          <w:rFonts w:hint="eastAsia" w:ascii="宋体" w:hAnsi="宋体" w:cs="仿宋_GB2312"/>
          <w:kern w:val="0"/>
          <w:szCs w:val="21"/>
          <w:lang w:val="en-US" w:eastAsia="zh-CN"/>
        </w:rPr>
        <w:t>》、《</w:t>
      </w:r>
      <w:r>
        <w:rPr>
          <w:rFonts w:hint="eastAsia" w:ascii="宋体" w:hAnsi="宋体" w:cs="仿宋_GB2312"/>
          <w:kern w:val="0"/>
          <w:szCs w:val="21"/>
        </w:rPr>
        <w:t>信誉及业绩评价</w:t>
      </w:r>
      <w:r>
        <w:rPr>
          <w:rFonts w:hint="eastAsia" w:ascii="宋体" w:hAnsi="宋体" w:cs="仿宋_GB2312"/>
          <w:kern w:val="0"/>
          <w:szCs w:val="21"/>
          <w:lang w:val="en-US" w:eastAsia="zh-CN"/>
        </w:rPr>
        <w:t>》</w:t>
      </w:r>
      <w:r>
        <w:rPr>
          <w:rFonts w:hint="eastAsia" w:ascii="宋体" w:hAnsi="宋体" w:cs="仿宋_GB2312"/>
          <w:kern w:val="0"/>
          <w:szCs w:val="21"/>
        </w:rPr>
        <w:t>，分包项目管理人员名单附相对应人员的有效证件。</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kern w:val="0"/>
          <w:szCs w:val="21"/>
        </w:rPr>
      </w:pPr>
      <w:r>
        <w:rPr>
          <w:rFonts w:ascii="宋体" w:hAnsi="宋体" w:cs="TimesNewRomanPSMT"/>
          <w:kern w:val="0"/>
          <w:szCs w:val="21"/>
        </w:rPr>
        <w:t xml:space="preserve">3.2 </w:t>
      </w:r>
      <w:r>
        <w:rPr>
          <w:rFonts w:hint="eastAsia" w:ascii="宋体" w:hAnsi="宋体" w:cs="黑体"/>
          <w:kern w:val="0"/>
          <w:szCs w:val="21"/>
        </w:rPr>
        <w:t>投标报价</w:t>
      </w:r>
    </w:p>
    <w:p>
      <w:pPr>
        <w:keepNext w:val="0"/>
        <w:keepLines w:val="0"/>
        <w:pageBreakBefore w:val="0"/>
        <w:widowControl w:val="0"/>
        <w:kinsoku/>
        <w:wordWrap/>
        <w:overflowPunct/>
        <w:topLinePunct w:val="0"/>
        <w:bidi w:val="0"/>
        <w:adjustRightInd w:val="0"/>
        <w:snapToGrid w:val="0"/>
        <w:spacing w:line="320" w:lineRule="exact"/>
        <w:rPr>
          <w:rFonts w:hint="eastAsia" w:ascii="宋体" w:hAnsi="宋体" w:cs="仿宋_GB2312"/>
          <w:kern w:val="0"/>
          <w:szCs w:val="21"/>
        </w:rPr>
      </w:pPr>
      <w:r>
        <w:rPr>
          <w:rFonts w:ascii="宋体" w:hAnsi="宋体" w:cs="TimesNewRomanPSMT"/>
          <w:kern w:val="0"/>
          <w:szCs w:val="21"/>
        </w:rPr>
        <w:t xml:space="preserve">3.2.1 </w:t>
      </w:r>
      <w:r>
        <w:rPr>
          <w:rFonts w:hint="eastAsia" w:ascii="宋体" w:hAnsi="宋体" w:cs="仿宋_GB2312"/>
          <w:kern w:val="0"/>
          <w:szCs w:val="21"/>
        </w:rPr>
        <w:t>投标人应自行取得的施工现场情况及招标人对于质量、工期、安全、环保等各方面要求。</w:t>
      </w:r>
    </w:p>
    <w:p>
      <w:pPr>
        <w:keepNext w:val="0"/>
        <w:keepLines w:val="0"/>
        <w:pageBreakBefore w:val="0"/>
        <w:widowControl w:val="0"/>
        <w:kinsoku/>
        <w:wordWrap/>
        <w:overflowPunct/>
        <w:topLinePunct w:val="0"/>
        <w:bidi w:val="0"/>
        <w:adjustRightInd w:val="0"/>
        <w:snapToGrid w:val="0"/>
        <w:spacing w:line="320" w:lineRule="exact"/>
        <w:rPr>
          <w:rFonts w:hint="eastAsia" w:ascii="宋体" w:hAnsi="宋体" w:cs="仿宋_GB2312"/>
          <w:kern w:val="0"/>
          <w:szCs w:val="21"/>
          <w:u w:val="none"/>
        </w:rPr>
      </w:pPr>
      <w:r>
        <w:rPr>
          <w:rFonts w:hint="eastAsia" w:ascii="宋体" w:hAnsi="宋体" w:cs="仿宋_GB2312"/>
          <w:kern w:val="0"/>
          <w:szCs w:val="21"/>
          <w:u w:val="none"/>
        </w:rPr>
        <w:t>3.2.</w:t>
      </w:r>
      <w:r>
        <w:rPr>
          <w:rFonts w:hint="eastAsia" w:ascii="宋体" w:hAnsi="宋体" w:cs="仿宋_GB2312"/>
          <w:kern w:val="0"/>
          <w:szCs w:val="21"/>
          <w:u w:val="none"/>
          <w:lang w:val="en-US" w:eastAsia="zh-CN"/>
        </w:rPr>
        <w:t>2</w:t>
      </w:r>
      <w:r>
        <w:rPr>
          <w:rFonts w:hint="eastAsia" w:ascii="宋体" w:hAnsi="宋体" w:cs="仿宋_GB2312"/>
          <w:kern w:val="0"/>
          <w:szCs w:val="21"/>
          <w:u w:val="none"/>
        </w:rPr>
        <w:t xml:space="preserve"> </w:t>
      </w:r>
      <w:r>
        <w:rPr>
          <w:rFonts w:hint="eastAsia" w:ascii="宋体" w:hAnsi="宋体" w:cs="仿宋_GB2312"/>
          <w:kern w:val="0"/>
          <w:szCs w:val="21"/>
          <w:u w:val="none"/>
          <w:lang w:val="en-US" w:eastAsia="zh-CN"/>
        </w:rPr>
        <w:t>招标人提供工程量清单时，</w:t>
      </w:r>
      <w:r>
        <w:rPr>
          <w:rFonts w:hint="eastAsia" w:ascii="宋体" w:hAnsi="宋体" w:cs="仿宋_GB2312"/>
          <w:kern w:val="0"/>
          <w:szCs w:val="21"/>
          <w:u w:val="none"/>
        </w:rPr>
        <w:t>投标人应按</w:t>
      </w:r>
      <w:r>
        <w:rPr>
          <w:rFonts w:hint="eastAsia" w:ascii="宋体" w:hAnsi="宋体" w:cs="仿宋_GB2312"/>
          <w:kern w:val="0"/>
          <w:szCs w:val="21"/>
          <w:u w:val="none"/>
        </w:rPr>
        <w:fldChar w:fldCharType="begin"/>
      </w:r>
      <w:r>
        <w:rPr>
          <w:rFonts w:hint="eastAsia" w:ascii="宋体" w:hAnsi="宋体" w:cs="仿宋_GB2312"/>
          <w:kern w:val="0"/>
          <w:szCs w:val="21"/>
          <w:u w:val="none"/>
        </w:rPr>
        <w:instrText xml:space="preserve"> HYPERLINK \l "第五章工程量清单" </w:instrText>
      </w:r>
      <w:r>
        <w:rPr>
          <w:rFonts w:hint="eastAsia" w:ascii="宋体" w:hAnsi="宋体" w:cs="仿宋_GB2312"/>
          <w:kern w:val="0"/>
          <w:szCs w:val="21"/>
          <w:u w:val="none"/>
        </w:rPr>
        <w:fldChar w:fldCharType="separate"/>
      </w:r>
      <w:r>
        <w:rPr>
          <w:rFonts w:hint="eastAsia" w:ascii="宋体" w:hAnsi="宋体" w:cs="仿宋_GB2312"/>
          <w:kern w:val="0"/>
          <w:szCs w:val="21"/>
          <w:u w:val="none"/>
          <w:lang w:val="en-US" w:eastAsia="zh-CN"/>
        </w:rPr>
        <w:t>招标人提供的</w:t>
      </w:r>
      <w:r>
        <w:rPr>
          <w:rFonts w:hint="eastAsia" w:ascii="宋体" w:hAnsi="宋体" w:cs="仿宋_GB2312"/>
          <w:kern w:val="0"/>
          <w:szCs w:val="21"/>
          <w:u w:val="none"/>
        </w:rPr>
        <w:t>“工程量清单”</w:t>
      </w:r>
      <w:r>
        <w:rPr>
          <w:rFonts w:hint="eastAsia" w:ascii="宋体" w:hAnsi="宋体" w:cs="仿宋_GB2312"/>
          <w:kern w:val="0"/>
          <w:szCs w:val="21"/>
          <w:u w:val="none"/>
        </w:rPr>
        <w:fldChar w:fldCharType="end"/>
      </w:r>
      <w:r>
        <w:rPr>
          <w:rFonts w:hint="eastAsia" w:ascii="宋体" w:hAnsi="宋体" w:cs="仿宋_GB2312"/>
          <w:kern w:val="0"/>
          <w:szCs w:val="21"/>
          <w:u w:val="none"/>
          <w:lang w:val="en-US" w:eastAsia="zh-CN"/>
        </w:rPr>
        <w:t>里</w:t>
      </w:r>
      <w:r>
        <w:rPr>
          <w:rFonts w:hint="eastAsia" w:ascii="宋体" w:hAnsi="宋体" w:cs="仿宋_GB2312"/>
          <w:kern w:val="0"/>
          <w:szCs w:val="21"/>
          <w:u w:val="none"/>
        </w:rPr>
        <w:t>的</w:t>
      </w:r>
      <w:r>
        <w:rPr>
          <w:rFonts w:hint="eastAsia" w:ascii="宋体" w:hAnsi="宋体" w:cs="仿宋_GB2312"/>
          <w:kern w:val="0"/>
          <w:szCs w:val="21"/>
          <w:u w:val="none"/>
          <w:lang w:val="en-US" w:eastAsia="zh-CN"/>
        </w:rPr>
        <w:t>内容</w:t>
      </w:r>
      <w:r>
        <w:rPr>
          <w:rFonts w:hint="eastAsia" w:ascii="宋体" w:hAnsi="宋体" w:cs="仿宋_GB2312"/>
          <w:kern w:val="0"/>
          <w:szCs w:val="21"/>
          <w:u w:val="none"/>
        </w:rPr>
        <w:t>采用《浙江省建设工程计价规则》2018版规定格式</w:t>
      </w:r>
      <w:r>
        <w:rPr>
          <w:rFonts w:hint="eastAsia" w:ascii="宋体" w:hAnsi="宋体" w:cs="仿宋_GB2312"/>
          <w:kern w:val="0"/>
          <w:szCs w:val="21"/>
          <w:u w:val="none"/>
          <w:lang w:val="en-US" w:eastAsia="zh-CN"/>
        </w:rPr>
        <w:t>进行报价</w:t>
      </w:r>
      <w:bookmarkStart w:id="45" w:name="_GoBack"/>
      <w:bookmarkEnd w:id="45"/>
      <w:r>
        <w:rPr>
          <w:rFonts w:hint="eastAsia" w:ascii="宋体" w:hAnsi="宋体" w:cs="仿宋_GB2312"/>
          <w:kern w:val="0"/>
          <w:szCs w:val="21"/>
          <w:u w:val="none"/>
        </w:rPr>
        <w:t>。</w:t>
      </w:r>
    </w:p>
    <w:p>
      <w:pPr>
        <w:keepNext w:val="0"/>
        <w:keepLines w:val="0"/>
        <w:pageBreakBefore w:val="0"/>
        <w:widowControl w:val="0"/>
        <w:kinsoku/>
        <w:wordWrap/>
        <w:overflowPunct/>
        <w:topLinePunct w:val="0"/>
        <w:bidi w:val="0"/>
        <w:adjustRightInd w:val="0"/>
        <w:snapToGrid w:val="0"/>
        <w:spacing w:line="320" w:lineRule="exact"/>
        <w:rPr>
          <w:rFonts w:hint="eastAsia" w:ascii="宋体" w:hAnsi="宋体" w:cs="仿宋_GB2312"/>
          <w:kern w:val="0"/>
          <w:szCs w:val="21"/>
          <w:u w:val="none"/>
        </w:rPr>
      </w:pPr>
      <w:bookmarkStart w:id="2" w:name="第二章第323项"/>
      <w:r>
        <w:rPr>
          <w:rFonts w:hint="eastAsia" w:ascii="宋体" w:hAnsi="宋体" w:cs="仿宋_GB2312"/>
          <w:kern w:val="0"/>
          <w:szCs w:val="21"/>
          <w:u w:val="none"/>
        </w:rPr>
        <w:t>3.2.3</w:t>
      </w:r>
      <w:bookmarkEnd w:id="2"/>
      <w:r>
        <w:rPr>
          <w:rFonts w:hint="eastAsia" w:ascii="宋体" w:hAnsi="宋体" w:cs="仿宋_GB2312"/>
          <w:kern w:val="0"/>
          <w:szCs w:val="21"/>
          <w:u w:val="none"/>
        </w:rPr>
        <w:t xml:space="preserve"> 招标人设有最高投标限价的，投标人的投标报价不得超过最高投标限价，</w:t>
      </w:r>
    </w:p>
    <w:p>
      <w:pPr>
        <w:keepNext w:val="0"/>
        <w:keepLines w:val="0"/>
        <w:pageBreakBefore w:val="0"/>
        <w:widowControl w:val="0"/>
        <w:kinsoku/>
        <w:wordWrap/>
        <w:overflowPunct/>
        <w:topLinePunct w:val="0"/>
        <w:bidi w:val="0"/>
        <w:adjustRightInd w:val="0"/>
        <w:snapToGrid w:val="0"/>
        <w:spacing w:line="320" w:lineRule="exact"/>
        <w:rPr>
          <w:rFonts w:ascii="宋体" w:hAnsi="宋体"/>
          <w:b/>
          <w:szCs w:val="21"/>
          <w:u w:val="single"/>
        </w:rPr>
      </w:pPr>
      <w:r>
        <w:rPr>
          <w:rFonts w:ascii="宋体" w:hAnsi="宋体" w:cs="仿宋_GB2312"/>
          <w:kern w:val="0"/>
          <w:szCs w:val="21"/>
        </w:rPr>
        <w:t>3.2.</w:t>
      </w:r>
      <w:r>
        <w:rPr>
          <w:rFonts w:hint="eastAsia" w:ascii="宋体" w:hAnsi="宋体" w:cs="仿宋_GB2312"/>
          <w:kern w:val="0"/>
          <w:szCs w:val="21"/>
          <w:lang w:val="en-US" w:eastAsia="zh-CN"/>
        </w:rPr>
        <w:t>4</w:t>
      </w:r>
      <w:r>
        <w:rPr>
          <w:rFonts w:ascii="宋体" w:hAnsi="宋体" w:cs="仿宋_GB2312"/>
          <w:kern w:val="0"/>
          <w:szCs w:val="21"/>
        </w:rPr>
        <w:t xml:space="preserve"> </w:t>
      </w:r>
      <w:r>
        <w:rPr>
          <w:rFonts w:hint="eastAsia" w:ascii="宋体" w:hAnsi="宋体" w:cs="仿宋_GB2312"/>
          <w:kern w:val="0"/>
          <w:szCs w:val="21"/>
        </w:rPr>
        <w:t>报价范围：报价范围：</w:t>
      </w:r>
      <w:r>
        <w:rPr>
          <w:rFonts w:hint="eastAsia" w:ascii="宋体" w:hAnsi="宋体" w:cs="仿宋_GB2312"/>
          <w:kern w:val="0"/>
          <w:szCs w:val="21"/>
          <w:u w:val="single"/>
        </w:rPr>
        <w:t>包含但不限于：综合单价包括但不限于设计优化费、人工费、材料费、材料之任何市场浮动与价差、机械费、材料搭接、损耗费、机械进出场费、台班费、管理费、利润、临建设施费、水电费、施工措施费、环境保护费、办理通行证费、环保证费、周边社会关系协调费、沿路清扫费、与其他分包人协调配合、按照国家及地方有关行政部门标准要求或规定进行的测试检验、送样样品费用及送样产生的相关费用、包施工过程中资料整理及完整的竣工资料、满足国家规定的安全文明措施费用、及一切上缴政府部门各类规费和税金及其他政策性调整费用等所有分包人所要完成施工内容的全部费用，且充分考虑一切施工因素和风险、意外事件或不可抗力风险。综合单价在合同期间亦不会因包括但不限于市场价格变动、税率/汇率浮动、保险政策变更或任何政府部门发布的调价文件要求而调整，分包人不得以任何理由要求增加任何费用。</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仿宋_GB2312"/>
          <w:kern w:val="0"/>
          <w:szCs w:val="21"/>
        </w:rPr>
        <w:t xml:space="preserve">3.3 </w:t>
      </w:r>
      <w:r>
        <w:rPr>
          <w:rFonts w:hint="eastAsia" w:ascii="宋体" w:hAnsi="宋体" w:cs="仿宋_GB2312"/>
          <w:kern w:val="0"/>
          <w:szCs w:val="21"/>
        </w:rPr>
        <w:t>投标有效期</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 xml:space="preserve">3.3.1 </w:t>
      </w:r>
      <w:r>
        <w:rPr>
          <w:rFonts w:hint="eastAsia" w:ascii="宋体" w:hAnsi="宋体" w:cs="仿宋_GB2312"/>
          <w:kern w:val="0"/>
          <w:szCs w:val="21"/>
        </w:rPr>
        <w:t>在投标人须知前附表规定的投标有效期内，投标人不得要求撤销或修改其投标文件。</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 xml:space="preserve">3.3.2 </w:t>
      </w:r>
      <w:r>
        <w:rPr>
          <w:rFonts w:hint="eastAsia" w:ascii="宋体" w:hAnsi="宋体" w:cs="仿宋_GB2312"/>
          <w:kern w:val="0"/>
          <w:szCs w:val="21"/>
        </w:rPr>
        <w:t>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kern w:val="0"/>
          <w:szCs w:val="21"/>
        </w:rPr>
      </w:pPr>
      <w:r>
        <w:rPr>
          <w:rFonts w:ascii="宋体" w:hAnsi="宋体" w:cs="TimesNewRomanPSMT"/>
          <w:kern w:val="0"/>
          <w:szCs w:val="21"/>
        </w:rPr>
        <w:t xml:space="preserve">3.4 </w:t>
      </w:r>
      <w:r>
        <w:rPr>
          <w:rFonts w:hint="eastAsia" w:ascii="宋体" w:hAnsi="宋体" w:cs="黑体"/>
          <w:kern w:val="0"/>
          <w:szCs w:val="21"/>
        </w:rPr>
        <w:t>投标保证金</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cs="仿宋_GB2312"/>
          <w:kern w:val="0"/>
          <w:szCs w:val="21"/>
        </w:rPr>
      </w:pPr>
      <w:r>
        <w:rPr>
          <w:rFonts w:ascii="宋体" w:hAnsi="宋体" w:cs="TimesNewRomanPSMT"/>
          <w:kern w:val="0"/>
          <w:szCs w:val="21"/>
        </w:rPr>
        <w:t xml:space="preserve">3.4.1 </w:t>
      </w:r>
      <w:r>
        <w:rPr>
          <w:rFonts w:hint="eastAsia" w:ascii="宋体" w:hAnsi="宋体" w:cs="仿宋_GB2312"/>
          <w:kern w:val="0"/>
          <w:szCs w:val="21"/>
        </w:rPr>
        <w:t>本次招标收取投标保证金</w:t>
      </w:r>
      <w:r>
        <w:rPr>
          <w:rFonts w:hint="eastAsia" w:ascii="宋体" w:hAnsi="宋体" w:cs="仿宋_GB2312"/>
          <w:kern w:val="0"/>
          <w:szCs w:val="21"/>
          <w:lang w:val="en-US" w:eastAsia="zh-CN"/>
        </w:rPr>
        <w:t>/</w:t>
      </w:r>
      <w:r>
        <w:rPr>
          <w:rFonts w:hint="eastAsia" w:ascii="宋体" w:hAnsi="宋体" w:cs="仿宋_GB2312"/>
          <w:b/>
          <w:bCs/>
          <w:color w:val="FF0000"/>
          <w:kern w:val="0"/>
          <w:szCs w:val="21"/>
          <w:highlight w:val="yellow"/>
          <w:u w:val="single"/>
        </w:rPr>
        <w:t>万</w:t>
      </w:r>
      <w:r>
        <w:rPr>
          <w:rFonts w:hint="eastAsia" w:ascii="宋体" w:hAnsi="宋体" w:cs="仿宋_GB2312"/>
          <w:b/>
          <w:bCs/>
          <w:kern w:val="0"/>
          <w:szCs w:val="21"/>
          <w:highlight w:val="yellow"/>
        </w:rPr>
        <w:t>元</w:t>
      </w:r>
      <w:r>
        <w:rPr>
          <w:rFonts w:hint="eastAsia" w:ascii="宋体" w:hAnsi="宋体" w:cs="仿宋_GB2312"/>
          <w:kern w:val="0"/>
          <w:szCs w:val="21"/>
        </w:rPr>
        <w:t>（</w:t>
      </w:r>
      <w:r>
        <w:rPr>
          <w:rFonts w:hint="eastAsia" w:ascii="宋体" w:hAnsi="宋体"/>
          <w:kern w:val="0"/>
          <w:szCs w:val="21"/>
        </w:rPr>
        <w:t>大写金额：</w:t>
      </w:r>
      <w:r>
        <w:rPr>
          <w:rFonts w:hint="eastAsia" w:ascii="宋体" w:hAnsi="宋体"/>
          <w:color w:val="FF0000"/>
          <w:kern w:val="0"/>
          <w:szCs w:val="21"/>
          <w:u w:val="single"/>
          <w:lang w:val="en-US" w:eastAsia="zh-CN"/>
        </w:rPr>
        <w:t>/</w:t>
      </w:r>
      <w:r>
        <w:rPr>
          <w:rFonts w:hint="eastAsia" w:ascii="宋体" w:hAnsi="宋体"/>
          <w:color w:val="FF0000"/>
          <w:kern w:val="0"/>
          <w:szCs w:val="21"/>
          <w:u w:val="single"/>
        </w:rPr>
        <w:t>万圆</w:t>
      </w:r>
      <w:r>
        <w:rPr>
          <w:rFonts w:hint="eastAsia" w:ascii="宋体" w:hAnsi="宋体"/>
          <w:color w:val="FF0000"/>
          <w:kern w:val="0"/>
          <w:szCs w:val="21"/>
        </w:rPr>
        <w:t>整</w:t>
      </w:r>
      <w:r>
        <w:rPr>
          <w:rFonts w:hint="eastAsia" w:ascii="宋体" w:hAnsi="宋体"/>
          <w:kern w:val="0"/>
          <w:szCs w:val="21"/>
        </w:rPr>
        <w:t xml:space="preserve"> </w:t>
      </w:r>
      <w:r>
        <w:rPr>
          <w:rFonts w:hint="eastAsia" w:ascii="宋体" w:hAnsi="宋体" w:cs="仿宋_GB2312"/>
          <w:kern w:val="0"/>
          <w:szCs w:val="21"/>
        </w:rPr>
        <w:t>）。</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hint="eastAsia" w:ascii="宋体" w:hAnsi="宋体" w:cs="仿宋_GB2312"/>
          <w:kern w:val="0"/>
          <w:szCs w:val="21"/>
        </w:rPr>
        <w:t>投标人在领取招标文件的同时，应按投标人须知前附表的规定递交投标保证金，并作为其投标文件的组成部分。</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 xml:space="preserve">3.4.2 </w:t>
      </w:r>
      <w:r>
        <w:rPr>
          <w:rFonts w:hint="eastAsia" w:ascii="宋体" w:hAnsi="宋体" w:cs="仿宋_GB2312"/>
          <w:kern w:val="0"/>
          <w:szCs w:val="21"/>
        </w:rPr>
        <w:t>投标人不按要求提交投标保证金的，其投标文件作废标处理。</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TimesNewRomanPSMT"/>
          <w:kern w:val="0"/>
          <w:szCs w:val="21"/>
        </w:rPr>
      </w:pPr>
      <w:r>
        <w:rPr>
          <w:rFonts w:ascii="宋体" w:hAnsi="宋体" w:cs="TimesNewRomanPSMT"/>
          <w:kern w:val="0"/>
          <w:szCs w:val="21"/>
        </w:rPr>
        <w:t xml:space="preserve">3.4.3 </w:t>
      </w:r>
      <w:r>
        <w:rPr>
          <w:rFonts w:hint="eastAsia" w:ascii="宋体" w:hAnsi="宋体" w:cs="TimesNewRomanPSMT"/>
          <w:kern w:val="0"/>
          <w:szCs w:val="21"/>
        </w:rPr>
        <w:t>退还投标保证金流程：未中标单位和中标单位需填写《投标保证金退还声明》，再由招标业务人员根据未中标单位和中标单位返还流程的相关规定返还至分包商缴纳投标保证金的账号。</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 xml:space="preserve">3.4.4 </w:t>
      </w:r>
      <w:r>
        <w:rPr>
          <w:rFonts w:hint="eastAsia" w:ascii="宋体" w:hAnsi="宋体" w:cs="仿宋_GB2312"/>
          <w:kern w:val="0"/>
          <w:szCs w:val="21"/>
        </w:rPr>
        <w:t>有下列情形之一的，投标保证金将不予退还：</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hint="eastAsia" w:ascii="宋体" w:hAnsi="宋体" w:cs="仿宋_GB2312"/>
          <w:kern w:val="0"/>
          <w:szCs w:val="21"/>
        </w:rPr>
        <w:t>（</w:t>
      </w:r>
      <w:r>
        <w:rPr>
          <w:rFonts w:ascii="宋体" w:hAnsi="宋体" w:cs="TimesNewRomanPSMT"/>
          <w:kern w:val="0"/>
          <w:szCs w:val="21"/>
        </w:rPr>
        <w:t>1</w:t>
      </w:r>
      <w:r>
        <w:rPr>
          <w:rFonts w:hint="eastAsia" w:ascii="宋体" w:hAnsi="宋体" w:cs="仿宋_GB2312"/>
          <w:kern w:val="0"/>
          <w:szCs w:val="21"/>
        </w:rPr>
        <w:t>）投标人在规定的投标有效期内撤销或修改其投标文件；</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hint="eastAsia" w:ascii="宋体" w:hAnsi="宋体" w:cs="仿宋_GB2312"/>
          <w:kern w:val="0"/>
          <w:szCs w:val="21"/>
        </w:rPr>
        <w:t>（</w:t>
      </w:r>
      <w:r>
        <w:rPr>
          <w:rFonts w:ascii="宋体" w:hAnsi="宋体" w:cs="TimesNewRomanPSMT"/>
          <w:kern w:val="0"/>
          <w:szCs w:val="21"/>
        </w:rPr>
        <w:t>2</w:t>
      </w:r>
      <w:r>
        <w:rPr>
          <w:rFonts w:hint="eastAsia" w:ascii="宋体" w:hAnsi="宋体" w:cs="仿宋_GB2312"/>
          <w:kern w:val="0"/>
          <w:szCs w:val="21"/>
        </w:rPr>
        <w:t>）中标人在收到中标通知书后，无正当理由拒签合同协议书或未按招标文件规定提交履约担保。</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kern w:val="0"/>
          <w:szCs w:val="21"/>
        </w:rPr>
      </w:pPr>
      <w:r>
        <w:rPr>
          <w:rFonts w:ascii="宋体" w:hAnsi="宋体" w:cs="TimesNewRomanPSMT"/>
          <w:kern w:val="0"/>
          <w:szCs w:val="21"/>
        </w:rPr>
        <w:t>3.</w:t>
      </w:r>
      <w:r>
        <w:rPr>
          <w:rFonts w:hint="eastAsia" w:ascii="宋体" w:hAnsi="宋体" w:cs="TimesNewRomanPSMT"/>
          <w:kern w:val="0"/>
          <w:szCs w:val="21"/>
        </w:rPr>
        <w:t>5</w:t>
      </w:r>
      <w:r>
        <w:rPr>
          <w:rFonts w:hint="eastAsia" w:ascii="宋体" w:hAnsi="宋体" w:cs="黑体"/>
          <w:kern w:val="0"/>
          <w:szCs w:val="21"/>
        </w:rPr>
        <w:t>投标文件的编制</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3.</w:t>
      </w:r>
      <w:r>
        <w:rPr>
          <w:rFonts w:hint="eastAsia" w:ascii="宋体" w:hAnsi="宋体" w:cs="TimesNewRomanPSMT"/>
          <w:kern w:val="0"/>
          <w:szCs w:val="21"/>
        </w:rPr>
        <w:t>5</w:t>
      </w:r>
      <w:r>
        <w:rPr>
          <w:rFonts w:ascii="宋体" w:hAnsi="宋体" w:cs="TimesNewRomanPSMT"/>
          <w:kern w:val="0"/>
          <w:szCs w:val="21"/>
        </w:rPr>
        <w:t xml:space="preserve">.1 </w:t>
      </w:r>
      <w:r>
        <w:rPr>
          <w:rFonts w:hint="eastAsia" w:ascii="宋体" w:hAnsi="宋体" w:cs="仿宋_GB2312"/>
          <w:kern w:val="0"/>
          <w:szCs w:val="21"/>
        </w:rPr>
        <w:t>投标文件应按 “投标文件格式”进行编写，如有必要，可以增加附页，作为投标文件的组成部分。其中，投标函附录在满足招标文件实质性要求的基础上，可以提出比招标文件要求更有利于招标人的承诺。</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3.</w:t>
      </w:r>
      <w:r>
        <w:rPr>
          <w:rFonts w:hint="eastAsia" w:ascii="宋体" w:hAnsi="宋体" w:cs="TimesNewRomanPSMT"/>
          <w:kern w:val="0"/>
          <w:szCs w:val="21"/>
        </w:rPr>
        <w:t>5</w:t>
      </w:r>
      <w:r>
        <w:rPr>
          <w:rFonts w:ascii="宋体" w:hAnsi="宋体" w:cs="TimesNewRomanPSMT"/>
          <w:kern w:val="0"/>
          <w:szCs w:val="21"/>
        </w:rPr>
        <w:t xml:space="preserve">.2 </w:t>
      </w:r>
      <w:r>
        <w:rPr>
          <w:rFonts w:hint="eastAsia" w:ascii="宋体" w:hAnsi="宋体" w:cs="仿宋_GB2312"/>
          <w:kern w:val="0"/>
          <w:szCs w:val="21"/>
        </w:rPr>
        <w:t>投标文件应当对招标文件有关工期、投标有效期、质量要求、技术标准和要求、招标范围等实质性内容作出响应。</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仿宋_GB2312"/>
          <w:kern w:val="0"/>
          <w:szCs w:val="21"/>
        </w:rPr>
        <w:t>3.</w:t>
      </w:r>
      <w:r>
        <w:rPr>
          <w:rFonts w:hint="eastAsia" w:ascii="宋体" w:hAnsi="宋体" w:cs="仿宋_GB2312"/>
          <w:kern w:val="0"/>
          <w:szCs w:val="21"/>
        </w:rPr>
        <w:t>5</w:t>
      </w:r>
      <w:r>
        <w:rPr>
          <w:rFonts w:ascii="宋体" w:hAnsi="宋体" w:cs="仿宋_GB2312"/>
          <w:kern w:val="0"/>
          <w:szCs w:val="21"/>
        </w:rPr>
        <w:t>.3</w:t>
      </w:r>
      <w:r>
        <w:rPr>
          <w:rFonts w:hint="eastAsia" w:ascii="宋体" w:hAnsi="宋体" w:cs="仿宋_GB2312"/>
          <w:kern w:val="0"/>
          <w:szCs w:val="21"/>
        </w:rPr>
        <w:t xml:space="preserve"> 投标文件应用不褪色的材料书写或打印，并由投标人的法定代表人或其委托代理人签字及盖单位章。委托代理人签字的，投标文件应附法定代表人签署的授权委托书。投标文件应尽量避免涂改、行间插字或删除。如果出现上述情况，改动之处应加盖单位章或由投标人的法定代表人或其授权的代理人签字确认。</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TimesNewRomanPSMT"/>
          <w:kern w:val="0"/>
          <w:szCs w:val="21"/>
        </w:rPr>
      </w:pPr>
      <w:r>
        <w:rPr>
          <w:rFonts w:ascii="宋体" w:hAnsi="宋体" w:cs="TimesNewRomanPSMT"/>
          <w:kern w:val="0"/>
          <w:szCs w:val="21"/>
        </w:rPr>
        <w:t>3.</w:t>
      </w:r>
      <w:r>
        <w:rPr>
          <w:rFonts w:hint="eastAsia" w:ascii="宋体" w:hAnsi="宋体" w:cs="TimesNewRomanPSMT"/>
          <w:kern w:val="0"/>
          <w:szCs w:val="21"/>
        </w:rPr>
        <w:t>5</w:t>
      </w:r>
      <w:r>
        <w:rPr>
          <w:rFonts w:ascii="宋体" w:hAnsi="宋体" w:cs="TimesNewRomanPSMT"/>
          <w:kern w:val="0"/>
          <w:szCs w:val="21"/>
        </w:rPr>
        <w:t>.</w:t>
      </w:r>
      <w:r>
        <w:rPr>
          <w:rFonts w:hint="eastAsia" w:ascii="宋体" w:hAnsi="宋体" w:cs="TimesNewRomanPSMT"/>
          <w:kern w:val="0"/>
          <w:szCs w:val="21"/>
        </w:rPr>
        <w:t>4 投标清单的综合单价须按要求的格式填入到对应的清单中，并填写报价说明。</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TimesNewRomanPSMT"/>
          <w:kern w:val="0"/>
          <w:szCs w:val="21"/>
        </w:rPr>
      </w:pPr>
      <w:r>
        <w:rPr>
          <w:rFonts w:hint="eastAsia" w:ascii="宋体" w:hAnsi="宋体" w:cs="TimesNewRomanPSMT"/>
          <w:kern w:val="0"/>
          <w:szCs w:val="21"/>
        </w:rPr>
        <w:t>3.5.5 工程量清单及综合单位分析表与投标文件一起装的成册。</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b/>
          <w:kern w:val="0"/>
          <w:szCs w:val="21"/>
        </w:rPr>
      </w:pPr>
      <w:r>
        <w:rPr>
          <w:rFonts w:ascii="宋体" w:hAnsi="宋体" w:cs="TimesNewRomanPSMT"/>
          <w:b/>
          <w:kern w:val="0"/>
          <w:szCs w:val="21"/>
        </w:rPr>
        <w:t xml:space="preserve">4. </w:t>
      </w:r>
      <w:r>
        <w:rPr>
          <w:rFonts w:hint="eastAsia" w:ascii="宋体" w:hAnsi="宋体" w:cs="黑体"/>
          <w:b/>
          <w:kern w:val="0"/>
          <w:szCs w:val="21"/>
        </w:rPr>
        <w:t>投标</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kern w:val="0"/>
          <w:szCs w:val="21"/>
        </w:rPr>
      </w:pPr>
      <w:r>
        <w:rPr>
          <w:rFonts w:ascii="宋体" w:hAnsi="宋体" w:cs="仿宋_GB2312"/>
          <w:kern w:val="0"/>
          <w:szCs w:val="21"/>
        </w:rPr>
        <w:t>4.</w:t>
      </w:r>
      <w:r>
        <w:rPr>
          <w:rFonts w:hint="eastAsia" w:ascii="宋体" w:hAnsi="宋体" w:cs="仿宋_GB2312"/>
          <w:kern w:val="0"/>
          <w:szCs w:val="21"/>
        </w:rPr>
        <w:t>2.1</w:t>
      </w:r>
      <w:r>
        <w:rPr>
          <w:rFonts w:hint="eastAsia" w:ascii="宋体" w:hAnsi="宋体" w:cs="黑体"/>
          <w:kern w:val="0"/>
          <w:szCs w:val="21"/>
        </w:rPr>
        <w:t>投标文件的递交：请在投标截止日期之前递交投标文件，逾期未提交投标文件的后果自负。</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4.2.</w:t>
      </w:r>
      <w:r>
        <w:rPr>
          <w:rFonts w:hint="eastAsia" w:ascii="宋体" w:hAnsi="宋体" w:cs="TimesNewRomanPSMT"/>
          <w:kern w:val="0"/>
          <w:szCs w:val="21"/>
        </w:rPr>
        <w:t xml:space="preserve">2 </w:t>
      </w:r>
      <w:r>
        <w:rPr>
          <w:rFonts w:hint="eastAsia" w:ascii="宋体" w:hAnsi="宋体" w:cs="仿宋_GB2312"/>
          <w:kern w:val="0"/>
          <w:szCs w:val="21"/>
        </w:rPr>
        <w:t>逾期送达的或者未送达指定地点的投标文件，招标人不予受理。</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TimesNewRomanPSMT"/>
          <w:kern w:val="0"/>
          <w:szCs w:val="21"/>
        </w:rPr>
      </w:pPr>
      <w:r>
        <w:rPr>
          <w:rFonts w:ascii="宋体" w:hAnsi="宋体" w:cs="TimesNewRomanPSMT"/>
          <w:kern w:val="0"/>
          <w:szCs w:val="21"/>
        </w:rPr>
        <w:t>4.2.</w:t>
      </w:r>
      <w:r>
        <w:rPr>
          <w:rFonts w:hint="eastAsia" w:ascii="宋体" w:hAnsi="宋体" w:cs="TimesNewRomanPSMT"/>
          <w:kern w:val="0"/>
          <w:szCs w:val="21"/>
        </w:rPr>
        <w:t>3投标文件的保密：各单位递交的投标文件在投标截止时间之前处于完全密封状态，只有到开标时间后方可开标、评标。</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b/>
          <w:kern w:val="0"/>
          <w:szCs w:val="21"/>
        </w:rPr>
      </w:pPr>
      <w:r>
        <w:rPr>
          <w:rFonts w:ascii="宋体" w:hAnsi="宋体" w:cs="TimesNewRomanPSMT"/>
          <w:b/>
          <w:kern w:val="0"/>
          <w:szCs w:val="21"/>
        </w:rPr>
        <w:t xml:space="preserve">5. </w:t>
      </w:r>
      <w:r>
        <w:rPr>
          <w:rFonts w:hint="eastAsia" w:ascii="宋体" w:hAnsi="宋体" w:cs="黑体"/>
          <w:b/>
          <w:kern w:val="0"/>
          <w:szCs w:val="21"/>
        </w:rPr>
        <w:t>开标</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hint="eastAsia" w:ascii="宋体" w:hAnsi="宋体" w:cs="仿宋_GB2312"/>
          <w:kern w:val="0"/>
          <w:szCs w:val="21"/>
        </w:rPr>
        <w:t>开标时间和地点：招标人在规定的开标时间在建设集团开标室进行开标，并做开标登记。</w:t>
      </w:r>
    </w:p>
    <w:p>
      <w:pPr>
        <w:keepNext w:val="0"/>
        <w:keepLines w:val="0"/>
        <w:pageBreakBefore w:val="0"/>
        <w:widowControl w:val="0"/>
        <w:numPr>
          <w:ilvl w:val="0"/>
          <w:numId w:val="2"/>
        </w:numPr>
        <w:kinsoku/>
        <w:wordWrap/>
        <w:overflowPunct/>
        <w:topLinePunct w:val="0"/>
        <w:autoSpaceDE w:val="0"/>
        <w:autoSpaceDN w:val="0"/>
        <w:bidi w:val="0"/>
        <w:adjustRightInd w:val="0"/>
        <w:spacing w:line="320" w:lineRule="exact"/>
        <w:jc w:val="left"/>
        <w:rPr>
          <w:rFonts w:ascii="宋体" w:hAnsi="宋体" w:cs="黑体"/>
          <w:b/>
          <w:kern w:val="0"/>
          <w:szCs w:val="21"/>
        </w:rPr>
      </w:pPr>
      <w:r>
        <w:rPr>
          <w:rFonts w:hint="eastAsia" w:ascii="宋体" w:hAnsi="宋体" w:cs="黑体"/>
          <w:b/>
          <w:kern w:val="0"/>
          <w:szCs w:val="21"/>
        </w:rPr>
        <w:t>评标</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仿宋_GB2312"/>
          <w:kern w:val="0"/>
          <w:szCs w:val="21"/>
        </w:rPr>
        <w:t>6.1</w:t>
      </w:r>
      <w:r>
        <w:rPr>
          <w:rFonts w:hint="eastAsia" w:ascii="宋体" w:hAnsi="宋体" w:cs="仿宋_GB2312"/>
          <w:kern w:val="0"/>
          <w:szCs w:val="21"/>
        </w:rPr>
        <w:t>评标委员会：建设集团评标小组。</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hint="eastAsia" w:ascii="宋体"/>
          <w:kern w:val="0"/>
          <w:szCs w:val="21"/>
        </w:rPr>
        <w:t>6.2</w:t>
      </w:r>
      <w:r>
        <w:rPr>
          <w:rFonts w:hint="eastAsia" w:ascii="宋体" w:hAnsi="宋体" w:cs="仿宋_GB2312"/>
          <w:kern w:val="0"/>
          <w:szCs w:val="21"/>
        </w:rPr>
        <w:t>评标：待开标后，评标小组成员根据评分办法评分。评委根据投标资料进行评分。</w:t>
      </w:r>
      <w:r>
        <w:rPr>
          <w:rFonts w:hint="eastAsia" w:ascii="宋体" w:hAnsi="宋体" w:cs="仿宋_GB2312"/>
          <w:color w:val="auto"/>
          <w:kern w:val="0"/>
          <w:szCs w:val="21"/>
        </w:rPr>
        <w:t>评委根据投标资料进行评分。</w:t>
      </w:r>
      <w:r>
        <w:rPr>
          <w:rFonts w:hint="eastAsia" w:ascii="宋体" w:hAnsi="宋体" w:cs="TimesNewRomanPSMT"/>
          <w:color w:val="auto"/>
          <w:kern w:val="0"/>
          <w:szCs w:val="21"/>
        </w:rPr>
        <w:t>投标人不得以低于成本的报价竞标</w:t>
      </w:r>
      <w:r>
        <w:rPr>
          <w:rFonts w:hint="eastAsia" w:ascii="宋体" w:hAnsi="宋体" w:cs="TimesNewRomanPSMT"/>
          <w:color w:val="auto"/>
          <w:kern w:val="0"/>
          <w:szCs w:val="21"/>
          <w:lang w:eastAsia="zh-CN"/>
        </w:rPr>
        <w:t>，</w:t>
      </w:r>
      <w:r>
        <w:rPr>
          <w:rFonts w:hint="eastAsia" w:ascii="宋体" w:hAnsi="宋体" w:cs="TimesNewRomanPSMT"/>
          <w:color w:val="auto"/>
          <w:kern w:val="0"/>
          <w:szCs w:val="21"/>
          <w:lang w:val="en-US" w:eastAsia="zh-CN"/>
        </w:rPr>
        <w:t>评标小组有权视其投标为废标。</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cs="TimesNewRomanPSMT"/>
          <w:kern w:val="0"/>
          <w:szCs w:val="21"/>
        </w:rPr>
      </w:pPr>
      <w:r>
        <w:rPr>
          <w:rFonts w:hint="eastAsia" w:ascii="宋体" w:hAnsi="宋体" w:cs="仿宋_GB2312"/>
          <w:kern w:val="0"/>
          <w:szCs w:val="21"/>
        </w:rPr>
        <w:t>6.3 评标办法: 综合评分法。</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b/>
          <w:kern w:val="0"/>
          <w:szCs w:val="21"/>
        </w:rPr>
      </w:pPr>
      <w:r>
        <w:rPr>
          <w:rFonts w:ascii="宋体" w:hAnsi="宋体" w:cs="TimesNewRomanPSMT"/>
          <w:b/>
          <w:kern w:val="0"/>
          <w:szCs w:val="21"/>
        </w:rPr>
        <w:t xml:space="preserve">7. </w:t>
      </w:r>
      <w:r>
        <w:rPr>
          <w:rFonts w:hint="eastAsia" w:ascii="宋体" w:hAnsi="宋体" w:cs="黑体"/>
          <w:b/>
          <w:kern w:val="0"/>
          <w:szCs w:val="21"/>
        </w:rPr>
        <w:t>合同授予</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 xml:space="preserve">7.1 </w:t>
      </w:r>
      <w:r>
        <w:rPr>
          <w:rFonts w:hint="eastAsia" w:ascii="宋体" w:hAnsi="宋体" w:cs="黑体"/>
          <w:kern w:val="0"/>
          <w:szCs w:val="21"/>
        </w:rPr>
        <w:t>定标方式：</w:t>
      </w:r>
      <w:r>
        <w:rPr>
          <w:rFonts w:hint="eastAsia" w:ascii="宋体" w:hAnsi="宋体" w:cs="仿宋_GB2312"/>
          <w:color w:val="0000FF"/>
          <w:kern w:val="0"/>
          <w:szCs w:val="21"/>
        </w:rPr>
        <w:t>本次评标采用经评审的</w:t>
      </w:r>
      <w:r>
        <w:rPr>
          <w:rFonts w:hint="eastAsia" w:ascii="宋体" w:hAnsi="宋体" w:cs="仿宋_GB2312"/>
          <w:color w:val="0000FF"/>
          <w:kern w:val="0"/>
          <w:szCs w:val="21"/>
          <w:u w:val="single"/>
        </w:rPr>
        <w:t xml:space="preserve"> </w:t>
      </w:r>
      <w:r>
        <w:rPr>
          <w:rFonts w:hint="eastAsia" w:ascii="宋体" w:hAnsi="宋体" w:cs="仿宋_GB2312"/>
          <w:color w:val="0000FF"/>
          <w:kern w:val="0"/>
          <w:szCs w:val="21"/>
          <w:u w:val="single"/>
          <w:lang w:val="en-US" w:eastAsia="zh-CN"/>
        </w:rPr>
        <w:t xml:space="preserve">综合评分 </w:t>
      </w:r>
      <w:r>
        <w:rPr>
          <w:rFonts w:hint="eastAsia" w:ascii="宋体" w:hAnsi="宋体" w:cs="仿宋_GB2312"/>
          <w:color w:val="0000FF"/>
          <w:kern w:val="0"/>
          <w:szCs w:val="21"/>
        </w:rPr>
        <w:t>法</w:t>
      </w:r>
      <w:r>
        <w:rPr>
          <w:rFonts w:hint="eastAsia" w:ascii="宋体" w:hAnsi="宋体" w:cs="仿宋_GB2312"/>
          <w:kern w:val="0"/>
          <w:szCs w:val="21"/>
        </w:rPr>
        <w:t>。</w:t>
      </w:r>
      <w:r>
        <w:rPr>
          <w:rFonts w:hint="eastAsia" w:ascii="宋体" w:cs="仿宋_GB2312"/>
          <w:kern w:val="0"/>
          <w:szCs w:val="21"/>
        </w:rPr>
        <w:t>将评标情况和推选结果上报公司审批无异议后，再做出定标评审，原则上由第一推选人中标。</w:t>
      </w:r>
    </w:p>
    <w:p>
      <w:pPr>
        <w:keepNext w:val="0"/>
        <w:keepLines w:val="0"/>
        <w:pageBreakBefore w:val="0"/>
        <w:widowControl w:val="0"/>
        <w:kinsoku/>
        <w:wordWrap/>
        <w:overflowPunct/>
        <w:topLinePunct w:val="0"/>
        <w:autoSpaceDE w:val="0"/>
        <w:autoSpaceDN w:val="0"/>
        <w:bidi w:val="0"/>
        <w:adjustRightInd w:val="0"/>
        <w:spacing w:line="320" w:lineRule="exact"/>
        <w:jc w:val="left"/>
        <w:rPr>
          <w:rFonts w:hint="eastAsia" w:ascii="宋体" w:hAnsi="宋体" w:cs="仿宋_GB2312"/>
          <w:kern w:val="0"/>
          <w:szCs w:val="21"/>
        </w:rPr>
      </w:pPr>
      <w:r>
        <w:rPr>
          <w:rFonts w:ascii="宋体" w:hAnsi="宋体" w:cs="TimesNewRomanPSMT"/>
          <w:kern w:val="0"/>
          <w:szCs w:val="21"/>
        </w:rPr>
        <w:t xml:space="preserve">7.2 </w:t>
      </w:r>
      <w:r>
        <w:rPr>
          <w:rFonts w:hint="eastAsia" w:ascii="宋体" w:hAnsi="宋体" w:cs="黑体"/>
          <w:kern w:val="0"/>
          <w:szCs w:val="21"/>
        </w:rPr>
        <w:t>中标通知：定标评审及结果经本单位审批通过后，</w:t>
      </w:r>
      <w:r>
        <w:rPr>
          <w:rFonts w:hint="eastAsia" w:ascii="宋体" w:hAnsi="宋体" w:cs="仿宋_GB2312"/>
          <w:kern w:val="0"/>
          <w:szCs w:val="21"/>
        </w:rPr>
        <w:t>在本章规定的投标有效期内，招标人向中标人发出中标通知书，同时将中标结果通知未中标的投标人。</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kern w:val="0"/>
          <w:szCs w:val="21"/>
        </w:rPr>
      </w:pPr>
      <w:r>
        <w:rPr>
          <w:rFonts w:ascii="宋体" w:hAnsi="宋体" w:cs="TimesNewRomanPSMT"/>
          <w:kern w:val="0"/>
          <w:szCs w:val="21"/>
        </w:rPr>
        <w:t xml:space="preserve">7.3 </w:t>
      </w:r>
      <w:r>
        <w:rPr>
          <w:rFonts w:hint="eastAsia" w:ascii="宋体" w:hAnsi="宋体" w:cs="黑体"/>
          <w:kern w:val="0"/>
          <w:szCs w:val="21"/>
        </w:rPr>
        <w:t>履约担保</w:t>
      </w:r>
    </w:p>
    <w:p>
      <w:pPr>
        <w:keepNext w:val="0"/>
        <w:keepLines w:val="0"/>
        <w:pageBreakBefore w:val="0"/>
        <w:widowControl w:val="0"/>
        <w:kinsoku/>
        <w:wordWrap/>
        <w:overflowPunct/>
        <w:topLinePunct w:val="0"/>
        <w:autoSpaceDE w:val="0"/>
        <w:autoSpaceDN w:val="0"/>
        <w:bidi w:val="0"/>
        <w:adjustRightInd w:val="0"/>
        <w:spacing w:line="320" w:lineRule="exact"/>
        <w:jc w:val="left"/>
        <w:rPr>
          <w:rFonts w:hint="default" w:ascii="宋体" w:hAnsi="宋体" w:eastAsia="宋体" w:cs="仿宋_GB2312"/>
          <w:kern w:val="0"/>
          <w:szCs w:val="21"/>
          <w:lang w:val="en-US" w:eastAsia="zh-CN"/>
        </w:rPr>
      </w:pPr>
      <w:r>
        <w:rPr>
          <w:rFonts w:ascii="宋体" w:hAnsi="宋体" w:cs="TimesNewRomanPSMT"/>
          <w:kern w:val="0"/>
          <w:szCs w:val="21"/>
        </w:rPr>
        <w:t xml:space="preserve">7.3.1 </w:t>
      </w:r>
      <w:r>
        <w:rPr>
          <w:rFonts w:hint="eastAsia" w:ascii="宋体" w:hAnsi="宋体" w:cs="仿宋_GB2312"/>
          <w:color w:val="FF0000"/>
          <w:kern w:val="0"/>
          <w:szCs w:val="21"/>
        </w:rPr>
        <w:t>在签订合同前，中标人应按投标人须知前附表规定的金额、担保形式和招标文件“合同条款及格式”规定的履约担保格式向招标人提交履约担保</w:t>
      </w:r>
      <w:r>
        <w:rPr>
          <w:rFonts w:hint="eastAsia" w:ascii="宋体" w:hAnsi="宋体" w:cs="仿宋_GB2312"/>
          <w:color w:val="FF0000"/>
          <w:kern w:val="0"/>
          <w:szCs w:val="21"/>
          <w:lang w:eastAsia="zh-CN"/>
        </w:rPr>
        <w:t>，</w:t>
      </w:r>
      <w:r>
        <w:rPr>
          <w:rFonts w:hint="eastAsia" w:ascii="宋体" w:hAnsi="宋体" w:cs="仿宋_GB2312"/>
          <w:color w:val="FF0000"/>
          <w:kern w:val="0"/>
          <w:szCs w:val="21"/>
          <w:lang w:val="en-US" w:eastAsia="zh-CN"/>
        </w:rPr>
        <w:t>若已经缴纳入库保证金的投标人，可不缴纳此项费用。</w:t>
      </w:r>
    </w:p>
    <w:p>
      <w:pPr>
        <w:pStyle w:val="2"/>
        <w:keepNext w:val="0"/>
        <w:keepLines w:val="0"/>
        <w:pageBreakBefore w:val="0"/>
        <w:widowControl w:val="0"/>
        <w:kinsoku/>
        <w:wordWrap/>
        <w:overflowPunct/>
        <w:topLinePunct w:val="0"/>
        <w:bidi w:val="0"/>
        <w:spacing w:after="0" w:line="320" w:lineRule="exact"/>
        <w:ind w:left="0" w:leftChars="0" w:right="0" w:rightChars="0" w:firstLine="0" w:firstLineChars="0"/>
        <w:jc w:val="left"/>
        <w:rPr>
          <w:rFonts w:ascii="宋体" w:hAnsi="宋体" w:eastAsia="宋体" w:cs="TimesNewRomanPSMT"/>
          <w:kern w:val="0"/>
          <w:sz w:val="21"/>
          <w:szCs w:val="21"/>
          <w:lang w:val="en-US" w:eastAsia="zh-CN" w:bidi="ar-SA"/>
        </w:rPr>
      </w:pPr>
      <w:r>
        <w:rPr>
          <w:rFonts w:ascii="宋体" w:hAnsi="宋体" w:eastAsia="宋体" w:cs="TimesNewRomanPSMT"/>
          <w:kern w:val="0"/>
          <w:sz w:val="21"/>
          <w:szCs w:val="21"/>
          <w:lang w:val="en-US" w:eastAsia="zh-CN" w:bidi="ar-SA"/>
        </w:rPr>
        <w:t xml:space="preserve">7.3.2 </w:t>
      </w:r>
      <w:r>
        <w:rPr>
          <w:rFonts w:hint="eastAsia" w:ascii="宋体" w:hAnsi="宋体" w:eastAsia="宋体" w:cs="TimesNewRomanPSMT"/>
          <w:kern w:val="0"/>
          <w:sz w:val="21"/>
          <w:szCs w:val="21"/>
          <w:lang w:val="en-US" w:eastAsia="zh-CN" w:bidi="ar-SA"/>
        </w:rPr>
        <w:t>中标人不能按本章要求提交履约担保的，视为放弃中标，其投标保证金不予退还，给招标人造成的损失超过投标保证金数额的，中标人还应当对超过部分予以赔偿。并将该中标人列入“公司的分包商黑名单”中，将不得继续在公司范围内参与投标活动。</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kern w:val="0"/>
          <w:szCs w:val="21"/>
        </w:rPr>
      </w:pPr>
      <w:r>
        <w:rPr>
          <w:rFonts w:ascii="宋体" w:hAnsi="宋体" w:cs="TimesNewRomanPSMT"/>
          <w:kern w:val="0"/>
          <w:szCs w:val="21"/>
        </w:rPr>
        <w:t>7.</w:t>
      </w:r>
      <w:r>
        <w:rPr>
          <w:rFonts w:hint="eastAsia" w:ascii="宋体" w:hAnsi="宋体" w:cs="TimesNewRomanPSMT"/>
          <w:kern w:val="0"/>
          <w:szCs w:val="21"/>
          <w:lang w:val="en-US" w:eastAsia="zh-CN"/>
        </w:rPr>
        <w:t>4</w:t>
      </w:r>
      <w:r>
        <w:rPr>
          <w:rFonts w:hint="eastAsia" w:ascii="宋体" w:hAnsi="宋体" w:cs="黑体"/>
          <w:kern w:val="0"/>
          <w:szCs w:val="21"/>
        </w:rPr>
        <w:t>签订合同</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7.</w:t>
      </w:r>
      <w:r>
        <w:rPr>
          <w:rFonts w:hint="eastAsia" w:ascii="宋体" w:hAnsi="宋体" w:cs="TimesNewRomanPSMT"/>
          <w:kern w:val="0"/>
          <w:szCs w:val="21"/>
          <w:lang w:val="en-US" w:eastAsia="zh-CN"/>
        </w:rPr>
        <w:t>4</w:t>
      </w:r>
      <w:r>
        <w:rPr>
          <w:rFonts w:ascii="宋体" w:hAnsi="宋体" w:cs="TimesNewRomanPSMT"/>
          <w:kern w:val="0"/>
          <w:szCs w:val="21"/>
        </w:rPr>
        <w:t xml:space="preserve">.1 </w:t>
      </w:r>
      <w:r>
        <w:rPr>
          <w:rFonts w:hint="eastAsia" w:ascii="宋体" w:hAnsi="宋体" w:cs="仿宋_GB2312"/>
          <w:kern w:val="0"/>
          <w:szCs w:val="21"/>
        </w:rPr>
        <w:t>招标人和中标人应当自中标通知书发出之日起</w:t>
      </w:r>
      <w:r>
        <w:rPr>
          <w:rFonts w:hint="eastAsia" w:ascii="宋体" w:hAnsi="宋体" w:cs="TimesNewRomanPSMT"/>
          <w:kern w:val="0"/>
          <w:szCs w:val="21"/>
          <w:lang w:val="en-US" w:eastAsia="zh-CN"/>
        </w:rPr>
        <w:t>3</w:t>
      </w:r>
      <w:r>
        <w:rPr>
          <w:rFonts w:hint="eastAsia" w:ascii="宋体" w:hAnsi="宋体" w:cs="仿宋_GB2312"/>
          <w:kern w:val="0"/>
          <w:szCs w:val="21"/>
        </w:rPr>
        <w:t>天内，根据招标文件和中标人的投标文件订立书面合同。中标人无正当理由拒签合同的，招标人取消其中标资格，其投标保证金不予退还；给招标人造成的损失超过投标保证金数额的，中标人还应当对超过部分予以赔偿。并将该中标人列入“公司的分包商黑名单”中，将不得继续在公司范围内参与投标活动。</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7.</w:t>
      </w:r>
      <w:r>
        <w:rPr>
          <w:rFonts w:hint="eastAsia" w:ascii="宋体" w:hAnsi="宋体" w:cs="TimesNewRomanPSMT"/>
          <w:kern w:val="0"/>
          <w:szCs w:val="21"/>
          <w:lang w:val="en-US" w:eastAsia="zh-CN"/>
        </w:rPr>
        <w:t>4</w:t>
      </w:r>
      <w:r>
        <w:rPr>
          <w:rFonts w:ascii="宋体" w:hAnsi="宋体" w:cs="TimesNewRomanPSMT"/>
          <w:kern w:val="0"/>
          <w:szCs w:val="21"/>
        </w:rPr>
        <w:t xml:space="preserve">.2 </w:t>
      </w:r>
      <w:r>
        <w:rPr>
          <w:rFonts w:hint="eastAsia" w:ascii="宋体" w:hAnsi="宋体" w:cs="仿宋_GB2312"/>
          <w:kern w:val="0"/>
          <w:szCs w:val="21"/>
        </w:rPr>
        <w:t>发出中标通知书后，招标人无正当理由拒签合同的，招标人向中标人退还投标保证金；给中标人造成损失的，还应当赔偿损失。</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b/>
          <w:kern w:val="0"/>
          <w:szCs w:val="21"/>
        </w:rPr>
      </w:pPr>
      <w:r>
        <w:rPr>
          <w:rFonts w:ascii="宋体" w:hAnsi="宋体" w:cs="TimesNewRomanPSMT"/>
          <w:b/>
          <w:kern w:val="0"/>
          <w:szCs w:val="21"/>
        </w:rPr>
        <w:t xml:space="preserve">8. </w:t>
      </w:r>
      <w:r>
        <w:rPr>
          <w:rFonts w:hint="eastAsia" w:ascii="宋体" w:hAnsi="宋体" w:cs="黑体"/>
          <w:b/>
          <w:kern w:val="0"/>
          <w:szCs w:val="21"/>
        </w:rPr>
        <w:t>重新招标和不再招标</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kern w:val="0"/>
          <w:szCs w:val="21"/>
        </w:rPr>
      </w:pPr>
      <w:r>
        <w:rPr>
          <w:rFonts w:ascii="宋体" w:hAnsi="宋体" w:cs="TimesNewRomanPSMT"/>
          <w:kern w:val="0"/>
          <w:szCs w:val="21"/>
        </w:rPr>
        <w:t xml:space="preserve">8.1 </w:t>
      </w:r>
      <w:r>
        <w:rPr>
          <w:rFonts w:hint="eastAsia" w:ascii="宋体" w:hAnsi="宋体" w:cs="黑体"/>
          <w:kern w:val="0"/>
          <w:szCs w:val="21"/>
        </w:rPr>
        <w:t>重新招标</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hint="eastAsia" w:ascii="宋体" w:hAnsi="宋体" w:cs="仿宋_GB2312"/>
          <w:kern w:val="0"/>
          <w:szCs w:val="21"/>
        </w:rPr>
        <w:t>有下列情形之一的，招标人将重新招标：（</w:t>
      </w:r>
      <w:r>
        <w:rPr>
          <w:rFonts w:ascii="宋体" w:hAnsi="宋体" w:cs="TimesNewRomanPSMT"/>
          <w:kern w:val="0"/>
          <w:szCs w:val="21"/>
        </w:rPr>
        <w:t>1</w:t>
      </w:r>
      <w:r>
        <w:rPr>
          <w:rFonts w:hint="eastAsia" w:ascii="宋体" w:hAnsi="宋体" w:cs="仿宋_GB2312"/>
          <w:kern w:val="0"/>
          <w:szCs w:val="21"/>
        </w:rPr>
        <w:t>）投标截止时间止，投标人少于</w:t>
      </w:r>
      <w:r>
        <w:rPr>
          <w:rFonts w:hint="eastAsia" w:ascii="宋体" w:hAnsi="宋体" w:cs="TimesNewRomanPSMT"/>
          <w:kern w:val="0"/>
          <w:szCs w:val="21"/>
        </w:rPr>
        <w:t>3</w:t>
      </w:r>
      <w:r>
        <w:rPr>
          <w:rFonts w:hint="eastAsia" w:ascii="宋体" w:hAnsi="宋体" w:cs="仿宋_GB2312"/>
          <w:kern w:val="0"/>
          <w:szCs w:val="21"/>
        </w:rPr>
        <w:t>个的；（</w:t>
      </w:r>
      <w:r>
        <w:rPr>
          <w:rFonts w:ascii="宋体" w:hAnsi="宋体" w:cs="TimesNewRomanPSMT"/>
          <w:kern w:val="0"/>
          <w:szCs w:val="21"/>
        </w:rPr>
        <w:t>2</w:t>
      </w:r>
      <w:r>
        <w:rPr>
          <w:rFonts w:hint="eastAsia" w:ascii="宋体" w:hAnsi="宋体" w:cs="仿宋_GB2312"/>
          <w:kern w:val="0"/>
          <w:szCs w:val="21"/>
        </w:rPr>
        <w:t>）经评标小组评审后否决所有投标的。</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 xml:space="preserve">8.2 </w:t>
      </w:r>
      <w:r>
        <w:rPr>
          <w:rFonts w:hint="eastAsia" w:ascii="宋体" w:hAnsi="宋体" w:cs="黑体"/>
          <w:kern w:val="0"/>
          <w:szCs w:val="21"/>
        </w:rPr>
        <w:t>不再招标：</w:t>
      </w:r>
      <w:r>
        <w:rPr>
          <w:rFonts w:hint="eastAsia" w:ascii="宋体" w:hAnsi="宋体" w:cs="仿宋_GB2312"/>
          <w:kern w:val="0"/>
          <w:szCs w:val="21"/>
        </w:rPr>
        <w:t>重新招标后投标人仍少于</w:t>
      </w:r>
      <w:r>
        <w:rPr>
          <w:rFonts w:hint="eastAsia" w:ascii="宋体" w:hAnsi="宋体" w:cs="TimesNewRomanPSMT"/>
          <w:kern w:val="0"/>
          <w:szCs w:val="21"/>
        </w:rPr>
        <w:t>3</w:t>
      </w:r>
      <w:r>
        <w:rPr>
          <w:rFonts w:hint="eastAsia" w:ascii="宋体" w:hAnsi="宋体" w:cs="仿宋_GB2312"/>
          <w:kern w:val="0"/>
          <w:szCs w:val="21"/>
        </w:rPr>
        <w:t>个或者所有投标被否决的，经招标人领导批准后不再进行招标。</w:t>
      </w:r>
    </w:p>
    <w:p>
      <w:pPr>
        <w:keepNext w:val="0"/>
        <w:keepLines w:val="0"/>
        <w:pageBreakBefore w:val="0"/>
        <w:widowControl w:val="0"/>
        <w:kinsoku/>
        <w:wordWrap/>
        <w:overflowPunct/>
        <w:topLinePunct w:val="0"/>
        <w:bidi w:val="0"/>
        <w:spacing w:line="320" w:lineRule="exact"/>
        <w:rPr>
          <w:b/>
        </w:rPr>
      </w:pPr>
      <w:r>
        <w:rPr>
          <w:rFonts w:hint="eastAsia"/>
          <w:b/>
        </w:rPr>
        <w:t>9．纪律和监督</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TimesNewRomanPSMT"/>
          <w:kern w:val="0"/>
          <w:szCs w:val="21"/>
        </w:rPr>
      </w:pPr>
      <w:bookmarkStart w:id="3" w:name="_Toc296590983"/>
      <w:bookmarkStart w:id="4" w:name="_Toc247085733"/>
      <w:bookmarkStart w:id="5" w:name="_Toc296602462"/>
      <w:bookmarkStart w:id="6" w:name="_Toc179632593"/>
      <w:bookmarkStart w:id="7" w:name="_Toc152042351"/>
      <w:bookmarkStart w:id="8" w:name="_Toc144974543"/>
      <w:bookmarkStart w:id="9" w:name="_Toc246996962"/>
      <w:bookmarkStart w:id="10" w:name="_Toc246996219"/>
      <w:bookmarkStart w:id="11" w:name="_Toc152045575"/>
      <w:r>
        <w:rPr>
          <w:rFonts w:hint="eastAsia" w:ascii="宋体" w:hAnsi="宋体" w:cs="TimesNewRomanPSMT"/>
          <w:kern w:val="0"/>
          <w:szCs w:val="21"/>
        </w:rPr>
        <w:t>9.1 对招标人的纪律要求</w:t>
      </w:r>
      <w:bookmarkEnd w:id="3"/>
      <w:bookmarkEnd w:id="4"/>
      <w:bookmarkEnd w:id="5"/>
      <w:bookmarkEnd w:id="6"/>
      <w:bookmarkEnd w:id="7"/>
      <w:bookmarkEnd w:id="8"/>
      <w:bookmarkEnd w:id="9"/>
      <w:bookmarkEnd w:id="10"/>
      <w:bookmarkEnd w:id="11"/>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TimesNewRomanPSMT"/>
          <w:kern w:val="0"/>
          <w:szCs w:val="21"/>
        </w:rPr>
      </w:pPr>
      <w:r>
        <w:rPr>
          <w:rFonts w:hint="eastAsia" w:ascii="宋体" w:hAnsi="宋体" w:cs="TimesNewRomanPSMT"/>
          <w:kern w:val="0"/>
          <w:szCs w:val="21"/>
        </w:rPr>
        <w:t>招标人不得泄漏招标投标活动中应当保密的情况和资料，不得与投标人串通损害国家利益、社会公共利益或者他人合法权益。</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TimesNewRomanPSMT"/>
          <w:kern w:val="0"/>
          <w:szCs w:val="21"/>
        </w:rPr>
      </w:pPr>
      <w:bookmarkStart w:id="12" w:name="_Toc179632594"/>
      <w:bookmarkStart w:id="13" w:name="_Toc246996963"/>
      <w:bookmarkStart w:id="14" w:name="_Toc152045576"/>
      <w:bookmarkStart w:id="15" w:name="_Toc247085734"/>
      <w:bookmarkStart w:id="16" w:name="_Toc152042352"/>
      <w:bookmarkStart w:id="17" w:name="_Toc144974544"/>
      <w:bookmarkStart w:id="18" w:name="_Toc246996220"/>
      <w:bookmarkStart w:id="19" w:name="_Toc296602463"/>
      <w:r>
        <w:rPr>
          <w:rFonts w:hint="eastAsia" w:ascii="宋体" w:hAnsi="宋体" w:cs="TimesNewRomanPSMT"/>
          <w:kern w:val="0"/>
          <w:szCs w:val="21"/>
        </w:rPr>
        <w:t>9.2 对投标人的纪律要求</w:t>
      </w:r>
      <w:bookmarkEnd w:id="12"/>
      <w:bookmarkEnd w:id="13"/>
      <w:bookmarkEnd w:id="14"/>
      <w:bookmarkEnd w:id="15"/>
      <w:bookmarkEnd w:id="16"/>
      <w:bookmarkEnd w:id="17"/>
      <w:bookmarkEnd w:id="18"/>
      <w:bookmarkEnd w:id="19"/>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TimesNewRomanPSMT"/>
          <w:kern w:val="0"/>
          <w:szCs w:val="21"/>
        </w:rPr>
      </w:pPr>
      <w:r>
        <w:rPr>
          <w:rFonts w:hint="eastAsia" w:ascii="宋体" w:hAnsi="宋体" w:cs="TimesNewRomanPSMT"/>
          <w:kern w:val="0"/>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TimesNewRomanPSMT"/>
          <w:kern w:val="0"/>
          <w:szCs w:val="21"/>
        </w:rPr>
      </w:pPr>
      <w:bookmarkStart w:id="20" w:name="_Toc152042353"/>
      <w:bookmarkStart w:id="21" w:name="_Toc179632595"/>
      <w:bookmarkStart w:id="22" w:name="_Toc296602464"/>
      <w:bookmarkStart w:id="23" w:name="_Toc144974545"/>
      <w:bookmarkStart w:id="24" w:name="_Toc246996964"/>
      <w:bookmarkStart w:id="25" w:name="_Toc152045577"/>
      <w:bookmarkStart w:id="26" w:name="_Toc247085735"/>
      <w:bookmarkStart w:id="27" w:name="_Toc246996221"/>
      <w:r>
        <w:rPr>
          <w:rFonts w:hint="eastAsia" w:ascii="宋体" w:hAnsi="宋体" w:cs="TimesNewRomanPSMT"/>
          <w:kern w:val="0"/>
          <w:szCs w:val="21"/>
        </w:rPr>
        <w:t>9.3 对评标委员会成员的纪律要求</w:t>
      </w:r>
      <w:bookmarkEnd w:id="20"/>
      <w:bookmarkEnd w:id="21"/>
      <w:bookmarkEnd w:id="22"/>
      <w:bookmarkEnd w:id="23"/>
      <w:bookmarkEnd w:id="24"/>
      <w:bookmarkEnd w:id="25"/>
      <w:bookmarkEnd w:id="26"/>
      <w:bookmarkEnd w:id="27"/>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TimesNewRomanPSMT"/>
          <w:kern w:val="0"/>
          <w:szCs w:val="21"/>
        </w:rPr>
      </w:pPr>
      <w:r>
        <w:rPr>
          <w:rFonts w:hint="eastAsia" w:ascii="宋体" w:hAnsi="宋体" w:cs="TimesNewRomanPSMT"/>
          <w:kern w:val="0"/>
          <w:szCs w:val="21"/>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评标办法中没有规定的评审因素和标准进行评标。</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TimesNewRomanPSMT"/>
          <w:kern w:val="0"/>
          <w:szCs w:val="21"/>
        </w:rPr>
      </w:pPr>
      <w:bookmarkStart w:id="28" w:name="_Toc247085736"/>
      <w:bookmarkStart w:id="29" w:name="_Toc179632596"/>
      <w:bookmarkStart w:id="30" w:name="_Toc152042354"/>
      <w:bookmarkStart w:id="31" w:name="_Toc246996965"/>
      <w:bookmarkStart w:id="32" w:name="_Toc152045578"/>
      <w:bookmarkStart w:id="33" w:name="_Toc246996222"/>
      <w:bookmarkStart w:id="34" w:name="_Toc296602465"/>
      <w:bookmarkStart w:id="35" w:name="_Toc144974546"/>
      <w:r>
        <w:rPr>
          <w:rFonts w:hint="eastAsia" w:ascii="宋体" w:hAnsi="宋体" w:cs="TimesNewRomanPSMT"/>
          <w:kern w:val="0"/>
          <w:szCs w:val="21"/>
        </w:rPr>
        <w:t>9.4 对与评标活动有关的工作人员的纪律要求</w:t>
      </w:r>
      <w:bookmarkEnd w:id="28"/>
      <w:bookmarkEnd w:id="29"/>
      <w:bookmarkEnd w:id="30"/>
      <w:bookmarkEnd w:id="31"/>
      <w:bookmarkEnd w:id="32"/>
      <w:bookmarkEnd w:id="33"/>
      <w:bookmarkEnd w:id="34"/>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TimesNewRomanPSMT"/>
          <w:kern w:val="0"/>
          <w:szCs w:val="21"/>
        </w:rPr>
      </w:pPr>
      <w:bookmarkStart w:id="36" w:name="_Toc152042355"/>
      <w:r>
        <w:rPr>
          <w:rFonts w:hint="eastAsia" w:ascii="宋体" w:hAnsi="宋体" w:cs="TimesNewRomanPSMT"/>
          <w:kern w:val="0"/>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36"/>
    </w:p>
    <w:p>
      <w:pPr>
        <w:keepNext w:val="0"/>
        <w:keepLines w:val="0"/>
        <w:pageBreakBefore w:val="0"/>
        <w:widowControl w:val="0"/>
        <w:kinsoku/>
        <w:wordWrap/>
        <w:overflowPunct/>
        <w:topLinePunct w:val="0"/>
        <w:autoSpaceDE w:val="0"/>
        <w:autoSpaceDN w:val="0"/>
        <w:bidi w:val="0"/>
        <w:adjustRightInd w:val="0"/>
        <w:spacing w:line="320" w:lineRule="exact"/>
        <w:jc w:val="left"/>
        <w:rPr>
          <w:rFonts w:hint="eastAsia" w:ascii="宋体" w:hAnsi="宋体" w:cs="TimesNewRomanPSMT"/>
          <w:kern w:val="0"/>
          <w:szCs w:val="21"/>
        </w:rPr>
      </w:pPr>
      <w:bookmarkStart w:id="37" w:name="_Toc179632597"/>
      <w:bookmarkStart w:id="38" w:name="_Toc247085737"/>
      <w:bookmarkStart w:id="39" w:name="_Toc152045579"/>
      <w:bookmarkStart w:id="40" w:name="_Toc296602466"/>
      <w:bookmarkStart w:id="41" w:name="_Toc246996223"/>
      <w:bookmarkStart w:id="42" w:name="_Toc246996966"/>
      <w:bookmarkStart w:id="43" w:name="_Toc152042356"/>
      <w:r>
        <w:rPr>
          <w:rFonts w:hint="eastAsia" w:ascii="宋体" w:hAnsi="宋体" w:cs="TimesNewRomanPSMT"/>
          <w:kern w:val="0"/>
          <w:szCs w:val="21"/>
        </w:rPr>
        <w:t>9.5 投诉</w:t>
      </w:r>
      <w:bookmarkEnd w:id="35"/>
      <w:bookmarkEnd w:id="37"/>
      <w:bookmarkEnd w:id="38"/>
      <w:bookmarkEnd w:id="39"/>
      <w:bookmarkEnd w:id="40"/>
      <w:bookmarkEnd w:id="41"/>
      <w:bookmarkEnd w:id="42"/>
      <w:bookmarkEnd w:id="43"/>
    </w:p>
    <w:p>
      <w:pPr>
        <w:keepNext w:val="0"/>
        <w:keepLines w:val="0"/>
        <w:pageBreakBefore w:val="0"/>
        <w:widowControl w:val="0"/>
        <w:kinsoku/>
        <w:wordWrap/>
        <w:overflowPunct/>
        <w:topLinePunct w:val="0"/>
        <w:autoSpaceDE w:val="0"/>
        <w:autoSpaceDN w:val="0"/>
        <w:bidi w:val="0"/>
        <w:adjustRightInd w:val="0"/>
        <w:spacing w:line="320" w:lineRule="exact"/>
        <w:jc w:val="left"/>
        <w:rPr>
          <w:rFonts w:hint="eastAsia" w:ascii="宋体" w:hAnsi="宋体" w:cs="TimesNewRomanPSMT"/>
          <w:kern w:val="0"/>
          <w:szCs w:val="21"/>
        </w:rPr>
      </w:pPr>
      <w:r>
        <w:rPr>
          <w:rFonts w:hint="eastAsia" w:ascii="宋体" w:hAnsi="宋体" w:cs="TimesNewRomanPSMT"/>
          <w:kern w:val="0"/>
          <w:szCs w:val="21"/>
        </w:rPr>
        <w:t>投标人和其他利害关系人认为本次招标活动违反法律、法规和规章规定的，有权向南浔城投集团纪检部门投诉。</w:t>
      </w:r>
    </w:p>
    <w:p>
      <w:pPr>
        <w:autoSpaceDE w:val="0"/>
        <w:autoSpaceDN w:val="0"/>
        <w:adjustRightInd w:val="0"/>
        <w:jc w:val="center"/>
        <w:rPr>
          <w:rFonts w:hint="eastAsia" w:ascii="宋体" w:hAnsi="宋体" w:cs="TimesNewRomanPSMT"/>
          <w:b/>
          <w:kern w:val="0"/>
          <w:szCs w:val="21"/>
          <w:lang w:val="en-US" w:eastAsia="zh-CN"/>
        </w:rPr>
      </w:pPr>
      <w:r>
        <w:rPr>
          <w:rFonts w:hint="eastAsia" w:ascii="宋体" w:hAnsi="宋体" w:cs="TimesNewRomanPSMT"/>
          <w:b/>
          <w:kern w:val="0"/>
          <w:szCs w:val="21"/>
          <w:lang w:val="en-US" w:eastAsia="zh-CN"/>
        </w:rPr>
        <w:t>第三章评分方法</w:t>
      </w:r>
    </w:p>
    <w:p>
      <w:pPr>
        <w:rPr>
          <w:color w:val="auto"/>
        </w:rPr>
      </w:pPr>
    </w:p>
    <w:tbl>
      <w:tblPr>
        <w:tblStyle w:val="14"/>
        <w:tblpPr w:leftFromText="180" w:rightFromText="180" w:vertAnchor="text" w:horzAnchor="margin" w:tblpX="62" w:tblpY="-46"/>
        <w:tblOverlap w:val="never"/>
        <w:tblW w:w="10322" w:type="dxa"/>
        <w:tblInd w:w="0" w:type="dxa"/>
        <w:tblLayout w:type="fixed"/>
        <w:tblCellMar>
          <w:top w:w="0" w:type="dxa"/>
          <w:left w:w="108" w:type="dxa"/>
          <w:bottom w:w="0" w:type="dxa"/>
          <w:right w:w="108" w:type="dxa"/>
        </w:tblCellMar>
      </w:tblPr>
      <w:tblGrid>
        <w:gridCol w:w="744"/>
        <w:gridCol w:w="945"/>
        <w:gridCol w:w="2018"/>
        <w:gridCol w:w="840"/>
        <w:gridCol w:w="5775"/>
      </w:tblGrid>
      <w:tr>
        <w:tblPrEx>
          <w:tblCellMar>
            <w:top w:w="0" w:type="dxa"/>
            <w:left w:w="108" w:type="dxa"/>
            <w:bottom w:w="0" w:type="dxa"/>
            <w:right w:w="108" w:type="dxa"/>
          </w:tblCellMar>
        </w:tblPrEx>
        <w:trPr>
          <w:trHeight w:val="270" w:hRule="atLeast"/>
        </w:trPr>
        <w:tc>
          <w:tcPr>
            <w:tcW w:w="744"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240" w:lineRule="atLeast"/>
              <w:jc w:val="center"/>
              <w:rPr>
                <w:rFonts w:ascii="宋体" w:cs="宋体"/>
                <w:color w:val="auto"/>
                <w:kern w:val="0"/>
                <w:szCs w:val="21"/>
              </w:rPr>
            </w:pPr>
            <w:r>
              <w:rPr>
                <w:rFonts w:hint="eastAsia" w:ascii="宋体" w:hAnsi="宋体" w:cs="宋体"/>
                <w:color w:val="auto"/>
                <w:kern w:val="0"/>
                <w:szCs w:val="21"/>
              </w:rPr>
              <w:t>序号</w:t>
            </w:r>
          </w:p>
        </w:tc>
        <w:tc>
          <w:tcPr>
            <w:tcW w:w="945"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color w:val="auto"/>
                <w:kern w:val="0"/>
                <w:szCs w:val="21"/>
              </w:rPr>
            </w:pPr>
            <w:r>
              <w:rPr>
                <w:rFonts w:hint="eastAsia" w:ascii="宋体" w:hAnsi="宋体" w:cs="宋体"/>
                <w:color w:val="auto"/>
                <w:kern w:val="0"/>
                <w:szCs w:val="21"/>
              </w:rPr>
              <w:t>类别</w:t>
            </w:r>
          </w:p>
        </w:tc>
        <w:tc>
          <w:tcPr>
            <w:tcW w:w="2018"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color w:val="auto"/>
                <w:kern w:val="0"/>
                <w:szCs w:val="21"/>
              </w:rPr>
            </w:pPr>
            <w:r>
              <w:rPr>
                <w:rFonts w:hint="eastAsia" w:ascii="宋体" w:hAnsi="宋体" w:cs="宋体"/>
                <w:color w:val="auto"/>
                <w:kern w:val="0"/>
                <w:szCs w:val="21"/>
              </w:rPr>
              <w:t>评审因素</w:t>
            </w:r>
          </w:p>
        </w:tc>
        <w:tc>
          <w:tcPr>
            <w:tcW w:w="840"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color w:val="auto"/>
                <w:kern w:val="0"/>
                <w:szCs w:val="21"/>
              </w:rPr>
            </w:pPr>
            <w:r>
              <w:rPr>
                <w:rFonts w:hint="eastAsia" w:ascii="宋体" w:hAnsi="宋体" w:cs="宋体"/>
                <w:color w:val="auto"/>
                <w:kern w:val="0"/>
                <w:szCs w:val="21"/>
              </w:rPr>
              <w:t>分值</w:t>
            </w:r>
          </w:p>
        </w:tc>
        <w:tc>
          <w:tcPr>
            <w:tcW w:w="5775"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color w:val="auto"/>
                <w:kern w:val="0"/>
                <w:szCs w:val="21"/>
              </w:rPr>
            </w:pPr>
            <w:r>
              <w:rPr>
                <w:rFonts w:hint="eastAsia" w:ascii="宋体" w:hAnsi="宋体" w:cs="宋体"/>
                <w:color w:val="auto"/>
                <w:kern w:val="0"/>
                <w:szCs w:val="21"/>
              </w:rPr>
              <w:t>评标标准说明</w:t>
            </w:r>
          </w:p>
        </w:tc>
      </w:tr>
      <w:tr>
        <w:tblPrEx>
          <w:tblCellMar>
            <w:top w:w="0" w:type="dxa"/>
            <w:left w:w="108" w:type="dxa"/>
            <w:bottom w:w="0" w:type="dxa"/>
            <w:right w:w="108" w:type="dxa"/>
          </w:tblCellMar>
        </w:tblPrEx>
        <w:trPr>
          <w:trHeight w:val="4188" w:hRule="atLeast"/>
        </w:trPr>
        <w:tc>
          <w:tcPr>
            <w:tcW w:w="744"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auto"/>
                <w:kern w:val="0"/>
                <w:szCs w:val="21"/>
              </w:rPr>
            </w:pPr>
            <w:r>
              <w:rPr>
                <w:rFonts w:ascii="宋体" w:hAnsi="宋体" w:cs="宋体"/>
                <w:color w:val="auto"/>
                <w:kern w:val="0"/>
                <w:szCs w:val="21"/>
              </w:rPr>
              <w:t>1</w:t>
            </w:r>
          </w:p>
        </w:tc>
        <w:tc>
          <w:tcPr>
            <w:tcW w:w="94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auto"/>
                <w:kern w:val="0"/>
                <w:szCs w:val="21"/>
              </w:rPr>
            </w:pPr>
            <w:r>
              <w:rPr>
                <w:rFonts w:hint="eastAsia" w:ascii="宋体" w:hAnsi="宋体" w:cs="宋体"/>
                <w:color w:val="auto"/>
                <w:kern w:val="0"/>
                <w:szCs w:val="21"/>
              </w:rPr>
              <w:t>报价</w:t>
            </w:r>
          </w:p>
        </w:tc>
        <w:tc>
          <w:tcPr>
            <w:tcW w:w="2018" w:type="dxa"/>
            <w:tcBorders>
              <w:top w:val="nil"/>
              <w:left w:val="nil"/>
              <w:bottom w:val="single" w:color="auto" w:sz="4" w:space="0"/>
              <w:right w:val="single" w:color="auto" w:sz="4" w:space="0"/>
            </w:tcBorders>
            <w:vAlign w:val="center"/>
          </w:tcPr>
          <w:p>
            <w:pPr>
              <w:widowControl/>
              <w:jc w:val="center"/>
              <w:rPr>
                <w:rFonts w:ascii="宋体" w:cs="宋体"/>
                <w:color w:val="auto"/>
                <w:kern w:val="0"/>
                <w:szCs w:val="21"/>
              </w:rPr>
            </w:pPr>
            <w:r>
              <w:rPr>
                <w:rFonts w:hint="eastAsia" w:ascii="宋体" w:hAnsi="宋体" w:cs="宋体"/>
                <w:color w:val="auto"/>
                <w:kern w:val="0"/>
                <w:szCs w:val="21"/>
              </w:rPr>
              <w:t>投标报价</w:t>
            </w:r>
          </w:p>
        </w:tc>
        <w:tc>
          <w:tcPr>
            <w:tcW w:w="840" w:type="dxa"/>
            <w:tcBorders>
              <w:top w:val="nil"/>
              <w:left w:val="nil"/>
              <w:bottom w:val="single" w:color="auto" w:sz="4" w:space="0"/>
              <w:right w:val="single" w:color="auto" w:sz="4" w:space="0"/>
            </w:tcBorders>
            <w:vAlign w:val="center"/>
          </w:tcPr>
          <w:p>
            <w:pPr>
              <w:widowControl/>
              <w:jc w:val="center"/>
              <w:rPr>
                <w:rFonts w:ascii="宋体" w:cs="宋体"/>
                <w:color w:val="auto"/>
                <w:kern w:val="0"/>
                <w:szCs w:val="21"/>
              </w:rPr>
            </w:pPr>
            <w:r>
              <w:rPr>
                <w:rFonts w:hint="eastAsia" w:ascii="宋体" w:hAnsi="宋体" w:cs="宋体"/>
                <w:color w:val="auto"/>
                <w:kern w:val="0"/>
                <w:szCs w:val="21"/>
              </w:rPr>
              <w:t>0-80</w:t>
            </w:r>
          </w:p>
        </w:tc>
        <w:tc>
          <w:tcPr>
            <w:tcW w:w="5775" w:type="dxa"/>
            <w:tcBorders>
              <w:top w:val="nil"/>
              <w:left w:val="nil"/>
              <w:bottom w:val="single" w:color="auto" w:sz="4" w:space="0"/>
              <w:right w:val="single" w:color="auto" w:sz="4" w:space="0"/>
            </w:tcBorders>
            <w:vAlign w:val="center"/>
          </w:tcPr>
          <w:p>
            <w:pPr>
              <w:widowControl/>
              <w:jc w:val="left"/>
              <w:rPr>
                <w:rFonts w:ascii="宋体" w:hAnsi="宋体" w:cs="宋体"/>
                <w:color w:val="auto"/>
                <w:szCs w:val="21"/>
                <w:lang w:val="zh-CN"/>
              </w:rPr>
            </w:pPr>
            <w:r>
              <w:rPr>
                <w:rFonts w:hint="eastAsia" w:ascii="宋体" w:hAnsi="宋体" w:cs="宋体"/>
                <w:color w:val="auto"/>
                <w:szCs w:val="21"/>
              </w:rPr>
              <w:t>有效报价的平均值作为竞标基准价</w:t>
            </w:r>
          </w:p>
          <w:p>
            <w:pPr>
              <w:spacing w:beforeLines="0" w:afterLines="0" w:line="240" w:lineRule="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1、当有效报价小于等于6家时，对通过商务评审的所有有效的响应报价进行算术平均，将算术平均值作为竞标基准价；</w:t>
            </w:r>
          </w:p>
          <w:p>
            <w:pPr>
              <w:widowControl/>
              <w:jc w:val="left"/>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2、当有效报价大于6家时，对通过商务评审的所有有效报价中去掉一个最高价、一个最低价后的剩余投标报价进行算术平均，将算术平均值作为竞标基准价；</w:t>
            </w:r>
          </w:p>
          <w:p>
            <w:pPr>
              <w:widowControl/>
              <w:jc w:val="left"/>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w:t>
            </w:r>
            <w:r>
              <w:rPr>
                <w:rFonts w:hint="eastAsia" w:ascii="宋体" w:hAnsi="宋体" w:eastAsia="宋体" w:cs="宋体"/>
                <w:color w:val="auto"/>
                <w:sz w:val="21"/>
                <w:szCs w:val="21"/>
                <w:lang w:val="zh-CN"/>
              </w:rPr>
              <w:t>各最终有效投标报价与</w:t>
            </w:r>
            <w:r>
              <w:rPr>
                <w:rFonts w:hint="eastAsia" w:ascii="宋体" w:hAnsi="宋体" w:eastAsia="宋体" w:cs="宋体"/>
                <w:color w:val="auto"/>
                <w:sz w:val="21"/>
                <w:szCs w:val="21"/>
              </w:rPr>
              <w:t>竞标基准价</w:t>
            </w:r>
            <w:r>
              <w:rPr>
                <w:rFonts w:hint="eastAsia" w:ascii="宋体" w:hAnsi="宋体" w:eastAsia="宋体" w:cs="宋体"/>
                <w:color w:val="auto"/>
                <w:sz w:val="21"/>
                <w:szCs w:val="21"/>
                <w:lang w:val="zh-CN"/>
              </w:rPr>
              <w:t>进行比较，按以下公式求出百分比K值（保留小数点后一位，第二位四舍五入）：</w:t>
            </w:r>
          </w:p>
          <w:p>
            <w:pPr>
              <w:widowControl/>
              <w:jc w:val="left"/>
              <w:rPr>
                <w:rFonts w:ascii="宋体" w:hAnsi="宋体" w:cs="宋体"/>
                <w:color w:val="auto"/>
                <w:szCs w:val="21"/>
              </w:rPr>
            </w:pPr>
            <w:r>
              <w:rPr>
                <w:rFonts w:hint="eastAsia" w:ascii="宋体" w:hAnsi="宋体" w:cs="宋体"/>
                <w:color w:val="auto"/>
                <w:szCs w:val="21"/>
                <w:lang w:val="zh-CN"/>
              </w:rPr>
              <w:t>K=（投标报价—</w:t>
            </w:r>
            <w:r>
              <w:rPr>
                <w:rFonts w:hint="eastAsia" w:ascii="宋体" w:hAnsi="宋体" w:eastAsia="宋体" w:cs="宋体"/>
                <w:color w:val="auto"/>
                <w:sz w:val="21"/>
                <w:szCs w:val="21"/>
                <w:lang w:val="zh-CN"/>
              </w:rPr>
              <w:t>竞标基准价</w:t>
            </w:r>
            <w:r>
              <w:rPr>
                <w:rFonts w:hint="eastAsia" w:ascii="宋体" w:hAnsi="宋体" w:cs="宋体"/>
                <w:color w:val="auto"/>
                <w:szCs w:val="21"/>
                <w:lang w:val="zh-CN"/>
              </w:rPr>
              <w:t>）/最佳报价*100</w:t>
            </w:r>
            <w:r>
              <w:rPr>
                <w:rFonts w:hint="eastAsia" w:ascii="宋体" w:hAnsi="宋体" w:cs="宋体"/>
                <w:color w:val="auto"/>
                <w:szCs w:val="21"/>
              </w:rPr>
              <w:t>%</w:t>
            </w:r>
          </w:p>
          <w:p>
            <w:pPr>
              <w:widowControl/>
              <w:jc w:val="left"/>
              <w:rPr>
                <w:rFonts w:ascii="宋体" w:hAnsi="宋体" w:cs="宋体"/>
                <w:color w:val="auto"/>
                <w:szCs w:val="21"/>
                <w:lang w:val="zh-CN"/>
              </w:rPr>
            </w:pPr>
            <w:r>
              <w:rPr>
                <w:rFonts w:hint="eastAsia" w:ascii="宋体" w:hAnsi="宋体" w:cs="宋体"/>
                <w:color w:val="auto"/>
                <w:szCs w:val="21"/>
                <w:lang w:val="zh-CN"/>
              </w:rPr>
              <w:t>当K值等于零时，得满分</w:t>
            </w:r>
            <w:r>
              <w:rPr>
                <w:rFonts w:hint="eastAsia" w:ascii="宋体" w:hAnsi="宋体" w:cs="宋体"/>
                <w:color w:val="auto"/>
                <w:szCs w:val="21"/>
              </w:rPr>
              <w:t>80</w:t>
            </w:r>
            <w:r>
              <w:rPr>
                <w:rFonts w:hint="eastAsia" w:ascii="宋体" w:hAnsi="宋体" w:cs="宋体"/>
                <w:color w:val="auto"/>
                <w:szCs w:val="21"/>
                <w:lang w:val="zh-CN"/>
              </w:rPr>
              <w:t>分；</w:t>
            </w:r>
          </w:p>
          <w:p>
            <w:pPr>
              <w:widowControl/>
              <w:jc w:val="left"/>
              <w:rPr>
                <w:rFonts w:ascii="宋体" w:hAnsi="宋体" w:cs="宋体"/>
                <w:color w:val="auto"/>
                <w:szCs w:val="21"/>
                <w:lang w:val="zh-CN"/>
              </w:rPr>
            </w:pPr>
            <w:r>
              <w:rPr>
                <w:rFonts w:hint="eastAsia" w:ascii="宋体" w:hAnsi="宋体" w:cs="宋体"/>
                <w:color w:val="auto"/>
                <w:szCs w:val="21"/>
                <w:lang w:val="zh-CN"/>
              </w:rPr>
              <w:t>当K值大于零时，K值每增1%，在总分上扣1分；</w:t>
            </w:r>
          </w:p>
          <w:p>
            <w:pPr>
              <w:widowControl/>
              <w:jc w:val="left"/>
              <w:rPr>
                <w:rFonts w:ascii="宋体" w:hAnsi="宋体" w:cs="宋体"/>
                <w:color w:val="auto"/>
                <w:szCs w:val="21"/>
                <w:lang w:val="zh-CN"/>
              </w:rPr>
            </w:pPr>
            <w:r>
              <w:rPr>
                <w:rFonts w:hint="eastAsia" w:ascii="宋体" w:hAnsi="宋体" w:cs="宋体"/>
                <w:color w:val="auto"/>
                <w:szCs w:val="21"/>
                <w:lang w:val="zh-CN"/>
              </w:rPr>
              <w:t>当K值小于零时，K值每减1%，在总分上扣0.5分。</w:t>
            </w:r>
          </w:p>
          <w:p>
            <w:pPr>
              <w:widowControl/>
              <w:jc w:val="left"/>
              <w:rPr>
                <w:rFonts w:ascii="宋体" w:cs="宋体"/>
                <w:color w:val="auto"/>
                <w:kern w:val="0"/>
                <w:szCs w:val="21"/>
              </w:rPr>
            </w:pPr>
            <w:r>
              <w:rPr>
                <w:rFonts w:hint="eastAsia" w:ascii="宋体" w:hAnsi="宋体" w:cs="宋体"/>
                <w:color w:val="auto"/>
                <w:szCs w:val="21"/>
                <w:lang w:val="zh-CN"/>
              </w:rPr>
              <w:t>注：各投标人的价格得分按此方法计算后，结果保留2位小数，第3位四舍五入。</w:t>
            </w:r>
          </w:p>
        </w:tc>
      </w:tr>
      <w:tr>
        <w:tblPrEx>
          <w:tblCellMar>
            <w:top w:w="0" w:type="dxa"/>
            <w:left w:w="108" w:type="dxa"/>
            <w:bottom w:w="0" w:type="dxa"/>
            <w:right w:w="108" w:type="dxa"/>
          </w:tblCellMar>
        </w:tblPrEx>
        <w:trPr>
          <w:trHeight w:val="737" w:hRule="atLeast"/>
        </w:trPr>
        <w:tc>
          <w:tcPr>
            <w:tcW w:w="74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2</w:t>
            </w:r>
          </w:p>
        </w:tc>
        <w:tc>
          <w:tcPr>
            <w:tcW w:w="945" w:type="dxa"/>
            <w:vMerge w:val="restart"/>
            <w:tcBorders>
              <w:top w:val="single" w:color="auto" w:sz="4" w:space="0"/>
              <w:left w:val="single" w:color="auto" w:sz="4" w:space="0"/>
              <w:right w:val="single" w:color="auto" w:sz="4" w:space="0"/>
            </w:tcBorders>
            <w:vAlign w:val="center"/>
          </w:tcPr>
          <w:p>
            <w:pPr>
              <w:widowControl/>
              <w:jc w:val="center"/>
              <w:rPr>
                <w:rFonts w:hint="eastAsia" w:ascii="宋体" w:hAnsi="宋体" w:eastAsia="宋体" w:cs="宋体"/>
                <w:bCs/>
                <w:color w:val="auto"/>
                <w:szCs w:val="21"/>
                <w:lang w:eastAsia="zh-CN"/>
              </w:rPr>
            </w:pPr>
            <w:r>
              <w:rPr>
                <w:rFonts w:hint="eastAsia" w:ascii="宋体" w:hAnsi="宋体" w:cs="宋体"/>
                <w:color w:val="auto"/>
                <w:kern w:val="0"/>
                <w:szCs w:val="21"/>
                <w:lang w:val="en-US" w:eastAsia="zh-CN"/>
              </w:rPr>
              <w:t>其他</w:t>
            </w:r>
          </w:p>
        </w:tc>
        <w:tc>
          <w:tcPr>
            <w:tcW w:w="2018" w:type="dxa"/>
            <w:tcBorders>
              <w:top w:val="single" w:color="auto" w:sz="4" w:space="0"/>
              <w:left w:val="nil"/>
              <w:bottom w:val="single" w:color="auto" w:sz="4" w:space="0"/>
              <w:right w:val="single" w:color="auto" w:sz="4" w:space="0"/>
            </w:tcBorders>
            <w:vAlign w:val="center"/>
          </w:tcPr>
          <w:p>
            <w:pPr>
              <w:widowControl/>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施工组织设计</w:t>
            </w:r>
          </w:p>
        </w:tc>
        <w:tc>
          <w:tcPr>
            <w:tcW w:w="840"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auto"/>
                <w:kern w:val="0"/>
                <w:szCs w:val="21"/>
              </w:rPr>
            </w:pPr>
            <w:r>
              <w:rPr>
                <w:rFonts w:hint="eastAsia" w:ascii="宋体" w:hAnsi="宋体" w:cs="宋体"/>
                <w:color w:val="auto"/>
                <w:kern w:val="0"/>
                <w:szCs w:val="21"/>
              </w:rPr>
              <w:t>0-5</w:t>
            </w:r>
          </w:p>
        </w:tc>
        <w:tc>
          <w:tcPr>
            <w:tcW w:w="5775"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color w:val="auto"/>
                <w:szCs w:val="21"/>
              </w:rPr>
            </w:pPr>
            <w:r>
              <w:rPr>
                <w:rFonts w:hint="default" w:ascii="宋体" w:hAnsi="宋体" w:eastAsia="宋体" w:cs="宋体"/>
                <w:color w:val="000000"/>
                <w:sz w:val="21"/>
                <w:szCs w:val="21"/>
                <w:lang w:val="zh-CN"/>
              </w:rPr>
              <w:t>视方案优劣打分，一般的得1-1.9分，较好的得2-4分，好的得4.1-5分</w:t>
            </w:r>
            <w:r>
              <w:rPr>
                <w:rFonts w:hint="eastAsia" w:ascii="宋体" w:hAnsi="宋体" w:eastAsia="宋体" w:cs="宋体"/>
                <w:color w:val="000000"/>
                <w:sz w:val="21"/>
                <w:szCs w:val="21"/>
                <w:lang w:val="zh-CN"/>
              </w:rPr>
              <w:t>，</w:t>
            </w:r>
            <w:r>
              <w:rPr>
                <w:rFonts w:hint="eastAsia" w:ascii="宋体" w:hAnsi="宋体" w:cs="宋体"/>
                <w:color w:val="auto"/>
                <w:szCs w:val="21"/>
              </w:rPr>
              <w:t>不提供不得分。</w:t>
            </w:r>
          </w:p>
        </w:tc>
      </w:tr>
      <w:tr>
        <w:tblPrEx>
          <w:tblCellMar>
            <w:top w:w="0" w:type="dxa"/>
            <w:left w:w="108" w:type="dxa"/>
            <w:bottom w:w="0" w:type="dxa"/>
            <w:right w:w="108" w:type="dxa"/>
          </w:tblCellMar>
        </w:tblPrEx>
        <w:trPr>
          <w:trHeight w:val="737" w:hRule="atLeast"/>
        </w:trPr>
        <w:tc>
          <w:tcPr>
            <w:tcW w:w="74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3</w:t>
            </w:r>
          </w:p>
        </w:tc>
        <w:tc>
          <w:tcPr>
            <w:tcW w:w="945" w:type="dxa"/>
            <w:vMerge w:val="continue"/>
            <w:tcBorders>
              <w:left w:val="single" w:color="auto" w:sz="4" w:space="0"/>
              <w:right w:val="single" w:color="auto" w:sz="4" w:space="0"/>
            </w:tcBorders>
            <w:vAlign w:val="center"/>
          </w:tcPr>
          <w:p>
            <w:pPr>
              <w:widowControl/>
              <w:jc w:val="center"/>
              <w:rPr>
                <w:rFonts w:hint="eastAsia" w:ascii="宋体" w:hAnsi="宋体" w:cs="宋体"/>
                <w:color w:val="auto"/>
                <w:kern w:val="0"/>
                <w:szCs w:val="21"/>
              </w:rPr>
            </w:pPr>
          </w:p>
        </w:tc>
        <w:tc>
          <w:tcPr>
            <w:tcW w:w="2018" w:type="dxa"/>
            <w:tcBorders>
              <w:top w:val="single" w:color="auto" w:sz="4" w:space="0"/>
              <w:left w:val="nil"/>
              <w:bottom w:val="single" w:color="auto" w:sz="4" w:space="0"/>
              <w:right w:val="single" w:color="auto" w:sz="4" w:space="0"/>
            </w:tcBorders>
            <w:vAlign w:val="center"/>
          </w:tcPr>
          <w:p>
            <w:pPr>
              <w:widowControl/>
              <w:jc w:val="center"/>
              <w:rPr>
                <w:rFonts w:hint="default" w:ascii="宋体" w:hAnsi="宋体" w:eastAsia="宋体" w:cs="宋体"/>
                <w:color w:val="auto"/>
                <w:kern w:val="0"/>
                <w:szCs w:val="21"/>
                <w:lang w:val="en-US" w:eastAsia="zh-CN"/>
              </w:rPr>
            </w:pPr>
            <w:r>
              <w:rPr>
                <w:rFonts w:hint="eastAsia" w:ascii="宋体" w:hAnsi="宋体" w:cs="宋体"/>
                <w:color w:val="auto"/>
                <w:szCs w:val="21"/>
                <w:lang w:val="en-US" w:eastAsia="zh-CN"/>
              </w:rPr>
              <w:t>重难点关键工程的施工方案</w:t>
            </w:r>
          </w:p>
        </w:tc>
        <w:tc>
          <w:tcPr>
            <w:tcW w:w="840"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Cs w:val="21"/>
                <w:lang w:eastAsia="zh-CN"/>
              </w:rPr>
            </w:pPr>
            <w:r>
              <w:rPr>
                <w:rFonts w:hint="eastAsia" w:ascii="宋体" w:hAnsi="宋体" w:cs="宋体"/>
                <w:color w:val="auto"/>
                <w:kern w:val="0"/>
                <w:szCs w:val="21"/>
              </w:rPr>
              <w:t>0-</w:t>
            </w:r>
            <w:r>
              <w:rPr>
                <w:rFonts w:hint="eastAsia" w:ascii="宋体" w:hAnsi="宋体" w:cs="宋体"/>
                <w:color w:val="auto"/>
                <w:kern w:val="0"/>
                <w:szCs w:val="21"/>
                <w:lang w:val="en-US" w:eastAsia="zh-CN"/>
              </w:rPr>
              <w:t>5</w:t>
            </w:r>
          </w:p>
        </w:tc>
        <w:tc>
          <w:tcPr>
            <w:tcW w:w="5775"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color w:val="auto"/>
                <w:szCs w:val="21"/>
              </w:rPr>
            </w:pPr>
            <w:r>
              <w:rPr>
                <w:rFonts w:hint="default" w:ascii="宋体" w:hAnsi="宋体" w:eastAsia="宋体" w:cs="宋体"/>
                <w:color w:val="000000"/>
                <w:sz w:val="21"/>
                <w:szCs w:val="21"/>
                <w:lang w:val="zh-CN"/>
              </w:rPr>
              <w:t>视方案优劣打分，一般的得1-1.9分，较好的得2-4分，好的得4.1-5分</w:t>
            </w:r>
            <w:r>
              <w:rPr>
                <w:rFonts w:hint="eastAsia" w:ascii="宋体" w:hAnsi="宋体" w:eastAsia="宋体" w:cs="宋体"/>
                <w:color w:val="000000"/>
                <w:sz w:val="21"/>
                <w:szCs w:val="21"/>
                <w:lang w:val="zh-CN"/>
              </w:rPr>
              <w:t>，</w:t>
            </w:r>
            <w:r>
              <w:rPr>
                <w:rFonts w:hint="eastAsia" w:ascii="宋体" w:hAnsi="宋体" w:cs="宋体"/>
                <w:color w:val="auto"/>
                <w:szCs w:val="21"/>
              </w:rPr>
              <w:t>不提供不得分。</w:t>
            </w:r>
          </w:p>
        </w:tc>
      </w:tr>
      <w:tr>
        <w:tblPrEx>
          <w:tblCellMar>
            <w:top w:w="0" w:type="dxa"/>
            <w:left w:w="108" w:type="dxa"/>
            <w:bottom w:w="0" w:type="dxa"/>
            <w:right w:w="108" w:type="dxa"/>
          </w:tblCellMar>
        </w:tblPrEx>
        <w:trPr>
          <w:trHeight w:val="737" w:hRule="atLeast"/>
        </w:trPr>
        <w:tc>
          <w:tcPr>
            <w:tcW w:w="74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4</w:t>
            </w:r>
          </w:p>
        </w:tc>
        <w:tc>
          <w:tcPr>
            <w:tcW w:w="945" w:type="dxa"/>
            <w:vMerge w:val="continue"/>
            <w:tcBorders>
              <w:left w:val="single" w:color="auto" w:sz="4" w:space="0"/>
              <w:right w:val="single" w:color="auto" w:sz="4" w:space="0"/>
            </w:tcBorders>
            <w:vAlign w:val="center"/>
          </w:tcPr>
          <w:p>
            <w:pPr>
              <w:widowControl/>
              <w:jc w:val="center"/>
              <w:rPr>
                <w:rFonts w:hint="eastAsia" w:ascii="宋体" w:hAnsi="宋体" w:cs="宋体"/>
                <w:color w:val="auto"/>
                <w:kern w:val="0"/>
                <w:szCs w:val="21"/>
              </w:rPr>
            </w:pPr>
          </w:p>
        </w:tc>
        <w:tc>
          <w:tcPr>
            <w:tcW w:w="2018" w:type="dxa"/>
            <w:tcBorders>
              <w:top w:val="single" w:color="auto" w:sz="4" w:space="0"/>
              <w:left w:val="nil"/>
              <w:bottom w:val="single" w:color="auto" w:sz="4" w:space="0"/>
              <w:right w:val="single" w:color="auto" w:sz="4" w:space="0"/>
            </w:tcBorders>
            <w:vAlign w:val="center"/>
          </w:tcPr>
          <w:p>
            <w:pPr>
              <w:widowControl/>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质量安全进度保障方案</w:t>
            </w:r>
          </w:p>
        </w:tc>
        <w:tc>
          <w:tcPr>
            <w:tcW w:w="840"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Cs w:val="21"/>
                <w:lang w:eastAsia="zh-CN"/>
              </w:rPr>
            </w:pPr>
            <w:r>
              <w:rPr>
                <w:rFonts w:hint="eastAsia" w:ascii="宋体" w:hAnsi="宋体" w:cs="宋体"/>
                <w:color w:val="auto"/>
                <w:kern w:val="0"/>
                <w:szCs w:val="21"/>
              </w:rPr>
              <w:t>0-</w:t>
            </w:r>
            <w:r>
              <w:rPr>
                <w:rFonts w:hint="eastAsia" w:ascii="宋体" w:hAnsi="宋体" w:cs="宋体"/>
                <w:color w:val="auto"/>
                <w:kern w:val="0"/>
                <w:szCs w:val="21"/>
                <w:lang w:val="en-US" w:eastAsia="zh-CN"/>
              </w:rPr>
              <w:t>5</w:t>
            </w:r>
          </w:p>
        </w:tc>
        <w:tc>
          <w:tcPr>
            <w:tcW w:w="5775"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szCs w:val="21"/>
                <w:lang w:eastAsia="zh-CN"/>
              </w:rPr>
            </w:pPr>
            <w:r>
              <w:rPr>
                <w:rFonts w:hint="default" w:ascii="宋体" w:hAnsi="宋体" w:eastAsia="宋体" w:cs="宋体"/>
                <w:color w:val="000000"/>
                <w:sz w:val="21"/>
                <w:szCs w:val="21"/>
                <w:lang w:val="zh-CN"/>
              </w:rPr>
              <w:t>视方案优劣打分，一般的得1-1.9分，较好的得2-4分，好的得4.1-5分</w:t>
            </w:r>
            <w:r>
              <w:rPr>
                <w:rFonts w:hint="eastAsia" w:ascii="宋体" w:hAnsi="宋体" w:eastAsia="宋体" w:cs="宋体"/>
                <w:color w:val="000000"/>
                <w:sz w:val="21"/>
                <w:szCs w:val="21"/>
                <w:lang w:val="zh-CN"/>
              </w:rPr>
              <w:t>，</w:t>
            </w:r>
            <w:r>
              <w:rPr>
                <w:rFonts w:hint="eastAsia" w:ascii="宋体" w:hAnsi="宋体" w:cs="宋体"/>
                <w:color w:val="auto"/>
                <w:szCs w:val="21"/>
              </w:rPr>
              <w:t>不提供不得分</w:t>
            </w:r>
            <w:r>
              <w:rPr>
                <w:rFonts w:hint="default" w:ascii="宋体" w:hAnsi="宋体" w:eastAsia="宋体" w:cs="宋体"/>
                <w:color w:val="000000"/>
                <w:sz w:val="21"/>
                <w:szCs w:val="21"/>
                <w:lang w:val="zh-CN"/>
              </w:rPr>
              <w:t>。</w:t>
            </w:r>
          </w:p>
        </w:tc>
      </w:tr>
      <w:tr>
        <w:tblPrEx>
          <w:tblCellMar>
            <w:top w:w="0" w:type="dxa"/>
            <w:left w:w="108" w:type="dxa"/>
            <w:bottom w:w="0" w:type="dxa"/>
            <w:right w:w="108" w:type="dxa"/>
          </w:tblCellMar>
        </w:tblPrEx>
        <w:trPr>
          <w:trHeight w:val="1077" w:hRule="atLeast"/>
        </w:trPr>
        <w:tc>
          <w:tcPr>
            <w:tcW w:w="74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auto"/>
                <w:kern w:val="0"/>
                <w:szCs w:val="21"/>
              </w:rPr>
            </w:pPr>
            <w:r>
              <w:rPr>
                <w:rFonts w:hint="eastAsia" w:ascii="宋体" w:hAnsi="宋体" w:cs="宋体"/>
                <w:color w:val="auto"/>
                <w:kern w:val="0"/>
                <w:szCs w:val="21"/>
              </w:rPr>
              <w:t>5</w:t>
            </w:r>
          </w:p>
        </w:tc>
        <w:tc>
          <w:tcPr>
            <w:tcW w:w="945" w:type="dxa"/>
            <w:vMerge w:val="continue"/>
            <w:tcBorders>
              <w:left w:val="single" w:color="auto" w:sz="4" w:space="0"/>
              <w:bottom w:val="single" w:color="auto" w:sz="4" w:space="0"/>
              <w:right w:val="single" w:color="auto" w:sz="4" w:space="0"/>
            </w:tcBorders>
            <w:vAlign w:val="center"/>
          </w:tcPr>
          <w:p>
            <w:pPr>
              <w:widowControl/>
              <w:jc w:val="center"/>
              <w:rPr>
                <w:rFonts w:hint="eastAsia" w:ascii="宋体" w:hAnsi="宋体" w:cs="宋体"/>
                <w:bCs/>
                <w:color w:val="auto"/>
                <w:szCs w:val="21"/>
              </w:rPr>
            </w:pPr>
          </w:p>
        </w:tc>
        <w:tc>
          <w:tcPr>
            <w:tcW w:w="2018" w:type="dxa"/>
            <w:tcBorders>
              <w:top w:val="single" w:color="auto" w:sz="4" w:space="0"/>
              <w:left w:val="nil"/>
              <w:bottom w:val="single" w:color="auto" w:sz="4" w:space="0"/>
              <w:right w:val="single" w:color="auto" w:sz="4" w:space="0"/>
            </w:tcBorders>
            <w:vAlign w:val="center"/>
          </w:tcPr>
          <w:p>
            <w:pPr>
              <w:widowControl/>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信誉及业绩评价</w:t>
            </w:r>
          </w:p>
        </w:tc>
        <w:tc>
          <w:tcPr>
            <w:tcW w:w="840"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Cs w:val="21"/>
                <w:lang w:eastAsia="zh-CN"/>
              </w:rPr>
            </w:pPr>
            <w:r>
              <w:rPr>
                <w:rFonts w:hint="eastAsia" w:ascii="宋体" w:hAnsi="宋体" w:cs="宋体"/>
                <w:color w:val="auto"/>
                <w:kern w:val="0"/>
                <w:szCs w:val="21"/>
              </w:rPr>
              <w:t>0-</w:t>
            </w:r>
            <w:r>
              <w:rPr>
                <w:rFonts w:hint="eastAsia" w:ascii="宋体" w:hAnsi="宋体" w:cs="宋体"/>
                <w:color w:val="auto"/>
                <w:kern w:val="0"/>
                <w:szCs w:val="21"/>
                <w:lang w:val="en-US" w:eastAsia="zh-CN"/>
              </w:rPr>
              <w:t>5</w:t>
            </w:r>
          </w:p>
        </w:tc>
        <w:tc>
          <w:tcPr>
            <w:tcW w:w="5775"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auto"/>
                <w:szCs w:val="21"/>
              </w:rPr>
            </w:pPr>
            <w:r>
              <w:rPr>
                <w:rFonts w:hint="eastAsia" w:ascii="宋体" w:hAnsi="宋体" w:cs="宋体"/>
                <w:color w:val="auto"/>
                <w:szCs w:val="21"/>
              </w:rPr>
              <w:t>根据投标人签订合同时间为201</w:t>
            </w:r>
            <w:r>
              <w:rPr>
                <w:rFonts w:hint="eastAsia" w:ascii="宋体" w:hAnsi="宋体" w:cs="宋体"/>
                <w:color w:val="auto"/>
                <w:szCs w:val="21"/>
                <w:lang w:val="en-US" w:eastAsia="zh-CN"/>
              </w:rPr>
              <w:t>0</w:t>
            </w:r>
            <w:r>
              <w:rPr>
                <w:rFonts w:hint="eastAsia" w:ascii="宋体" w:hAnsi="宋体" w:cs="宋体"/>
                <w:color w:val="auto"/>
                <w:szCs w:val="21"/>
              </w:rPr>
              <w:t>年1月1日至今同类业绩合同进行评定：每提供一个同类项目合同得1分，最多得</w:t>
            </w:r>
            <w:r>
              <w:rPr>
                <w:rFonts w:hint="eastAsia" w:ascii="宋体" w:hAnsi="宋体" w:cs="宋体"/>
                <w:color w:val="auto"/>
                <w:szCs w:val="21"/>
                <w:lang w:val="en-US" w:eastAsia="zh-CN"/>
              </w:rPr>
              <w:t>5</w:t>
            </w:r>
            <w:r>
              <w:rPr>
                <w:rFonts w:hint="eastAsia" w:ascii="宋体" w:hAnsi="宋体" w:cs="宋体"/>
                <w:color w:val="auto"/>
                <w:szCs w:val="21"/>
              </w:rPr>
              <w:t>分。</w:t>
            </w:r>
          </w:p>
          <w:p>
            <w:pPr>
              <w:widowControl/>
              <w:jc w:val="left"/>
              <w:rPr>
                <w:rFonts w:hint="eastAsia" w:ascii="宋体" w:hAnsi="宋体" w:eastAsia="宋体" w:cs="宋体"/>
                <w:color w:val="auto"/>
                <w:szCs w:val="21"/>
                <w:lang w:eastAsia="zh-CN"/>
              </w:rPr>
            </w:pPr>
            <w:r>
              <w:rPr>
                <w:rFonts w:hint="eastAsia" w:ascii="宋体" w:hAnsi="宋体" w:cs="宋体"/>
                <w:color w:val="auto"/>
                <w:szCs w:val="21"/>
              </w:rPr>
              <w:t>提供合同复印件加盖公章</w:t>
            </w:r>
            <w:r>
              <w:rPr>
                <w:rFonts w:hint="eastAsia" w:ascii="宋体" w:hAnsi="宋体" w:cs="宋体"/>
                <w:color w:val="auto"/>
                <w:szCs w:val="21"/>
                <w:lang w:eastAsia="zh-CN"/>
              </w:rPr>
              <w:t>，</w:t>
            </w:r>
            <w:r>
              <w:rPr>
                <w:rFonts w:hint="eastAsia" w:ascii="宋体" w:hAnsi="宋体" w:cs="宋体"/>
                <w:color w:val="auto"/>
                <w:szCs w:val="21"/>
              </w:rPr>
              <w:t>不提供不得分</w:t>
            </w:r>
            <w:r>
              <w:rPr>
                <w:rFonts w:hint="eastAsia" w:ascii="宋体" w:hAnsi="宋体" w:cs="宋体"/>
                <w:color w:val="auto"/>
                <w:szCs w:val="21"/>
                <w:lang w:eastAsia="zh-CN"/>
              </w:rPr>
              <w:t>。</w:t>
            </w:r>
          </w:p>
        </w:tc>
      </w:tr>
    </w:tbl>
    <w:p>
      <w:pPr>
        <w:pStyle w:val="2"/>
        <w:spacing w:after="0" w:line="240" w:lineRule="auto"/>
        <w:ind w:left="0" w:leftChars="0" w:right="0" w:rightChars="0" w:firstLine="0" w:firstLineChars="0"/>
        <w:jc w:val="both"/>
        <w:rPr>
          <w:rFonts w:hint="eastAsia" w:ascii="宋体" w:hAnsi="宋体" w:cs="仿宋_GB2312"/>
          <w:color w:val="auto"/>
          <w:kern w:val="0"/>
          <w:sz w:val="21"/>
          <w:szCs w:val="21"/>
        </w:rPr>
      </w:pPr>
      <w:r>
        <w:rPr>
          <w:rFonts w:hint="eastAsia" w:ascii="宋体" w:hAnsi="宋体" w:cs="仿宋_GB2312"/>
          <w:color w:val="auto"/>
          <w:kern w:val="0"/>
          <w:sz w:val="21"/>
          <w:szCs w:val="21"/>
        </w:rPr>
        <w:t>本次评分办法为综合评分法，满分</w:t>
      </w:r>
      <w:r>
        <w:rPr>
          <w:rFonts w:ascii="宋体" w:hAnsi="宋体" w:cs="仿宋_GB2312"/>
          <w:color w:val="auto"/>
          <w:kern w:val="0"/>
          <w:sz w:val="21"/>
          <w:szCs w:val="21"/>
        </w:rPr>
        <w:t>100</w:t>
      </w:r>
      <w:r>
        <w:rPr>
          <w:rFonts w:hint="eastAsia" w:ascii="宋体" w:hAnsi="宋体" w:cs="仿宋_GB2312"/>
          <w:color w:val="auto"/>
          <w:kern w:val="0"/>
          <w:sz w:val="21"/>
          <w:szCs w:val="21"/>
        </w:rPr>
        <w:t>分，其中报价</w:t>
      </w:r>
      <w:r>
        <w:rPr>
          <w:rFonts w:hint="eastAsia" w:ascii="宋体" w:hAnsi="宋体" w:cs="仿宋_GB2312"/>
          <w:color w:val="auto"/>
          <w:kern w:val="0"/>
          <w:sz w:val="21"/>
          <w:szCs w:val="21"/>
          <w:u w:val="single"/>
        </w:rPr>
        <w:t>80</w:t>
      </w:r>
      <w:r>
        <w:rPr>
          <w:rFonts w:hint="eastAsia" w:ascii="宋体" w:hAnsi="宋体" w:cs="仿宋_GB2312"/>
          <w:color w:val="auto"/>
          <w:kern w:val="0"/>
          <w:sz w:val="21"/>
          <w:szCs w:val="21"/>
        </w:rPr>
        <w:t>分，其他</w:t>
      </w:r>
      <w:r>
        <w:rPr>
          <w:rFonts w:hint="eastAsia" w:ascii="宋体" w:hAnsi="宋体" w:cs="仿宋_GB2312"/>
          <w:color w:val="auto"/>
          <w:kern w:val="0"/>
          <w:sz w:val="21"/>
          <w:szCs w:val="21"/>
          <w:u w:val="single"/>
        </w:rPr>
        <w:t>20</w:t>
      </w:r>
      <w:r>
        <w:rPr>
          <w:rFonts w:hint="eastAsia" w:ascii="宋体" w:hAnsi="宋体" w:cs="仿宋_GB2312"/>
          <w:color w:val="auto"/>
          <w:kern w:val="0"/>
          <w:sz w:val="21"/>
          <w:szCs w:val="21"/>
        </w:rPr>
        <w:t>分。</w:t>
      </w:r>
    </w:p>
    <w:p>
      <w:pPr>
        <w:pStyle w:val="2"/>
        <w:spacing w:after="0" w:line="240" w:lineRule="auto"/>
        <w:ind w:left="0" w:leftChars="0" w:right="0" w:rightChars="0" w:firstLine="0" w:firstLineChars="0"/>
        <w:jc w:val="both"/>
        <w:rPr>
          <w:rFonts w:hint="eastAsia" w:ascii="宋体" w:hAnsi="宋体" w:cs="仿宋_GB2312"/>
          <w:color w:val="auto"/>
          <w:kern w:val="0"/>
          <w:sz w:val="21"/>
          <w:szCs w:val="21"/>
        </w:rPr>
      </w:pPr>
    </w:p>
    <w:p>
      <w:pPr>
        <w:autoSpaceDE w:val="0"/>
        <w:autoSpaceDN w:val="0"/>
        <w:adjustRightInd w:val="0"/>
        <w:jc w:val="center"/>
        <w:rPr>
          <w:rFonts w:ascii="宋体" w:hAnsi="宋体" w:cs="TimesNewRomanPSMT"/>
          <w:b/>
          <w:kern w:val="0"/>
          <w:szCs w:val="21"/>
        </w:rPr>
      </w:pPr>
      <w:r>
        <w:rPr>
          <w:rFonts w:hint="eastAsia" w:ascii="宋体" w:hAnsi="宋体" w:cs="TimesNewRomanPSMT"/>
          <w:b/>
          <w:kern w:val="0"/>
          <w:szCs w:val="21"/>
        </w:rPr>
        <w:t>第四章工程报价及付款</w:t>
      </w:r>
    </w:p>
    <w:p>
      <w:pPr>
        <w:autoSpaceDE w:val="0"/>
        <w:autoSpaceDN w:val="0"/>
        <w:adjustRightInd w:val="0"/>
        <w:jc w:val="left"/>
        <w:rPr>
          <w:rFonts w:ascii="宋体" w:hAnsi="宋体" w:cs="TimesNewRomanPSMT"/>
          <w:b/>
          <w:kern w:val="0"/>
          <w:szCs w:val="21"/>
        </w:rPr>
      </w:pPr>
      <w:r>
        <w:rPr>
          <w:rFonts w:ascii="宋体" w:hAnsi="宋体" w:cs="TimesNewRomanPSMT"/>
          <w:b/>
          <w:kern w:val="0"/>
          <w:szCs w:val="21"/>
        </w:rPr>
        <w:t xml:space="preserve">1. </w:t>
      </w:r>
      <w:r>
        <w:rPr>
          <w:rFonts w:hint="eastAsia" w:ascii="宋体" w:hAnsi="宋体" w:cs="TimesNewRomanPSMT"/>
          <w:b/>
          <w:kern w:val="0"/>
          <w:szCs w:val="21"/>
        </w:rPr>
        <w:t>工程报价说明</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1.1 </w:t>
      </w:r>
      <w:r>
        <w:rPr>
          <w:rFonts w:hint="eastAsia" w:ascii="宋体" w:hAnsi="宋体" w:cs="TimesNewRomanPSMT"/>
          <w:kern w:val="0"/>
          <w:szCs w:val="21"/>
        </w:rPr>
        <w:t>本工程报价是根据招标文件中包括的、有合同约束力的图纸以及相关国家标准、行业标准、合同条款中约定的规则编制。</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1.2 </w:t>
      </w:r>
      <w:r>
        <w:rPr>
          <w:rFonts w:hint="eastAsia" w:ascii="宋体" w:hAnsi="宋体" w:cs="TimesNewRomanPSMT"/>
          <w:kern w:val="0"/>
          <w:szCs w:val="21"/>
        </w:rPr>
        <w:t>本工程报价应与招标文件中的投标人须知、通用合同条款、专用合同条款、技术标准和要求及图纸等一起阅读和理解。</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1.3 </w:t>
      </w:r>
      <w:r>
        <w:rPr>
          <w:rFonts w:hint="eastAsia" w:ascii="宋体" w:hAnsi="宋体" w:cs="TimesNewRomanPSMT"/>
          <w:kern w:val="0"/>
          <w:szCs w:val="21"/>
        </w:rPr>
        <w:t>本工程报价和工程价款的支付应遵循合同条款的约定。</w:t>
      </w:r>
    </w:p>
    <w:p>
      <w:pPr>
        <w:autoSpaceDE w:val="0"/>
        <w:autoSpaceDN w:val="0"/>
        <w:adjustRightInd w:val="0"/>
        <w:jc w:val="left"/>
        <w:rPr>
          <w:rFonts w:ascii="宋体" w:hAnsi="宋体" w:cs="TimesNewRomanPSMT"/>
          <w:b/>
          <w:kern w:val="0"/>
          <w:szCs w:val="21"/>
        </w:rPr>
      </w:pPr>
      <w:r>
        <w:rPr>
          <w:rFonts w:ascii="宋体" w:hAnsi="宋体" w:cs="TimesNewRomanPSMT"/>
          <w:b/>
          <w:kern w:val="0"/>
          <w:szCs w:val="21"/>
        </w:rPr>
        <w:t xml:space="preserve">2. </w:t>
      </w:r>
      <w:r>
        <w:rPr>
          <w:rFonts w:hint="eastAsia" w:ascii="宋体" w:hAnsi="宋体" w:cs="TimesNewRomanPSMT"/>
          <w:b/>
          <w:kern w:val="0"/>
          <w:szCs w:val="21"/>
        </w:rPr>
        <w:t>投标报价说明</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2.1 根据本工程特点，结合自身的能力和管理水平，在充分考虑各种风险的基础上，自行</w:t>
      </w:r>
      <w:r>
        <w:rPr>
          <w:rFonts w:hint="eastAsia" w:ascii="宋体" w:hAnsi="宋体" w:cs="TimesNewRomanPSMT"/>
          <w:kern w:val="0"/>
          <w:szCs w:val="21"/>
        </w:rPr>
        <w:t>确定</w:t>
      </w:r>
      <w:r>
        <w:rPr>
          <w:rFonts w:ascii="宋体" w:hAnsi="宋体" w:cs="TimesNewRomanPSMT"/>
          <w:kern w:val="0"/>
          <w:szCs w:val="21"/>
        </w:rPr>
        <w:t>报价</w:t>
      </w:r>
      <w:r>
        <w:rPr>
          <w:rFonts w:hint="eastAsia" w:ascii="宋体" w:hAnsi="宋体" w:cs="TimesNewRomanPSMT"/>
          <w:kern w:val="0"/>
          <w:szCs w:val="21"/>
        </w:rPr>
        <w:t>。</w:t>
      </w:r>
    </w:p>
    <w:p>
      <w:pPr>
        <w:autoSpaceDE w:val="0"/>
        <w:autoSpaceDN w:val="0"/>
        <w:adjustRightInd w:val="0"/>
        <w:jc w:val="left"/>
        <w:rPr>
          <w:rFonts w:ascii="宋体" w:hAnsi="宋体" w:cs="TimesNewRomanPSMT"/>
          <w:color w:val="4F81BD" w:themeColor="accent1"/>
          <w:kern w:val="0"/>
          <w:szCs w:val="21"/>
        </w:rPr>
      </w:pPr>
      <w:r>
        <w:rPr>
          <w:rFonts w:ascii="宋体" w:hAnsi="宋体" w:cs="TimesNewRomanPSMT"/>
          <w:kern w:val="0"/>
          <w:szCs w:val="21"/>
        </w:rPr>
        <w:t>2.2</w:t>
      </w:r>
      <w:r>
        <w:rPr>
          <w:rFonts w:hint="eastAsia" w:ascii="宋体" w:hAnsi="宋体" w:cs="TimesNewRomanPSMT"/>
          <w:kern w:val="0"/>
          <w:szCs w:val="21"/>
          <w:lang w:val="en-US" w:eastAsia="zh-CN"/>
        </w:rPr>
        <w:t xml:space="preserve"> </w:t>
      </w:r>
      <w:r>
        <w:rPr>
          <w:rFonts w:hint="eastAsia" w:ascii="宋体" w:hAnsi="宋体" w:cs="TimesNewRomanPSMT"/>
          <w:szCs w:val="21"/>
          <w:lang w:val="en-US" w:eastAsia="zh-CN"/>
        </w:rPr>
        <w:t>结算</w:t>
      </w:r>
      <w:r>
        <w:rPr>
          <w:rFonts w:hint="eastAsia" w:ascii="宋体" w:hAnsi="宋体" w:cs="TimesNewRomanPSMT"/>
          <w:szCs w:val="21"/>
        </w:rPr>
        <w:t>方式：</w:t>
      </w:r>
      <w:r>
        <w:rPr>
          <w:rFonts w:hint="eastAsia" w:ascii="宋体" w:hAnsi="宋体" w:cs="TimesNewRomanPSMT"/>
          <w:b/>
          <w:bCs/>
          <w:color w:val="0000FF"/>
          <w:szCs w:val="21"/>
          <w:u w:val="single"/>
        </w:rPr>
        <w:t>审计结算价</w:t>
      </w:r>
      <w:r>
        <w:rPr>
          <w:rFonts w:hint="eastAsia" w:ascii="宋体" w:hAnsi="宋体" w:cs="TimesNewRomanPSMT"/>
          <w:b/>
          <w:bCs/>
          <w:color w:val="0000FF"/>
          <w:szCs w:val="21"/>
          <w:u w:val="single"/>
          <w:lang w:val="en-US" w:eastAsia="zh-CN"/>
        </w:rPr>
        <w:t>*（1-中标率），</w:t>
      </w:r>
      <w:r>
        <w:rPr>
          <w:rFonts w:hint="eastAsia" w:ascii="宋体" w:hAnsi="宋体" w:cs="TimesNewRomanPSMT"/>
          <w:b w:val="0"/>
          <w:bCs w:val="0"/>
          <w:color w:val="0000FF"/>
          <w:szCs w:val="21"/>
          <w:u w:val="none"/>
          <w:lang w:val="en-US" w:eastAsia="zh-CN"/>
        </w:rPr>
        <w:t>审计结算价</w:t>
      </w:r>
      <w:r>
        <w:rPr>
          <w:rFonts w:hint="eastAsia" w:ascii="宋体" w:hAnsi="宋体" w:cs="TimesNewRomanPSMT"/>
          <w:color w:val="0000FF"/>
          <w:szCs w:val="21"/>
          <w:lang w:val="en-US" w:eastAsia="zh-CN"/>
        </w:rPr>
        <w:t>以业主确认及委托的第三方审计公司为准</w:t>
      </w:r>
      <w:r>
        <w:rPr>
          <w:rFonts w:ascii="宋体" w:hAnsi="宋体" w:cs="TimesNewRomanPSMT"/>
          <w:color w:val="0000FF"/>
          <w:kern w:val="0"/>
          <w:szCs w:val="21"/>
        </w:rPr>
        <w:t>。</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2.3 </w:t>
      </w:r>
      <w:r>
        <w:rPr>
          <w:rFonts w:ascii="宋体" w:hAnsi="宋体" w:cs="TimesNewRomanPSMT"/>
          <w:kern w:val="0"/>
          <w:szCs w:val="21"/>
        </w:rPr>
        <w:t>报价依据为设计图纸、投标人自行取得的施工现场情况及</w:t>
      </w:r>
      <w:r>
        <w:rPr>
          <w:rFonts w:hint="eastAsia" w:ascii="宋体" w:hAnsi="宋体" w:cs="TimesNewRomanPSMT"/>
          <w:kern w:val="0"/>
          <w:szCs w:val="21"/>
        </w:rPr>
        <w:t>招标人</w:t>
      </w:r>
      <w:r>
        <w:rPr>
          <w:rFonts w:ascii="宋体" w:hAnsi="宋体" w:cs="TimesNewRomanPSMT"/>
          <w:kern w:val="0"/>
          <w:szCs w:val="21"/>
        </w:rPr>
        <w:t>对于质量、工期、安全、环保等各方面要求</w:t>
      </w:r>
      <w:r>
        <w:rPr>
          <w:rFonts w:hint="eastAsia" w:ascii="宋体" w:hAnsi="宋体" w:cs="TimesNewRomanPSMT"/>
          <w:kern w:val="0"/>
          <w:szCs w:val="21"/>
        </w:rPr>
        <w:t>。</w:t>
      </w:r>
    </w:p>
    <w:p>
      <w:pPr>
        <w:autoSpaceDE w:val="0"/>
        <w:autoSpaceDN w:val="0"/>
        <w:adjustRightInd w:val="0"/>
        <w:jc w:val="left"/>
        <w:rPr>
          <w:rFonts w:ascii="宋体" w:hAnsi="宋体" w:cs="TimesNewRomanPSMT"/>
          <w:b/>
          <w:bCs/>
          <w:kern w:val="0"/>
          <w:szCs w:val="21"/>
        </w:rPr>
      </w:pPr>
      <w:r>
        <w:rPr>
          <w:rFonts w:hint="eastAsia" w:ascii="宋体" w:hAnsi="宋体" w:cs="TimesNewRomanPSMT"/>
          <w:kern w:val="0"/>
          <w:szCs w:val="21"/>
        </w:rPr>
        <w:t>2.4 材料的供应：</w:t>
      </w:r>
      <w:r>
        <w:rPr>
          <w:rFonts w:hint="eastAsia" w:ascii="宋体" w:hAnsi="宋体" w:cs="TimesNewRomanPSMT"/>
          <w:b/>
          <w:bCs/>
          <w:color w:val="0000FF"/>
          <w:kern w:val="0"/>
          <w:szCs w:val="21"/>
        </w:rPr>
        <w:t>本工程涉及到的</w:t>
      </w:r>
      <w:r>
        <w:rPr>
          <w:rFonts w:hint="eastAsia" w:ascii="宋体" w:hAnsi="宋体" w:cs="TimesNewRomanPSMT"/>
          <w:b/>
          <w:bCs/>
          <w:color w:val="0000FF"/>
          <w:kern w:val="0"/>
          <w:szCs w:val="21"/>
          <w:u w:val="single"/>
          <w:lang w:val="en-US" w:eastAsia="zh-CN"/>
        </w:rPr>
        <w:t xml:space="preserve">  </w:t>
      </w:r>
      <w:r>
        <w:rPr>
          <w:rFonts w:hint="eastAsia" w:ascii="宋体" w:hAnsi="宋体" w:cs="TimesNewRomanPSMT"/>
          <w:b w:val="0"/>
          <w:bCs w:val="0"/>
          <w:color w:val="0000FF"/>
          <w:kern w:val="0"/>
          <w:szCs w:val="21"/>
          <w:u w:val="single"/>
          <w:lang w:val="en-US" w:eastAsia="zh-CN"/>
        </w:rPr>
        <w:t>混凝土、钢材、管材等</w:t>
      </w:r>
      <w:r>
        <w:rPr>
          <w:rFonts w:hint="eastAsia" w:ascii="宋体" w:hAnsi="宋体" w:cs="TimesNewRomanPSMT"/>
          <w:b/>
          <w:bCs/>
          <w:color w:val="0000FF"/>
          <w:kern w:val="0"/>
          <w:szCs w:val="21"/>
          <w:u w:val="single"/>
          <w:lang w:val="en-US" w:eastAsia="zh-CN"/>
        </w:rPr>
        <w:t xml:space="preserve">  </w:t>
      </w:r>
      <w:r>
        <w:rPr>
          <w:rFonts w:hint="eastAsia" w:ascii="宋体" w:hAnsi="宋体" w:cs="TimesNewRomanPSMT"/>
          <w:b/>
          <w:bCs/>
          <w:kern w:val="0"/>
          <w:szCs w:val="21"/>
        </w:rPr>
        <w:t>由招标单位提供，其余材料投标人自行负责采购。</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2.5 </w:t>
      </w:r>
      <w:r>
        <w:rPr>
          <w:rFonts w:ascii="宋体" w:hAnsi="宋体" w:cs="TimesNewRomanPSMT"/>
          <w:kern w:val="0"/>
          <w:szCs w:val="21"/>
        </w:rPr>
        <w:t>施工机具、周转材料供应</w:t>
      </w:r>
      <w:r>
        <w:rPr>
          <w:rFonts w:hint="eastAsia" w:ascii="宋体" w:hAnsi="宋体" w:cs="TimesNewRomanPSMT"/>
          <w:kern w:val="0"/>
          <w:szCs w:val="21"/>
        </w:rPr>
        <w:t>：由投标人自行提供。</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2.6 严重违约退场</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2.6.1 投标人未按承包人要求进行施工，工期、质量、安全严重不符合要求时，招标人可解除合同，令投标人无条件退场，并追究投标人的违约责任。招标人在投标人发生如下情况时有权要求退场并解除</w:t>
      </w:r>
      <w:r>
        <w:rPr>
          <w:rFonts w:ascii="宋体" w:hAnsi="宋体" w:cs="TimesNewRomanPSMT"/>
          <w:kern w:val="0"/>
          <w:szCs w:val="21"/>
        </w:rPr>
        <w:t>合同</w:t>
      </w:r>
      <w:r>
        <w:rPr>
          <w:rFonts w:hint="eastAsia" w:ascii="宋体" w:hAnsi="宋体" w:cs="TimesNewRomanPSMT"/>
          <w:kern w:val="0"/>
          <w:szCs w:val="21"/>
        </w:rPr>
        <w:t>,招标人</w:t>
      </w:r>
      <w:r>
        <w:rPr>
          <w:rFonts w:ascii="宋体" w:hAnsi="宋体" w:cs="TimesNewRomanPSMT"/>
          <w:kern w:val="0"/>
          <w:szCs w:val="21"/>
        </w:rPr>
        <w:t>有权以书面形式，采用挂号邮件或有传递记录的方式通知</w:t>
      </w:r>
      <w:r>
        <w:rPr>
          <w:rFonts w:hint="eastAsia" w:ascii="宋体" w:hAnsi="宋体" w:cs="TimesNewRomanPSMT"/>
          <w:kern w:val="0"/>
          <w:szCs w:val="21"/>
        </w:rPr>
        <w:t>投标人解除</w:t>
      </w:r>
      <w:r>
        <w:rPr>
          <w:rFonts w:ascii="宋体" w:hAnsi="宋体" w:cs="TimesNewRomanPSMT"/>
          <w:kern w:val="0"/>
          <w:szCs w:val="21"/>
        </w:rPr>
        <w:t>本合同对</w:t>
      </w:r>
      <w:r>
        <w:rPr>
          <w:rFonts w:hint="eastAsia" w:ascii="宋体" w:hAnsi="宋体" w:cs="TimesNewRomanPSMT"/>
          <w:kern w:val="0"/>
          <w:szCs w:val="21"/>
        </w:rPr>
        <w:t>投标人</w:t>
      </w:r>
      <w:r>
        <w:rPr>
          <w:rFonts w:ascii="宋体" w:hAnsi="宋体" w:cs="TimesNewRomanPSMT"/>
          <w:kern w:val="0"/>
          <w:szCs w:val="21"/>
        </w:rPr>
        <w:t>的委托及任用：</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1）</w:t>
      </w:r>
      <w:r>
        <w:rPr>
          <w:rFonts w:ascii="宋体" w:hAnsi="宋体" w:cs="TimesNewRomanPSMT"/>
          <w:kern w:val="0"/>
          <w:szCs w:val="21"/>
        </w:rPr>
        <w:t>在本工程完成前，</w:t>
      </w:r>
      <w:r>
        <w:rPr>
          <w:rFonts w:hint="eastAsia" w:ascii="宋体" w:hAnsi="宋体" w:cs="TimesNewRomanPSMT"/>
          <w:kern w:val="0"/>
          <w:szCs w:val="21"/>
        </w:rPr>
        <w:t>投标人</w:t>
      </w:r>
      <w:r>
        <w:rPr>
          <w:rFonts w:ascii="宋体" w:hAnsi="宋体" w:cs="TimesNewRomanPSMT"/>
          <w:kern w:val="0"/>
          <w:szCs w:val="21"/>
        </w:rPr>
        <w:t>无理停工；</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2）投标人</w:t>
      </w:r>
      <w:r>
        <w:rPr>
          <w:rFonts w:ascii="宋体" w:hAnsi="宋体" w:cs="TimesNewRomanPSMT"/>
          <w:kern w:val="0"/>
          <w:szCs w:val="21"/>
        </w:rPr>
        <w:t>未能有序地进行本工程；</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ascii="宋体" w:hAnsi="宋体" w:cs="TimesNewRomanPSMT"/>
          <w:kern w:val="0"/>
          <w:szCs w:val="21"/>
        </w:rPr>
        <w:t>工程严重</w:t>
      </w:r>
      <w:r>
        <w:rPr>
          <w:rFonts w:hint="eastAsia" w:ascii="宋体" w:hAnsi="宋体" w:cs="TimesNewRomanPSMT"/>
          <w:kern w:val="0"/>
          <w:szCs w:val="21"/>
        </w:rPr>
        <w:t>拖</w:t>
      </w:r>
      <w:r>
        <w:rPr>
          <w:rFonts w:ascii="宋体" w:hAnsi="宋体" w:cs="TimesNewRomanPSMT"/>
          <w:kern w:val="0"/>
          <w:szCs w:val="21"/>
        </w:rPr>
        <w:t>期并/或影响其它投标人的工程及</w:t>
      </w:r>
      <w:r>
        <w:rPr>
          <w:rFonts w:hint="eastAsia" w:ascii="宋体" w:hAnsi="宋体" w:cs="TimesNewRomanPSMT"/>
          <w:kern w:val="0"/>
          <w:szCs w:val="21"/>
        </w:rPr>
        <w:t>承包人</w:t>
      </w:r>
      <w:r>
        <w:rPr>
          <w:rFonts w:ascii="宋体" w:hAnsi="宋体" w:cs="TimesNewRomanPSMT"/>
          <w:kern w:val="0"/>
          <w:szCs w:val="21"/>
        </w:rPr>
        <w:t>的计划进度；</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4）投标人</w:t>
      </w:r>
      <w:r>
        <w:rPr>
          <w:rFonts w:ascii="宋体" w:hAnsi="宋体" w:cs="TimesNewRomanPSMT"/>
          <w:kern w:val="0"/>
          <w:szCs w:val="21"/>
        </w:rPr>
        <w:t>拒绝遵循或忽视监理单位及</w:t>
      </w:r>
      <w:r>
        <w:rPr>
          <w:rFonts w:hint="eastAsia" w:ascii="宋体" w:hAnsi="宋体" w:cs="TimesNewRomanPSMT"/>
          <w:kern w:val="0"/>
          <w:szCs w:val="21"/>
        </w:rPr>
        <w:t>招标人</w:t>
      </w:r>
      <w:r>
        <w:rPr>
          <w:rFonts w:ascii="宋体" w:hAnsi="宋体" w:cs="TimesNewRomanPSMT"/>
          <w:kern w:val="0"/>
          <w:szCs w:val="21"/>
        </w:rPr>
        <w:t>有关拆除不符合合同及规范规定的工程或材料的书面通知，并使工程受到相当程度的影响。</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2.6.2 </w:t>
      </w:r>
      <w:r>
        <w:rPr>
          <w:rFonts w:ascii="宋体" w:hAnsi="宋体" w:cs="TimesNewRomanPSMT"/>
          <w:kern w:val="0"/>
          <w:szCs w:val="21"/>
        </w:rPr>
        <w:t>当</w:t>
      </w:r>
      <w:r>
        <w:rPr>
          <w:rFonts w:hint="eastAsia" w:ascii="宋体" w:hAnsi="宋体" w:cs="TimesNewRomanPSMT"/>
          <w:kern w:val="0"/>
          <w:szCs w:val="21"/>
        </w:rPr>
        <w:t>投标人</w:t>
      </w:r>
      <w:r>
        <w:rPr>
          <w:rFonts w:ascii="宋体" w:hAnsi="宋体" w:cs="TimesNewRomanPSMT"/>
          <w:kern w:val="0"/>
          <w:szCs w:val="21"/>
        </w:rPr>
        <w:t>因上述原因被</w:t>
      </w:r>
      <w:r>
        <w:rPr>
          <w:rFonts w:hint="eastAsia" w:ascii="宋体" w:hAnsi="宋体" w:cs="TimesNewRomanPSMT"/>
          <w:kern w:val="0"/>
          <w:szCs w:val="21"/>
        </w:rPr>
        <w:t>解除</w:t>
      </w:r>
      <w:r>
        <w:rPr>
          <w:rFonts w:ascii="宋体" w:hAnsi="宋体" w:cs="TimesNewRomanPSMT"/>
          <w:kern w:val="0"/>
          <w:szCs w:val="21"/>
        </w:rPr>
        <w:t>合同对其的委托时，</w:t>
      </w:r>
      <w:r>
        <w:rPr>
          <w:rFonts w:hint="eastAsia" w:ascii="宋体" w:hAnsi="宋体" w:cs="TimesNewRomanPSMT"/>
          <w:kern w:val="0"/>
          <w:szCs w:val="21"/>
        </w:rPr>
        <w:t>招标人</w:t>
      </w:r>
      <w:r>
        <w:rPr>
          <w:rFonts w:ascii="宋体" w:hAnsi="宋体" w:cs="TimesNewRomanPSMT"/>
          <w:kern w:val="0"/>
          <w:szCs w:val="21"/>
        </w:rPr>
        <w:t>只须向</w:t>
      </w:r>
      <w:r>
        <w:rPr>
          <w:rFonts w:hint="eastAsia" w:ascii="宋体" w:hAnsi="宋体" w:cs="TimesNewRomanPSMT"/>
          <w:kern w:val="0"/>
          <w:szCs w:val="21"/>
        </w:rPr>
        <w:t>投标人</w:t>
      </w:r>
      <w:r>
        <w:rPr>
          <w:rFonts w:ascii="宋体" w:hAnsi="宋体" w:cs="TimesNewRomanPSMT"/>
          <w:kern w:val="0"/>
          <w:szCs w:val="21"/>
        </w:rPr>
        <w:t>支付</w:t>
      </w:r>
      <w:r>
        <w:rPr>
          <w:rFonts w:hint="eastAsia" w:ascii="宋体" w:hAnsi="宋体" w:cs="TimesNewRomanPSMT"/>
          <w:kern w:val="0"/>
          <w:szCs w:val="21"/>
        </w:rPr>
        <w:t>其</w:t>
      </w:r>
      <w:r>
        <w:rPr>
          <w:rFonts w:ascii="宋体" w:hAnsi="宋体" w:cs="TimesNewRomanPSMT"/>
          <w:kern w:val="0"/>
          <w:szCs w:val="21"/>
        </w:rPr>
        <w:t>实际完成的工作量的价值</w:t>
      </w:r>
      <w:r>
        <w:rPr>
          <w:rFonts w:hint="eastAsia" w:ascii="宋体" w:hAnsi="宋体" w:cs="TimesNewRomanPSMT"/>
          <w:kern w:val="0"/>
          <w:szCs w:val="21"/>
        </w:rPr>
        <w:t>，其余投标人自行承担</w:t>
      </w:r>
      <w:r>
        <w:rPr>
          <w:rFonts w:ascii="宋体" w:hAnsi="宋体" w:cs="TimesNewRomanPSMT"/>
          <w:kern w:val="0"/>
          <w:szCs w:val="21"/>
        </w:rPr>
        <w:t>。</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2.6.3 因违约而解除合同后，双方立即清理项目相关事宜，招标人只对投标人已完工的构成工程实体的分部分项按合同价格进行费用清理，其余费用投标人自行承担。</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2.7 </w:t>
      </w:r>
      <w:r>
        <w:rPr>
          <w:rFonts w:ascii="宋体" w:hAnsi="宋体" w:cs="TimesNewRomanPSMT"/>
          <w:kern w:val="0"/>
          <w:szCs w:val="21"/>
        </w:rPr>
        <w:t>工程款：</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2.7.1</w:t>
      </w:r>
      <w:r>
        <w:rPr>
          <w:rFonts w:ascii="宋体" w:hAnsi="宋体" w:cs="TimesNewRomanPSMT"/>
          <w:kern w:val="0"/>
          <w:szCs w:val="21"/>
        </w:rPr>
        <w:t>本工程预付款</w:t>
      </w:r>
      <w:r>
        <w:rPr>
          <w:rFonts w:hint="eastAsia" w:ascii="宋体" w:hAnsi="宋体" w:cs="TimesNewRomanPSMT"/>
          <w:kern w:val="0"/>
          <w:szCs w:val="21"/>
        </w:rPr>
        <w:t>：无。</w:t>
      </w:r>
    </w:p>
    <w:p>
      <w:pPr>
        <w:autoSpaceDE w:val="0"/>
        <w:autoSpaceDN w:val="0"/>
        <w:adjustRightInd w:val="0"/>
        <w:spacing w:line="240" w:lineRule="auto"/>
        <w:jc w:val="left"/>
        <w:rPr>
          <w:rFonts w:ascii="宋体" w:hAnsi="宋体" w:cs="TimesNewRomanPSMT"/>
          <w:kern w:val="0"/>
          <w:szCs w:val="21"/>
        </w:rPr>
      </w:pPr>
      <w:r>
        <w:rPr>
          <w:rFonts w:ascii="宋体" w:hAnsi="宋体" w:cs="TimesNewRomanPSMT"/>
          <w:kern w:val="0"/>
          <w:szCs w:val="21"/>
        </w:rPr>
        <w:t>投标人应于每月2</w:t>
      </w:r>
      <w:r>
        <w:rPr>
          <w:rFonts w:hint="eastAsia" w:ascii="宋体" w:hAnsi="宋体" w:cs="TimesNewRomanPSMT"/>
          <w:kern w:val="0"/>
          <w:szCs w:val="21"/>
        </w:rPr>
        <w:t>0</w:t>
      </w:r>
      <w:r>
        <w:rPr>
          <w:rFonts w:ascii="宋体" w:hAnsi="宋体" w:cs="TimesNewRomanPSMT"/>
          <w:kern w:val="0"/>
          <w:szCs w:val="21"/>
        </w:rPr>
        <w:t>日前把完整且符合条件的工程、物资、安全、质量部门已确认</w:t>
      </w:r>
      <w:r>
        <w:rPr>
          <w:rFonts w:hint="eastAsia" w:ascii="宋体" w:hAnsi="宋体" w:cs="TimesNewRomanPSMT"/>
          <w:kern w:val="0"/>
          <w:szCs w:val="21"/>
        </w:rPr>
        <w:t>的</w:t>
      </w:r>
      <w:r>
        <w:rPr>
          <w:rFonts w:ascii="宋体" w:hAnsi="宋体" w:cs="TimesNewRomanPSMT"/>
          <w:kern w:val="0"/>
          <w:szCs w:val="21"/>
        </w:rPr>
        <w:t>全部工作完成的月进度</w:t>
      </w:r>
      <w:r>
        <w:rPr>
          <w:rFonts w:hint="eastAsia" w:ascii="宋体" w:hAnsi="宋体" w:cs="TimesNewRomanPSMT"/>
          <w:kern w:val="0"/>
          <w:szCs w:val="21"/>
        </w:rPr>
        <w:t>报表</w:t>
      </w:r>
      <w:r>
        <w:rPr>
          <w:rFonts w:ascii="宋体" w:hAnsi="宋体" w:cs="TimesNewRomanPSMT"/>
          <w:kern w:val="0"/>
          <w:szCs w:val="21"/>
        </w:rPr>
        <w:t>交到</w:t>
      </w:r>
      <w:r>
        <w:rPr>
          <w:rFonts w:hint="eastAsia" w:ascii="宋体" w:hAnsi="宋体" w:cs="TimesNewRomanPSMT"/>
          <w:kern w:val="0"/>
          <w:szCs w:val="21"/>
        </w:rPr>
        <w:t>招标人</w:t>
      </w:r>
      <w:r>
        <w:rPr>
          <w:rFonts w:ascii="宋体" w:hAnsi="宋体" w:cs="TimesNewRomanPSMT"/>
          <w:kern w:val="0"/>
          <w:szCs w:val="21"/>
        </w:rPr>
        <w:t>项目经营部</w:t>
      </w:r>
      <w:r>
        <w:rPr>
          <w:rFonts w:hint="eastAsia" w:ascii="宋体" w:hAnsi="宋体" w:cs="TimesNewRomanPSMT"/>
          <w:kern w:val="0"/>
          <w:szCs w:val="21"/>
        </w:rPr>
        <w:t>审核</w:t>
      </w:r>
      <w:r>
        <w:rPr>
          <w:rFonts w:ascii="宋体" w:hAnsi="宋体" w:cs="TimesNewRomanPSMT"/>
          <w:kern w:val="0"/>
          <w:szCs w:val="21"/>
        </w:rPr>
        <w:t>，</w:t>
      </w:r>
      <w:r>
        <w:rPr>
          <w:rFonts w:hint="eastAsia" w:ascii="宋体" w:hAnsi="宋体" w:cs="TimesNewRomanPSMT"/>
          <w:kern w:val="0"/>
          <w:szCs w:val="21"/>
        </w:rPr>
        <w:t>招标人应在10个工作日内进行计量，投标人应当为计量提供便利条件并派人参加，投标人收到通知后不参加计量，计量结果有效，作为工程价款支付的依据。</w:t>
      </w:r>
      <w:r>
        <w:rPr>
          <w:rFonts w:ascii="宋体" w:hAnsi="宋体" w:cs="TimesNewRomanPSMT"/>
          <w:kern w:val="0"/>
          <w:szCs w:val="21"/>
        </w:rPr>
        <w:t>如超过规定时间（每月2</w:t>
      </w:r>
      <w:r>
        <w:rPr>
          <w:rFonts w:hint="eastAsia" w:ascii="宋体" w:hAnsi="宋体" w:cs="TimesNewRomanPSMT"/>
          <w:kern w:val="0"/>
          <w:szCs w:val="21"/>
        </w:rPr>
        <w:t>0</w:t>
      </w:r>
      <w:r>
        <w:rPr>
          <w:rFonts w:ascii="宋体" w:hAnsi="宋体" w:cs="TimesNewRomanPSMT"/>
          <w:kern w:val="0"/>
          <w:szCs w:val="21"/>
        </w:rPr>
        <w:t>日）后上报月进度</w:t>
      </w:r>
      <w:r>
        <w:rPr>
          <w:rFonts w:hint="eastAsia" w:ascii="宋体" w:hAnsi="宋体" w:cs="TimesNewRomanPSMT"/>
          <w:kern w:val="0"/>
          <w:szCs w:val="21"/>
        </w:rPr>
        <w:t>报表</w:t>
      </w:r>
      <w:r>
        <w:rPr>
          <w:rFonts w:ascii="宋体" w:hAnsi="宋体" w:cs="TimesNewRomanPSMT"/>
          <w:kern w:val="0"/>
          <w:szCs w:val="21"/>
        </w:rPr>
        <w:t>，</w:t>
      </w:r>
      <w:r>
        <w:rPr>
          <w:rFonts w:hint="eastAsia" w:ascii="宋体" w:hAnsi="宋体" w:cs="TimesNewRomanPSMT"/>
          <w:kern w:val="0"/>
          <w:szCs w:val="21"/>
        </w:rPr>
        <w:t>招标人</w:t>
      </w:r>
      <w:r>
        <w:rPr>
          <w:rFonts w:ascii="宋体" w:hAnsi="宋体" w:cs="TimesNewRomanPSMT"/>
          <w:kern w:val="0"/>
          <w:szCs w:val="21"/>
        </w:rPr>
        <w:t>项目部经营部门将在次月受理。</w:t>
      </w:r>
    </w:p>
    <w:p>
      <w:pPr>
        <w:wordWrap w:val="0"/>
        <w:adjustRightInd w:val="0"/>
        <w:snapToGrid w:val="0"/>
        <w:spacing w:line="240" w:lineRule="auto"/>
        <w:jc w:val="left"/>
        <w:rPr>
          <w:rFonts w:ascii="宋体" w:hAnsi="宋体" w:cs="TimesNewRomanPSMT"/>
          <w:b/>
          <w:bCs/>
          <w:kern w:val="0"/>
          <w:szCs w:val="21"/>
        </w:rPr>
      </w:pPr>
      <w:r>
        <w:rPr>
          <w:rFonts w:hint="eastAsia" w:ascii="宋体" w:hAnsi="宋体" w:cs="TimesNewRomanPSMT"/>
          <w:b/>
          <w:bCs/>
          <w:kern w:val="0"/>
          <w:szCs w:val="21"/>
          <w:lang w:val="en-US" w:eastAsia="zh-CN"/>
        </w:rPr>
        <w:t>2.7.2</w:t>
      </w:r>
      <w:r>
        <w:rPr>
          <w:rFonts w:hint="eastAsia" w:ascii="宋体" w:hAnsi="宋体" w:cs="TimesNewRomanPSMT"/>
          <w:b/>
          <w:bCs/>
          <w:kern w:val="0"/>
          <w:szCs w:val="21"/>
        </w:rPr>
        <w:t>进度款支付比例：</w:t>
      </w:r>
    </w:p>
    <w:p>
      <w:pPr>
        <w:spacing w:line="240" w:lineRule="auto"/>
        <w:rPr>
          <w:rFonts w:hint="eastAsia" w:ascii="宋体" w:hAnsi="宋体" w:cs="宋体"/>
          <w:b/>
          <w:color w:val="FF0000"/>
          <w:szCs w:val="21"/>
          <w:u w:val="none"/>
        </w:rPr>
      </w:pPr>
      <w:r>
        <w:rPr>
          <w:rFonts w:hint="eastAsia" w:ascii="宋体" w:hAnsi="宋体" w:cs="宋体"/>
          <w:b/>
          <w:color w:val="FF0000"/>
          <w:szCs w:val="21"/>
          <w:u w:val="none"/>
        </w:rPr>
        <w:t>费用支付方式：</w:t>
      </w:r>
      <w:r>
        <w:rPr>
          <w:rFonts w:hint="eastAsia" w:ascii="宋体" w:hAnsi="宋体" w:cs="宋体"/>
          <w:b/>
          <w:color w:val="FF0000"/>
          <w:szCs w:val="21"/>
          <w:u w:val="none"/>
          <w:lang w:val="en-US" w:eastAsia="zh-CN"/>
        </w:rPr>
        <w:t>每月支付工程实际完成工程量的60%，整体完工后支付至实际完成工程量的60%，工程完工凭竣工验收证书、项目移交证书及完成送审结算资料后支付至实际完成工程量的75%，待结算审计完成后支付至审计价的95%，尾款待保修期满后在一个月内结清（无息）。</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2.7.</w:t>
      </w:r>
      <w:r>
        <w:rPr>
          <w:rFonts w:hint="eastAsia" w:ascii="宋体" w:hAnsi="宋体" w:cs="TimesNewRomanPSMT"/>
          <w:kern w:val="0"/>
          <w:szCs w:val="21"/>
          <w:lang w:val="en-US" w:eastAsia="zh-CN"/>
        </w:rPr>
        <w:t>3</w:t>
      </w:r>
      <w:r>
        <w:rPr>
          <w:rFonts w:hint="eastAsia" w:ascii="宋体" w:hAnsi="宋体" w:cs="TimesNewRomanPSMT"/>
          <w:kern w:val="0"/>
          <w:szCs w:val="21"/>
        </w:rPr>
        <w:t>工程结算款：</w:t>
      </w:r>
    </w:p>
    <w:p>
      <w:pPr>
        <w:autoSpaceDE w:val="0"/>
        <w:autoSpaceDN w:val="0"/>
        <w:adjustRightInd w:val="0"/>
        <w:jc w:val="left"/>
        <w:rPr>
          <w:rFonts w:hint="eastAsia" w:ascii="宋体" w:hAnsi="宋体" w:cs="TimesNewRomanPSMT"/>
          <w:kern w:val="0"/>
          <w:szCs w:val="21"/>
        </w:rPr>
      </w:pPr>
      <w:r>
        <w:rPr>
          <w:rFonts w:hint="eastAsia" w:ascii="宋体" w:hAnsi="宋体" w:cs="TimesNewRomanPSMT"/>
          <w:kern w:val="0"/>
          <w:szCs w:val="21"/>
        </w:rPr>
        <w:t>在本工程竣工验收后（现场临时设施撤离、清场完成、交付符合政府相关部门和招标人要求的竣工资料，配合招标人竣工验收等），投标人在竣工验收合格后28天内完成并提交工程结算至招标人，</w:t>
      </w:r>
      <w:r>
        <w:rPr>
          <w:rFonts w:hint="eastAsia" w:ascii="宋体" w:hAnsi="宋体" w:cs="TimesNewRomanPSMT"/>
          <w:kern w:val="0"/>
          <w:szCs w:val="21"/>
          <w:lang w:val="en-US" w:eastAsia="zh-CN"/>
        </w:rPr>
        <w:t>否则招标人有权代为结算审计，中标人对审计结果完全认可并接受，由此对可能造成中标人经济损失的一切责任与风险由中标人自行承担，</w:t>
      </w:r>
      <w:r>
        <w:rPr>
          <w:rFonts w:hint="eastAsia" w:ascii="宋体" w:hAnsi="宋体" w:cs="TimesNewRomanPSMT"/>
          <w:kern w:val="0"/>
          <w:szCs w:val="21"/>
        </w:rPr>
        <w:t>招标人应在2个月内完成结算的审核工作。</w:t>
      </w:r>
      <w:r>
        <w:rPr>
          <w:rFonts w:hint="eastAsia" w:ascii="宋体" w:hAnsi="宋体" w:cs="TimesNewRomanPSMT"/>
          <w:color w:val="0000FF"/>
          <w:kern w:val="0"/>
          <w:szCs w:val="21"/>
          <w:lang w:val="en-US" w:eastAsia="zh-CN"/>
        </w:rPr>
        <w:t>送审资料按招标单位要求装订成册，</w:t>
      </w:r>
      <w:r>
        <w:rPr>
          <w:rFonts w:hint="eastAsia" w:ascii="宋体" w:hAnsi="宋体" w:cs="TimesNewRomanPSMT"/>
          <w:bCs/>
          <w:color w:val="0000FF"/>
          <w:sz w:val="21"/>
          <w:szCs w:val="21"/>
        </w:rPr>
        <w:t>最终结算审计核减率超过10%，对</w:t>
      </w:r>
      <w:r>
        <w:rPr>
          <w:rFonts w:hint="eastAsia" w:ascii="宋体" w:hAnsi="宋体" w:cs="TimesNewRomanPSMT"/>
          <w:bCs/>
          <w:color w:val="0000FF"/>
          <w:sz w:val="21"/>
          <w:szCs w:val="21"/>
          <w:lang w:val="en-US" w:eastAsia="zh-CN"/>
        </w:rPr>
        <w:t>中标人</w:t>
      </w:r>
      <w:r>
        <w:rPr>
          <w:rFonts w:hint="eastAsia" w:ascii="宋体" w:hAnsi="宋体" w:cs="TimesNewRomanPSMT"/>
          <w:bCs/>
          <w:color w:val="0000FF"/>
          <w:sz w:val="21"/>
          <w:szCs w:val="21"/>
        </w:rPr>
        <w:t>处以核减金额20%的罚款，最终结算审计核</w:t>
      </w:r>
      <w:r>
        <w:rPr>
          <w:rFonts w:hint="eastAsia" w:ascii="宋体" w:hAnsi="宋体" w:cs="TimesNewRomanPSMT"/>
          <w:color w:val="0000FF"/>
          <w:kern w:val="0"/>
          <w:szCs w:val="21"/>
        </w:rPr>
        <w:t>减率超过20%，对</w:t>
      </w:r>
      <w:r>
        <w:rPr>
          <w:rFonts w:hint="eastAsia" w:ascii="宋体" w:hAnsi="宋体" w:cs="TimesNewRomanPSMT"/>
          <w:color w:val="0000FF"/>
          <w:kern w:val="0"/>
          <w:szCs w:val="21"/>
          <w:lang w:val="en-US" w:eastAsia="zh-CN"/>
        </w:rPr>
        <w:t>中标人</w:t>
      </w:r>
      <w:r>
        <w:rPr>
          <w:rFonts w:hint="eastAsia" w:ascii="宋体" w:hAnsi="宋体" w:cs="TimesNewRomanPSMT"/>
          <w:color w:val="0000FF"/>
          <w:kern w:val="0"/>
          <w:szCs w:val="21"/>
        </w:rPr>
        <w:t>处以核减金额50%的罚款。</w:t>
      </w:r>
      <w:r>
        <w:rPr>
          <w:rFonts w:hint="eastAsia" w:ascii="宋体" w:hAnsi="宋体" w:cs="TimesNewRomanPSMT"/>
          <w:color w:val="0000FF"/>
          <w:kern w:val="0"/>
          <w:szCs w:val="21"/>
          <w:lang w:val="en-US" w:eastAsia="zh-CN"/>
        </w:rPr>
        <w:t>招标人</w:t>
      </w:r>
      <w:r>
        <w:rPr>
          <w:rFonts w:hint="eastAsia" w:ascii="宋体" w:hAnsi="宋体" w:cs="TimesNewRomanPSMT"/>
          <w:color w:val="0000FF"/>
          <w:kern w:val="0"/>
          <w:szCs w:val="21"/>
        </w:rPr>
        <w:t>接收</w:t>
      </w:r>
      <w:r>
        <w:rPr>
          <w:rFonts w:hint="eastAsia" w:ascii="宋体" w:hAnsi="宋体" w:cs="TimesNewRomanPSMT"/>
          <w:color w:val="0000FF"/>
          <w:kern w:val="0"/>
          <w:szCs w:val="21"/>
          <w:lang w:val="en-US" w:eastAsia="zh-CN"/>
        </w:rPr>
        <w:t>结算</w:t>
      </w:r>
      <w:r>
        <w:rPr>
          <w:rFonts w:hint="eastAsia" w:ascii="宋体" w:hAnsi="宋体" w:cs="TimesNewRomanPSMT"/>
          <w:color w:val="0000FF"/>
          <w:kern w:val="0"/>
          <w:szCs w:val="21"/>
        </w:rPr>
        <w:t>资料后原则上不再接收增补资料，要求</w:t>
      </w:r>
      <w:r>
        <w:rPr>
          <w:rFonts w:hint="eastAsia" w:ascii="宋体" w:hAnsi="宋体" w:cs="TimesNewRomanPSMT"/>
          <w:color w:val="0000FF"/>
          <w:kern w:val="0"/>
          <w:szCs w:val="21"/>
          <w:lang w:val="en-US" w:eastAsia="zh-CN"/>
        </w:rPr>
        <w:t>中标人</w:t>
      </w:r>
      <w:r>
        <w:rPr>
          <w:rFonts w:hint="eastAsia" w:ascii="宋体" w:hAnsi="宋体" w:cs="TimesNewRomanPSMT"/>
          <w:color w:val="0000FF"/>
          <w:kern w:val="0"/>
          <w:szCs w:val="21"/>
        </w:rPr>
        <w:t>提供的除外。如有遗漏而增补现象，需</w:t>
      </w:r>
      <w:r>
        <w:rPr>
          <w:rFonts w:hint="eastAsia" w:ascii="宋体" w:hAnsi="宋体" w:cs="TimesNewRomanPSMT"/>
          <w:color w:val="0000FF"/>
          <w:kern w:val="0"/>
          <w:szCs w:val="21"/>
          <w:lang w:val="en-US" w:eastAsia="zh-CN"/>
        </w:rPr>
        <w:t>招标单位</w:t>
      </w:r>
      <w:r>
        <w:rPr>
          <w:rFonts w:hint="eastAsia" w:ascii="宋体" w:hAnsi="宋体" w:cs="TimesNewRomanPSMT"/>
          <w:color w:val="0000FF"/>
          <w:kern w:val="0"/>
          <w:szCs w:val="21"/>
        </w:rPr>
        <w:t>签字确认再移交，并处</w:t>
      </w:r>
      <w:r>
        <w:rPr>
          <w:rFonts w:hint="eastAsia" w:ascii="宋体" w:hAnsi="宋体" w:cs="TimesNewRomanPSMT"/>
          <w:color w:val="0000FF"/>
          <w:kern w:val="0"/>
          <w:szCs w:val="21"/>
          <w:lang w:val="en-US" w:eastAsia="zh-CN"/>
        </w:rPr>
        <w:t>中标人</w:t>
      </w:r>
      <w:r>
        <w:rPr>
          <w:rFonts w:hint="eastAsia" w:ascii="宋体" w:hAnsi="宋体" w:cs="TimesNewRomanPSMT"/>
          <w:color w:val="0000FF"/>
          <w:kern w:val="0"/>
          <w:szCs w:val="21"/>
        </w:rPr>
        <w:t>增补送审金额5%的罚款</w:t>
      </w:r>
      <w:r>
        <w:rPr>
          <w:rFonts w:hint="eastAsia" w:ascii="宋体" w:hAnsi="宋体" w:cs="TimesNewRomanPSMT"/>
          <w:color w:val="0000FF"/>
          <w:kern w:val="0"/>
          <w:szCs w:val="21"/>
          <w:lang w:eastAsia="zh-CN"/>
        </w:rPr>
        <w:t>，视情节严重甲方有权将</w:t>
      </w:r>
      <w:r>
        <w:rPr>
          <w:rFonts w:hint="eastAsia" w:ascii="宋体" w:hAnsi="宋体" w:cs="TimesNewRomanPSMT"/>
          <w:color w:val="0000FF"/>
          <w:kern w:val="0"/>
          <w:szCs w:val="21"/>
          <w:lang w:val="en-US" w:eastAsia="zh-CN"/>
        </w:rPr>
        <w:t>中标人</w:t>
      </w:r>
      <w:r>
        <w:rPr>
          <w:rFonts w:hint="eastAsia" w:ascii="宋体" w:hAnsi="宋体" w:cs="TimesNewRomanPSMT"/>
          <w:color w:val="0000FF"/>
          <w:kern w:val="0"/>
          <w:szCs w:val="21"/>
          <w:lang w:eastAsia="zh-CN"/>
        </w:rPr>
        <w:t>移出入围劳务班组库</w:t>
      </w:r>
      <w:r>
        <w:rPr>
          <w:rFonts w:hint="eastAsia" w:ascii="宋体" w:hAnsi="宋体" w:cs="TimesNewRomanPSMT"/>
          <w:color w:val="0000FF"/>
          <w:kern w:val="0"/>
          <w:szCs w:val="21"/>
        </w:rPr>
        <w:t>。</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w:t>
      </w:r>
      <w:r>
        <w:rPr>
          <w:rFonts w:hint="eastAsia" w:ascii="宋体" w:hAnsi="宋体" w:cs="TimesNewRomanPSMT"/>
          <w:kern w:val="0"/>
          <w:szCs w:val="21"/>
          <w:lang w:val="en-US" w:eastAsia="zh-CN"/>
        </w:rPr>
        <w:t>8</w:t>
      </w:r>
      <w:r>
        <w:rPr>
          <w:rFonts w:hint="eastAsia" w:ascii="宋体" w:hAnsi="宋体" w:cs="TimesNewRomanPSMT"/>
          <w:kern w:val="0"/>
          <w:szCs w:val="21"/>
        </w:rPr>
        <w:t xml:space="preserve"> 关于措施费（开办费）：</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w:t>
      </w:r>
      <w:r>
        <w:rPr>
          <w:rFonts w:hint="eastAsia" w:ascii="宋体" w:hAnsi="宋体" w:cs="TimesNewRomanPSMT"/>
          <w:kern w:val="0"/>
          <w:szCs w:val="21"/>
          <w:lang w:val="en-US" w:eastAsia="zh-CN"/>
        </w:rPr>
        <w:t>8</w:t>
      </w:r>
      <w:r>
        <w:rPr>
          <w:rFonts w:hint="eastAsia" w:ascii="宋体" w:hAnsi="宋体" w:cs="TimesNewRomanPSMT"/>
          <w:kern w:val="0"/>
          <w:szCs w:val="21"/>
        </w:rPr>
        <w:t>.1  投标人必须结合现有的施工图纸及以往施工经验，落实详细可行的技术措施方案，投标人编制的施工组织设计方案，是编制报价书中措施费的依据，且两者之间一一对应。凡施工组织设计中未考虑的技术措施或者组织措施，即使实际施工过程中可能发生，其费用视为投标人已综合考虑到报价中。一旦中标，无论中标人实际采用的技术措施方案是否与原投标文件的方案一致，也无论现场条件是否与招标人提供的资料相符，措施费均由中标人包干使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w:t>
      </w:r>
      <w:r>
        <w:rPr>
          <w:rFonts w:hint="eastAsia" w:ascii="宋体" w:hAnsi="宋体" w:cs="TimesNewRomanPSMT"/>
          <w:kern w:val="0"/>
          <w:szCs w:val="21"/>
          <w:lang w:val="en-US" w:eastAsia="zh-CN"/>
        </w:rPr>
        <w:t>8</w:t>
      </w:r>
      <w:r>
        <w:rPr>
          <w:rFonts w:hint="eastAsia" w:ascii="宋体" w:hAnsi="宋体" w:cs="TimesNewRomanPSMT"/>
          <w:kern w:val="0"/>
          <w:szCs w:val="21"/>
        </w:rPr>
        <w:t>.2  措施费（开办费）包括（但不限于）以下内容组成：</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通用项目：</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a)本工程报价过程中，投标人应充分考虑应由其交纳的协调费，包括（但不限于）环境保护费、工程排污费、工程计价规则测定费、劳动保险统筹基金、劳动综合保险费、职工待业保险费、职工医疗保险费，与政府部门、周边街道、周边居民及相关单位进行协调所发生的全部费用，以及施工过程中因扰民和民扰问题而发生的费用，该费用由投标人计入施工措施项目中包干使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b) 因安全文明施工措施、二次搬运、施工排水、降水、生产工具用具使用、工程定位、点交、场地清理等产生的措施费用。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c)因季节性施工（包括冬季、夏季和雨季）为保证施工进度和工程质量而发生的各种措施费用。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d)中标单位为按时履约而需进行夜间施工、加班加点或其他赶工措施而发生的施工费用。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e)因临时停水、停电（包括因市政原因），中标单位为保证本工程的正常进行而采取的施工措施而发生的措施费。</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f)施工机械进出场及安拆措施费。</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g)临时设施费，包括中标单位人员的办公、住宿和搭接水电等所发生的费用。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e)施工前不可预见性因素引起的费用，包括阻碍交通费、以及行人通行的交通维护措施费用等。</w:t>
      </w:r>
    </w:p>
    <w:p>
      <w:pPr>
        <w:autoSpaceDE w:val="0"/>
        <w:autoSpaceDN w:val="0"/>
        <w:adjustRightInd w:val="0"/>
        <w:jc w:val="left"/>
        <w:rPr>
          <w:rFonts w:ascii="宋体" w:hAnsi="宋体" w:cs="TimesNewRomanPSMT"/>
          <w:b/>
          <w:kern w:val="0"/>
          <w:szCs w:val="21"/>
        </w:rPr>
      </w:pPr>
      <w:r>
        <w:rPr>
          <w:rFonts w:ascii="宋体" w:hAnsi="宋体" w:cs="TimesNewRomanPSMT"/>
          <w:b/>
          <w:kern w:val="0"/>
          <w:szCs w:val="21"/>
        </w:rPr>
        <w:t xml:space="preserve">3. </w:t>
      </w:r>
      <w:r>
        <w:rPr>
          <w:rFonts w:hint="eastAsia" w:ascii="宋体" w:hAnsi="宋体" w:cs="TimesNewRomanPSMT"/>
          <w:b/>
          <w:kern w:val="0"/>
          <w:szCs w:val="21"/>
        </w:rPr>
        <w:t>其他说明</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lang w:val="en-US" w:eastAsia="zh-CN"/>
        </w:rPr>
        <w:t xml:space="preserve">3.1 </w:t>
      </w:r>
      <w:r>
        <w:rPr>
          <w:rFonts w:ascii="宋体" w:hAnsi="宋体" w:cs="TimesNewRomanPSMT"/>
          <w:kern w:val="0"/>
          <w:szCs w:val="21"/>
        </w:rPr>
        <w:t>本招标文件所述如与设计图纸要求有差异，以设计图纸要求为准；</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3.2 业主和招标人</w:t>
      </w:r>
      <w:r>
        <w:rPr>
          <w:rFonts w:ascii="宋体" w:hAnsi="宋体" w:cs="TimesNewRomanPSMT"/>
          <w:kern w:val="0"/>
          <w:szCs w:val="21"/>
        </w:rPr>
        <w:t>的各项规章制度</w:t>
      </w:r>
      <w:r>
        <w:rPr>
          <w:rFonts w:hint="eastAsia" w:ascii="宋体" w:hAnsi="宋体" w:cs="TimesNewRomanPSMT"/>
          <w:kern w:val="0"/>
          <w:szCs w:val="21"/>
        </w:rPr>
        <w:t>由</w:t>
      </w:r>
      <w:r>
        <w:rPr>
          <w:rFonts w:ascii="宋体" w:hAnsi="宋体" w:cs="TimesNewRomanPSMT"/>
          <w:kern w:val="0"/>
          <w:szCs w:val="21"/>
        </w:rPr>
        <w:t>招标</w:t>
      </w:r>
      <w:r>
        <w:rPr>
          <w:rFonts w:hint="eastAsia" w:ascii="宋体" w:hAnsi="宋体" w:cs="TimesNewRomanPSMT"/>
          <w:kern w:val="0"/>
          <w:szCs w:val="21"/>
        </w:rPr>
        <w:t>人</w:t>
      </w:r>
      <w:r>
        <w:rPr>
          <w:rFonts w:ascii="宋体" w:hAnsi="宋体" w:cs="TimesNewRomanPSMT"/>
          <w:kern w:val="0"/>
          <w:szCs w:val="21"/>
        </w:rPr>
        <w:t>提供，国家、地方政府的相关法律、法规、制度等已由政府公开发布，本招标文件不再重复；</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3.3 </w:t>
      </w:r>
      <w:r>
        <w:rPr>
          <w:rFonts w:ascii="宋体" w:hAnsi="宋体" w:cs="TimesNewRomanPSMT"/>
          <w:kern w:val="0"/>
          <w:szCs w:val="21"/>
        </w:rPr>
        <w:t>投标</w:t>
      </w:r>
      <w:r>
        <w:rPr>
          <w:rFonts w:hint="eastAsia" w:ascii="宋体" w:hAnsi="宋体" w:cs="TimesNewRomanPSMT"/>
          <w:kern w:val="0"/>
          <w:szCs w:val="21"/>
        </w:rPr>
        <w:t>人</w:t>
      </w:r>
      <w:r>
        <w:rPr>
          <w:rFonts w:ascii="宋体" w:hAnsi="宋体" w:cs="TimesNewRomanPSMT"/>
          <w:kern w:val="0"/>
          <w:szCs w:val="21"/>
        </w:rPr>
        <w:t>应承担其编制投标文件与递交投标文件所涉及的一切费用。不论投标结果如何，</w:t>
      </w:r>
      <w:r>
        <w:rPr>
          <w:rFonts w:hint="eastAsia" w:ascii="宋体" w:hAnsi="宋体" w:cs="TimesNewRomanPSMT"/>
          <w:kern w:val="0"/>
          <w:szCs w:val="21"/>
        </w:rPr>
        <w:t>招标</w:t>
      </w:r>
      <w:r>
        <w:rPr>
          <w:rFonts w:ascii="宋体" w:hAnsi="宋体" w:cs="TimesNewRomanPSMT"/>
          <w:kern w:val="0"/>
          <w:szCs w:val="21"/>
        </w:rPr>
        <w:t>人对上述费用不承担任何责任</w:t>
      </w:r>
      <w:r>
        <w:rPr>
          <w:rFonts w:hint="eastAsia" w:ascii="宋体" w:hAnsi="宋体" w:cs="TimesNewRomanPSMT"/>
          <w:kern w:val="0"/>
          <w:szCs w:val="21"/>
        </w:rPr>
        <w:t>；</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投标</w:t>
      </w:r>
      <w:r>
        <w:rPr>
          <w:rFonts w:hint="eastAsia" w:ascii="宋体" w:hAnsi="宋体" w:cs="TimesNewRomanPSMT"/>
          <w:kern w:val="0"/>
          <w:szCs w:val="21"/>
        </w:rPr>
        <w:t>人管理体系必须健全，作业人员必须稳定；</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4</w:t>
      </w:r>
      <w:r>
        <w:rPr>
          <w:rFonts w:hint="eastAsia" w:ascii="宋体" w:hAnsi="宋体" w:cs="TimesNewRomanPSMT"/>
          <w:kern w:val="0"/>
          <w:szCs w:val="21"/>
        </w:rPr>
        <w:t xml:space="preserve"> </w:t>
      </w:r>
      <w:r>
        <w:rPr>
          <w:rFonts w:ascii="宋体" w:hAnsi="宋体" w:cs="TimesNewRomanPSMT"/>
          <w:kern w:val="0"/>
          <w:szCs w:val="21"/>
        </w:rPr>
        <w:t>招标人不允许中标</w:t>
      </w:r>
      <w:r>
        <w:rPr>
          <w:rFonts w:hint="eastAsia" w:ascii="宋体" w:hAnsi="宋体" w:cs="TimesNewRomanPSMT"/>
          <w:kern w:val="0"/>
          <w:szCs w:val="21"/>
        </w:rPr>
        <w:t>人</w:t>
      </w:r>
      <w:r>
        <w:rPr>
          <w:rFonts w:ascii="宋体" w:hAnsi="宋体" w:cs="TimesNewRomanPSMT"/>
          <w:kern w:val="0"/>
          <w:szCs w:val="21"/>
        </w:rPr>
        <w:t>分包或转包本工程；</w:t>
      </w:r>
      <w:r>
        <w:rPr>
          <w:rFonts w:hint="eastAsia" w:ascii="宋体" w:hAnsi="宋体" w:cs="TimesNewRomanPSMT"/>
          <w:kern w:val="0"/>
          <w:szCs w:val="21"/>
        </w:rPr>
        <w:t>(有关违法分包定义见国务院令第279号《建设工程质量管理条例》)。</w:t>
      </w:r>
      <w:r>
        <w:rPr>
          <w:rFonts w:ascii="宋体" w:hAnsi="宋体" w:cs="TimesNewRomanPSMT"/>
          <w:kern w:val="0"/>
          <w:szCs w:val="21"/>
        </w:rPr>
        <w:t>投标</w:t>
      </w:r>
      <w:r>
        <w:rPr>
          <w:rFonts w:hint="eastAsia" w:ascii="宋体" w:hAnsi="宋体" w:cs="TimesNewRomanPSMT"/>
          <w:kern w:val="0"/>
          <w:szCs w:val="21"/>
        </w:rPr>
        <w:t>人</w:t>
      </w:r>
      <w:r>
        <w:rPr>
          <w:rFonts w:ascii="宋体" w:hAnsi="宋体" w:cs="TimesNewRomanPSMT"/>
          <w:kern w:val="0"/>
          <w:szCs w:val="21"/>
        </w:rPr>
        <w:t xml:space="preserve">中标后，若对所承担的工程质量、施工进度、施工现场管理无能力满足合同要求时，招标人有权单方面调整工程任务直止终止合同，由此产生的工程费用增加部分由投标人承担； </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5</w:t>
      </w:r>
      <w:r>
        <w:rPr>
          <w:rFonts w:hint="eastAsia" w:ascii="宋体" w:hAnsi="宋体" w:cs="TimesNewRomanPSMT"/>
          <w:kern w:val="0"/>
          <w:szCs w:val="21"/>
        </w:rPr>
        <w:t xml:space="preserve"> 投标人必须承担工伤保险、人身意外险。投标人必须执行国家、地方及企业的</w:t>
      </w:r>
      <w:r>
        <w:rPr>
          <w:rFonts w:ascii="宋体" w:hAnsi="宋体" w:cs="TimesNewRomanPSMT"/>
          <w:kern w:val="0"/>
          <w:szCs w:val="21"/>
        </w:rPr>
        <w:t>安全生产法</w:t>
      </w:r>
      <w:r>
        <w:rPr>
          <w:rFonts w:hint="eastAsia" w:ascii="宋体" w:hAnsi="宋体" w:cs="TimesNewRomanPSMT"/>
          <w:kern w:val="0"/>
          <w:szCs w:val="21"/>
        </w:rPr>
        <w:t>及其相关规定。投标人必须执行国家、地方及企业项目建设廉洁的相关规定；</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6</w:t>
      </w:r>
      <w:r>
        <w:rPr>
          <w:rFonts w:hint="eastAsia" w:ascii="宋体" w:hAnsi="宋体" w:cs="TimesNewRomanPSMT"/>
          <w:kern w:val="0"/>
          <w:szCs w:val="21"/>
        </w:rPr>
        <w:t xml:space="preserve"> </w:t>
      </w:r>
      <w:r>
        <w:rPr>
          <w:rFonts w:ascii="宋体" w:hAnsi="宋体" w:cs="TimesNewRomanPSMT"/>
          <w:kern w:val="0"/>
          <w:szCs w:val="21"/>
        </w:rPr>
        <w:t>投标人在施工时应按照国家、</w:t>
      </w:r>
      <w:r>
        <w:rPr>
          <w:rFonts w:hint="eastAsia" w:ascii="宋体" w:hAnsi="宋体" w:cs="TimesNewRomanPSMT"/>
          <w:kern w:val="0"/>
          <w:szCs w:val="21"/>
        </w:rPr>
        <w:t>业主和招标人</w:t>
      </w:r>
      <w:r>
        <w:rPr>
          <w:rFonts w:ascii="宋体" w:hAnsi="宋体" w:cs="TimesNewRomanPSMT"/>
          <w:kern w:val="0"/>
          <w:szCs w:val="21"/>
        </w:rPr>
        <w:t>关于建筑施工的要求，自觉到相关部门办理各种手续及缴纳费用，接受相关部门的监督、检查、管理；</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7</w:t>
      </w:r>
      <w:r>
        <w:rPr>
          <w:rFonts w:hint="eastAsia" w:ascii="宋体" w:hAnsi="宋体" w:cs="TimesNewRomanPSMT"/>
          <w:kern w:val="0"/>
          <w:szCs w:val="21"/>
        </w:rPr>
        <w:t xml:space="preserve"> </w:t>
      </w:r>
      <w:r>
        <w:rPr>
          <w:rFonts w:ascii="宋体" w:hAnsi="宋体" w:cs="TimesNewRomanPSMT"/>
          <w:kern w:val="0"/>
          <w:szCs w:val="21"/>
        </w:rPr>
        <w:t>投标人在施工时自觉接受</w:t>
      </w:r>
      <w:r>
        <w:rPr>
          <w:rFonts w:hint="eastAsia" w:ascii="宋体" w:hAnsi="宋体" w:cs="TimesNewRomanPSMT"/>
          <w:kern w:val="0"/>
          <w:szCs w:val="21"/>
        </w:rPr>
        <w:t>业主和招标人</w:t>
      </w:r>
      <w:r>
        <w:rPr>
          <w:rFonts w:ascii="宋体" w:hAnsi="宋体" w:cs="TimesNewRomanPSMT"/>
          <w:kern w:val="0"/>
          <w:szCs w:val="21"/>
        </w:rPr>
        <w:t>各主管部门的监督、检查、管理，自觉遵守</w:t>
      </w:r>
      <w:r>
        <w:rPr>
          <w:rFonts w:hint="eastAsia" w:ascii="宋体" w:hAnsi="宋体" w:cs="TimesNewRomanPSMT"/>
          <w:kern w:val="0"/>
          <w:szCs w:val="21"/>
        </w:rPr>
        <w:t>业主和招标人</w:t>
      </w:r>
      <w:r>
        <w:rPr>
          <w:rFonts w:ascii="宋体" w:hAnsi="宋体" w:cs="TimesNewRomanPSMT"/>
          <w:kern w:val="0"/>
          <w:szCs w:val="21"/>
        </w:rPr>
        <w:t>各项规章制度；</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8</w:t>
      </w:r>
      <w:r>
        <w:rPr>
          <w:rFonts w:hint="eastAsia" w:ascii="宋体" w:hAnsi="宋体" w:cs="TimesNewRomanPSMT"/>
          <w:kern w:val="0"/>
          <w:szCs w:val="21"/>
        </w:rPr>
        <w:t xml:space="preserve"> </w:t>
      </w:r>
      <w:r>
        <w:rPr>
          <w:rFonts w:ascii="宋体" w:hAnsi="宋体" w:cs="TimesNewRomanPSMT"/>
          <w:kern w:val="0"/>
          <w:szCs w:val="21"/>
        </w:rPr>
        <w:t>投标人</w:t>
      </w:r>
      <w:r>
        <w:rPr>
          <w:rFonts w:hint="eastAsia" w:ascii="宋体" w:hAnsi="宋体" w:cs="TimesNewRomanPSMT"/>
          <w:kern w:val="0"/>
          <w:szCs w:val="21"/>
        </w:rPr>
        <w:t>施工期间管理人员必须按备案名单到位，特别是项目经理，否则招标人有权解除合同；在第一次支付工程进度款前，分包商须向项目部按班组提供实际进场人员名单、民工合同及工资支付约定并按要求填写《作业人员诚信信息卡》。否则招标人有权解除合同。投标人特殊作业人员要持证上岗，工种搭配合理；</w:t>
      </w:r>
    </w:p>
    <w:p>
      <w:pPr>
        <w:autoSpaceDE w:val="0"/>
        <w:autoSpaceDN w:val="0"/>
        <w:adjustRightInd w:val="0"/>
        <w:jc w:val="left"/>
        <w:rPr>
          <w:rFonts w:ascii="宋体" w:hAnsi="宋体" w:cs="TimesNewRomanPSMT"/>
          <w:bCs/>
          <w:kern w:val="0"/>
          <w:szCs w:val="21"/>
        </w:rPr>
      </w:pPr>
      <w:r>
        <w:rPr>
          <w:rFonts w:hint="eastAsia" w:ascii="宋体" w:hAnsi="宋体" w:cs="TimesNewRomanPSMT"/>
          <w:bCs/>
          <w:kern w:val="0"/>
          <w:szCs w:val="21"/>
        </w:rPr>
        <w:t>3.</w:t>
      </w:r>
      <w:r>
        <w:rPr>
          <w:rFonts w:hint="eastAsia" w:ascii="宋体" w:hAnsi="宋体" w:cs="TimesNewRomanPSMT"/>
          <w:bCs/>
          <w:kern w:val="0"/>
          <w:szCs w:val="21"/>
          <w:lang w:val="en-US" w:eastAsia="zh-CN"/>
        </w:rPr>
        <w:t>9</w:t>
      </w:r>
      <w:r>
        <w:rPr>
          <w:rFonts w:hint="eastAsia" w:ascii="宋体" w:hAnsi="宋体" w:cs="TimesNewRomanPSMT"/>
          <w:bCs/>
          <w:kern w:val="0"/>
          <w:szCs w:val="21"/>
        </w:rPr>
        <w:t xml:space="preserve"> 除非设计变更造成的返工，否则现场不予签证；</w:t>
      </w:r>
    </w:p>
    <w:p>
      <w:pPr>
        <w:autoSpaceDE w:val="0"/>
        <w:autoSpaceDN w:val="0"/>
        <w:adjustRightInd w:val="0"/>
        <w:spacing w:line="240" w:lineRule="auto"/>
        <w:ind w:right="0" w:rightChars="0"/>
        <w:jc w:val="left"/>
        <w:rPr>
          <w:rFonts w:ascii="宋体" w:hAnsi="宋体" w:cs="TimesNewRomanPSMT"/>
          <w:bCs/>
          <w:kern w:val="0"/>
          <w:szCs w:val="21"/>
        </w:rPr>
      </w:pPr>
      <w:r>
        <w:rPr>
          <w:rFonts w:hint="eastAsia" w:ascii="宋体" w:hAnsi="宋体" w:cs="TimesNewRomanPSMT"/>
          <w:bCs/>
          <w:kern w:val="0"/>
          <w:szCs w:val="21"/>
        </w:rPr>
        <w:t>3.1</w:t>
      </w:r>
      <w:r>
        <w:rPr>
          <w:rFonts w:hint="eastAsia" w:ascii="宋体" w:hAnsi="宋体" w:cs="TimesNewRomanPSMT"/>
          <w:bCs/>
          <w:kern w:val="0"/>
          <w:szCs w:val="21"/>
          <w:lang w:val="en-US" w:eastAsia="zh-CN"/>
        </w:rPr>
        <w:t>0</w:t>
      </w:r>
      <w:r>
        <w:rPr>
          <w:rFonts w:hint="eastAsia" w:ascii="宋体" w:hAnsi="宋体" w:cs="TimesNewRomanPSMT"/>
          <w:bCs/>
          <w:kern w:val="0"/>
          <w:szCs w:val="21"/>
        </w:rPr>
        <w:t xml:space="preserve"> 单项设计变更金额小于2000元人民币，或累计设计变更不足分包合同金额的2％时，结算价款不予调整。</w:t>
      </w:r>
    </w:p>
    <w:p>
      <w:pPr>
        <w:pStyle w:val="2"/>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1</w:t>
      </w:r>
      <w:r>
        <w:rPr>
          <w:rFonts w:hint="eastAsia" w:ascii="宋体" w:hAnsi="宋体" w:cs="TimesNewRomanPSMT"/>
          <w:bCs/>
          <w:color w:val="FF0000"/>
          <w:sz w:val="21"/>
          <w:szCs w:val="21"/>
        </w:rPr>
        <w:t>投标人必须按时发放民工生活费，不得无故上访讨薪或发生民工上访讨薪事件，否则每发生一起扣除5000元，民工工资履约保证金扣完后则直接在工程款中进行扣除。</w:t>
      </w:r>
    </w:p>
    <w:p>
      <w:pPr>
        <w:pStyle w:val="2"/>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2</w:t>
      </w:r>
      <w:r>
        <w:rPr>
          <w:rFonts w:hint="eastAsia" w:ascii="宋体" w:hAnsi="宋体" w:cs="TimesNewRomanPSMT"/>
          <w:bCs/>
          <w:color w:val="FF0000"/>
          <w:sz w:val="21"/>
          <w:szCs w:val="21"/>
        </w:rPr>
        <w:t>投标人须根据施工组织的要求及甲方管理、监理、业主及质监部门要求进行临时用水用电的设置，如工期较急甲方或业主管理要求增设急须的，中标人须无条件服从，临时用电设施布置须根据甲方要求于装修工程完成竣工验收前才可拆除，期间甲方委托的其它班组均可以免费使用。</w:t>
      </w:r>
    </w:p>
    <w:p>
      <w:pPr>
        <w:pStyle w:val="2"/>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3</w:t>
      </w:r>
      <w:r>
        <w:rPr>
          <w:rFonts w:hint="eastAsia" w:ascii="宋体" w:hAnsi="宋体" w:cs="TimesNewRomanPSMT"/>
          <w:bCs/>
          <w:color w:val="FF0000"/>
          <w:sz w:val="21"/>
          <w:szCs w:val="21"/>
        </w:rPr>
        <w:t>投标人一旦中标后须严格服从甲方的管理，投标承诺的相关人员必须全程驻场组织施工和作业，并对中标人和招标人负责，如中标人的相关管理人员不服从甲方管理人员的管理则甲方有权要求中标人更换相关管理人员，中标人须无条件接受，甲方有权视情况对中标人进行2000至50000元的处罚。中标人一旦中标，将对工程现场的进度、安全、质量及文明施工负主要责任，中标人承诺将严格按照要求组织施工，直至工程验收合格并交付为止，否则由此对招标人造成的一切责任和损失由中标人承担。</w:t>
      </w:r>
    </w:p>
    <w:p>
      <w:pPr>
        <w:pStyle w:val="2"/>
        <w:spacing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4</w:t>
      </w:r>
      <w:r>
        <w:rPr>
          <w:rFonts w:hint="eastAsia" w:ascii="宋体" w:hAnsi="宋体" w:cs="TimesNewRomanPSMT"/>
          <w:bCs/>
          <w:color w:val="FF0000"/>
          <w:sz w:val="21"/>
          <w:szCs w:val="21"/>
        </w:rPr>
        <w:t>业主与甲方签订的合同及合同组成文件（工程量清单及其他与合同价格相关的文件除外），以及施工过程中业主与甲方达成的各种约定中甲方必须履行的义务和责任，乙方同样必须履行。甲方受到约束的，乙方也同样受到约束。如工程开展过程中，相关部门或者业主单位及甲方公司有新的规定和要求，乙方必须遵照执行。</w:t>
      </w:r>
    </w:p>
    <w:p>
      <w:pPr>
        <w:pStyle w:val="2"/>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5</w:t>
      </w:r>
      <w:r>
        <w:rPr>
          <w:rFonts w:hint="eastAsia" w:ascii="宋体" w:hAnsi="宋体" w:cs="TimesNewRomanPSMT"/>
          <w:bCs/>
          <w:color w:val="FF0000"/>
          <w:sz w:val="21"/>
          <w:szCs w:val="21"/>
        </w:rPr>
        <w:t>投标人一旦中标后承诺在3天内组织管理班子及工人进场开始施工，在</w:t>
      </w:r>
      <w:r>
        <w:rPr>
          <w:rFonts w:hint="eastAsia" w:ascii="宋体" w:hAnsi="宋体" w:cs="TimesNewRomanPSMT"/>
          <w:bCs/>
          <w:color w:val="FF0000"/>
          <w:sz w:val="21"/>
          <w:szCs w:val="21"/>
          <w:lang w:val="en-US" w:eastAsia="zh-CN"/>
        </w:rPr>
        <w:t>7</w:t>
      </w:r>
      <w:r>
        <w:rPr>
          <w:rFonts w:hint="eastAsia" w:ascii="宋体" w:hAnsi="宋体" w:cs="TimesNewRomanPSMT"/>
          <w:bCs/>
          <w:color w:val="FF0000"/>
          <w:sz w:val="21"/>
          <w:szCs w:val="21"/>
        </w:rPr>
        <w:t>天内向招标人提供完整的工程进度计划和材料采购计划，中标人须确保涉及工程须使用的材料于该项工程（工作）开始前提供完整的书面采购计划给招标人，否则由此造成的工程延期责任由中标人承担。</w:t>
      </w:r>
    </w:p>
    <w:p>
      <w:pPr>
        <w:pStyle w:val="2"/>
        <w:spacing w:after="0" w:line="240" w:lineRule="auto"/>
        <w:ind w:left="0" w:leftChars="0" w:right="0" w:rightChars="0" w:firstLine="0" w:firstLineChars="0"/>
        <w:jc w:val="both"/>
        <w:rPr>
          <w:color w:val="00B050"/>
        </w:rPr>
      </w:pPr>
      <w:r>
        <w:rPr>
          <w:rFonts w:hint="eastAsia" w:ascii="宋体" w:hAnsi="宋体" w:cs="TimesNewRomanPSMT"/>
          <w:bCs/>
          <w:color w:val="00B050"/>
          <w:sz w:val="21"/>
          <w:szCs w:val="21"/>
        </w:rPr>
        <w:t>3.1</w:t>
      </w:r>
      <w:r>
        <w:rPr>
          <w:rFonts w:hint="eastAsia" w:ascii="宋体" w:hAnsi="宋体" w:cs="TimesNewRomanPSMT"/>
          <w:bCs/>
          <w:color w:val="00B050"/>
          <w:sz w:val="21"/>
          <w:szCs w:val="21"/>
          <w:lang w:val="en-US" w:eastAsia="zh-CN"/>
        </w:rPr>
        <w:t>6</w:t>
      </w:r>
      <w:r>
        <w:rPr>
          <w:rFonts w:hint="eastAsia" w:ascii="宋体" w:hAnsi="宋体" w:cs="TimesNewRomanPSMT"/>
          <w:bCs/>
          <w:color w:val="00B050"/>
          <w:sz w:val="21"/>
          <w:szCs w:val="21"/>
        </w:rPr>
        <w:t>投标人一旦中标后，服从甲方管理，全力配合甲方完成招标范围内的全部施工内容及其它相应内容，</w:t>
      </w:r>
      <w:r>
        <w:rPr>
          <w:rFonts w:hint="eastAsia" w:ascii="宋体" w:hAnsi="宋体" w:cs="TimesNewRomanPSMT"/>
          <w:bCs/>
          <w:color w:val="0000FF"/>
          <w:sz w:val="21"/>
          <w:szCs w:val="21"/>
        </w:rPr>
        <w:t>直至竣工验收</w:t>
      </w:r>
      <w:r>
        <w:rPr>
          <w:rFonts w:hint="eastAsia" w:ascii="宋体" w:hAnsi="宋体" w:cs="TimesNewRomanPSMT"/>
          <w:bCs/>
          <w:color w:val="0000FF"/>
          <w:sz w:val="21"/>
          <w:szCs w:val="21"/>
          <w:lang w:val="en-US" w:eastAsia="zh-CN"/>
        </w:rPr>
        <w:t>合格</w:t>
      </w:r>
      <w:r>
        <w:rPr>
          <w:rFonts w:hint="eastAsia" w:ascii="宋体" w:hAnsi="宋体" w:cs="TimesNewRomanPSMT"/>
          <w:bCs/>
          <w:color w:val="00B050"/>
          <w:sz w:val="21"/>
          <w:szCs w:val="21"/>
        </w:rPr>
        <w:t>。投标人在投标报价</w:t>
      </w:r>
      <w:r>
        <w:rPr>
          <w:rFonts w:hint="eastAsia" w:ascii="宋体" w:hAnsi="宋体" w:cs="TimesNewRomanPSMT"/>
          <w:bCs/>
          <w:color w:val="00B050"/>
          <w:sz w:val="21"/>
          <w:szCs w:val="21"/>
          <w:lang w:val="en-US" w:eastAsia="zh-CN"/>
        </w:rPr>
        <w:t>时</w:t>
      </w:r>
      <w:r>
        <w:rPr>
          <w:rFonts w:hint="eastAsia" w:ascii="宋体" w:hAnsi="宋体" w:cs="TimesNewRomanPSMT"/>
          <w:bCs/>
          <w:color w:val="00B050"/>
          <w:sz w:val="21"/>
          <w:szCs w:val="21"/>
        </w:rPr>
        <w:t>须充分考虑此项费用，实际发生时不予额外计量。</w:t>
      </w:r>
    </w:p>
    <w:p>
      <w:pPr>
        <w:autoSpaceDE w:val="0"/>
        <w:autoSpaceDN w:val="0"/>
        <w:adjustRightInd w:val="0"/>
        <w:jc w:val="left"/>
        <w:rPr>
          <w:rFonts w:ascii="宋体" w:hAnsi="宋体" w:cs="TimesNewRomanPSMT"/>
          <w:b/>
          <w:kern w:val="0"/>
          <w:szCs w:val="21"/>
        </w:rPr>
      </w:pPr>
      <w:r>
        <w:rPr>
          <w:rFonts w:hint="eastAsia" w:ascii="宋体" w:hAnsi="宋体" w:cs="TimesNewRomanPSMT"/>
          <w:b/>
          <w:kern w:val="0"/>
          <w:szCs w:val="21"/>
        </w:rPr>
        <w:t>4</w:t>
      </w:r>
      <w:r>
        <w:rPr>
          <w:rFonts w:ascii="宋体" w:hAnsi="宋体" w:cs="TimesNewRomanPSMT"/>
          <w:b/>
          <w:kern w:val="0"/>
          <w:szCs w:val="21"/>
        </w:rPr>
        <w:t xml:space="preserve">. </w:t>
      </w:r>
      <w:r>
        <w:rPr>
          <w:rFonts w:hint="eastAsia" w:ascii="宋体" w:hAnsi="宋体" w:cs="TimesNewRomanPSMT"/>
          <w:b/>
          <w:kern w:val="0"/>
          <w:szCs w:val="21"/>
        </w:rPr>
        <w:t>工程报价</w:t>
      </w:r>
    </w:p>
    <w:p>
      <w:pPr>
        <w:autoSpaceDE w:val="0"/>
        <w:autoSpaceDN w:val="0"/>
        <w:adjustRightInd w:val="0"/>
        <w:jc w:val="left"/>
        <w:rPr>
          <w:rFonts w:hint="eastAsia" w:ascii="宋体" w:hAnsi="宋体" w:cs="TimesNewRomanPSMT"/>
          <w:kern w:val="0"/>
          <w:szCs w:val="21"/>
        </w:rPr>
      </w:pPr>
      <w:r>
        <w:rPr>
          <w:rFonts w:hint="eastAsia" w:ascii="宋体" w:hAnsi="宋体" w:cs="TimesNewRomanPSMT"/>
          <w:kern w:val="0"/>
          <w:szCs w:val="21"/>
        </w:rPr>
        <w:t>详见报价书。</w:t>
      </w:r>
    </w:p>
    <w:p>
      <w:pPr>
        <w:pStyle w:val="2"/>
        <w:rPr>
          <w:rFonts w:hint="eastAsia" w:ascii="宋体" w:hAnsi="宋体" w:cs="TimesNewRomanPSMT"/>
          <w:kern w:val="0"/>
          <w:szCs w:val="21"/>
        </w:rPr>
      </w:pPr>
    </w:p>
    <w:p>
      <w:pPr>
        <w:pStyle w:val="2"/>
        <w:rPr>
          <w:rFonts w:hint="eastAsia" w:ascii="宋体" w:hAnsi="宋体" w:cs="TimesNewRomanPSMT"/>
          <w:kern w:val="0"/>
          <w:szCs w:val="21"/>
        </w:rPr>
      </w:pPr>
    </w:p>
    <w:p>
      <w:pPr>
        <w:pStyle w:val="2"/>
        <w:rPr>
          <w:rFonts w:hint="eastAsia" w:ascii="宋体" w:hAnsi="宋体" w:cs="TimesNewRomanPSMT"/>
          <w:kern w:val="0"/>
          <w:szCs w:val="21"/>
        </w:rPr>
      </w:pPr>
    </w:p>
    <w:p>
      <w:pPr>
        <w:pStyle w:val="2"/>
        <w:rPr>
          <w:rFonts w:hint="eastAsia" w:ascii="宋体" w:hAnsi="宋体" w:cs="TimesNewRomanPSMT"/>
          <w:kern w:val="0"/>
          <w:szCs w:val="21"/>
        </w:rPr>
      </w:pPr>
    </w:p>
    <w:p>
      <w:pPr>
        <w:pStyle w:val="2"/>
        <w:rPr>
          <w:rFonts w:hint="eastAsia" w:ascii="宋体" w:hAnsi="宋体" w:cs="TimesNewRomanPSMT"/>
          <w:kern w:val="0"/>
          <w:szCs w:val="21"/>
        </w:rPr>
      </w:pPr>
    </w:p>
    <w:p>
      <w:pPr>
        <w:pStyle w:val="2"/>
        <w:ind w:left="0" w:leftChars="0" w:firstLine="0" w:firstLineChars="0"/>
        <w:jc w:val="both"/>
        <w:rPr>
          <w:rFonts w:hint="eastAsia" w:ascii="宋体" w:hAnsi="宋体" w:cs="TimesNewRomanPSMT"/>
          <w:kern w:val="0"/>
          <w:szCs w:val="21"/>
        </w:rPr>
      </w:pPr>
    </w:p>
    <w:p>
      <w:pPr>
        <w:pStyle w:val="2"/>
        <w:ind w:left="0" w:leftChars="0" w:firstLine="0" w:firstLineChars="0"/>
        <w:jc w:val="both"/>
        <w:rPr>
          <w:rFonts w:hint="eastAsia" w:ascii="宋体" w:hAnsi="宋体" w:cs="TimesNewRomanPSMT"/>
          <w:kern w:val="0"/>
          <w:szCs w:val="21"/>
        </w:rPr>
      </w:pPr>
    </w:p>
    <w:p>
      <w:pPr>
        <w:autoSpaceDE w:val="0"/>
        <w:autoSpaceDN w:val="0"/>
        <w:adjustRightInd w:val="0"/>
        <w:spacing w:line="360" w:lineRule="auto"/>
        <w:jc w:val="center"/>
        <w:rPr>
          <w:rFonts w:ascii="宋体" w:hAnsi="宋体" w:cs="黑体"/>
          <w:b/>
          <w:kern w:val="0"/>
          <w:szCs w:val="21"/>
        </w:rPr>
      </w:pPr>
      <w:r>
        <w:rPr>
          <w:rFonts w:hint="eastAsia" w:ascii="宋体" w:hAnsi="宋体" w:cs="黑体"/>
          <w:b/>
          <w:kern w:val="0"/>
          <w:szCs w:val="21"/>
        </w:rPr>
        <w:t>第五章</w:t>
      </w:r>
      <w:bookmarkStart w:id="44" w:name="投标文件格式"/>
      <w:r>
        <w:rPr>
          <w:rFonts w:hint="eastAsia" w:ascii="宋体" w:hAnsi="宋体" w:cs="黑体"/>
          <w:b/>
          <w:kern w:val="0"/>
          <w:szCs w:val="21"/>
        </w:rPr>
        <w:t>投标文件</w:t>
      </w:r>
      <w:bookmarkEnd w:id="44"/>
      <w:r>
        <w:rPr>
          <w:rFonts w:hint="eastAsia" w:ascii="宋体" w:hAnsi="宋体" w:cs="黑体"/>
          <w:b/>
          <w:kern w:val="0"/>
          <w:szCs w:val="21"/>
        </w:rPr>
        <w:t>目录</w:t>
      </w:r>
    </w:p>
    <w:p>
      <w:pPr>
        <w:numPr>
          <w:ilvl w:val="0"/>
          <w:numId w:val="3"/>
        </w:numPr>
        <w:spacing w:line="360" w:lineRule="auto"/>
        <w:jc w:val="left"/>
        <w:rPr>
          <w:rFonts w:hint="eastAsia" w:ascii="宋体" w:hAnsi="宋体" w:cs="仿宋_GB2312"/>
          <w:kern w:val="0"/>
          <w:szCs w:val="21"/>
        </w:rPr>
      </w:pPr>
      <w:r>
        <w:rPr>
          <w:rFonts w:hint="eastAsia" w:ascii="宋体" w:hAnsi="宋体" w:cs="仿宋_GB2312"/>
          <w:kern w:val="0"/>
          <w:szCs w:val="21"/>
        </w:rPr>
        <w:t>《投标函》</w:t>
      </w:r>
    </w:p>
    <w:p>
      <w:pPr>
        <w:spacing w:line="360" w:lineRule="auto"/>
        <w:jc w:val="left"/>
        <w:rPr>
          <w:rFonts w:hint="eastAsia" w:ascii="宋体" w:hAnsi="宋体" w:cs="仿宋_GB2312"/>
          <w:kern w:val="0"/>
          <w:szCs w:val="21"/>
        </w:rPr>
      </w:pPr>
      <w:r>
        <w:rPr>
          <w:rFonts w:hint="eastAsia" w:ascii="宋体" w:hAnsi="宋体" w:cs="仿宋_GB2312"/>
          <w:kern w:val="0"/>
          <w:szCs w:val="21"/>
          <w:lang w:val="en-US" w:eastAsia="zh-CN"/>
        </w:rPr>
        <w:t>二、</w:t>
      </w:r>
      <w:r>
        <w:rPr>
          <w:rFonts w:hint="eastAsia" w:ascii="宋体" w:hAnsi="宋体" w:cs="仿宋_GB2312"/>
          <w:kern w:val="0"/>
          <w:szCs w:val="21"/>
        </w:rPr>
        <w:t>《法人授权委托书》</w:t>
      </w:r>
    </w:p>
    <w:p>
      <w:pPr>
        <w:spacing w:line="360" w:lineRule="auto"/>
        <w:jc w:val="left"/>
        <w:rPr>
          <w:rFonts w:hint="eastAsia" w:ascii="宋体" w:hAnsi="宋体" w:cs="仿宋_GB2312"/>
          <w:kern w:val="0"/>
          <w:szCs w:val="21"/>
          <w:lang w:eastAsia="zh-CN"/>
        </w:rPr>
      </w:pPr>
      <w:r>
        <w:rPr>
          <w:rFonts w:hint="eastAsia" w:ascii="宋体" w:hAnsi="宋体" w:cs="仿宋_GB2312"/>
          <w:kern w:val="0"/>
          <w:szCs w:val="21"/>
          <w:lang w:val="en-US" w:eastAsia="zh-CN"/>
        </w:rPr>
        <w:t>三、</w:t>
      </w:r>
      <w:r>
        <w:rPr>
          <w:rFonts w:hint="eastAsia" w:ascii="宋体" w:hAnsi="宋体" w:cs="仿宋_GB2312"/>
          <w:kern w:val="0"/>
          <w:szCs w:val="21"/>
          <w:lang w:eastAsia="zh-CN"/>
        </w:rPr>
        <w:t>《</w:t>
      </w:r>
      <w:r>
        <w:rPr>
          <w:rFonts w:hint="eastAsia" w:ascii="宋体" w:hAnsi="宋体" w:cs="仿宋_GB2312"/>
          <w:kern w:val="0"/>
          <w:szCs w:val="21"/>
          <w:lang w:val="en-US" w:eastAsia="zh-CN"/>
        </w:rPr>
        <w:t>营业执照</w:t>
      </w:r>
      <w:r>
        <w:rPr>
          <w:rFonts w:hint="eastAsia" w:ascii="宋体" w:hAnsi="宋体" w:cs="仿宋_GB2312"/>
          <w:kern w:val="0"/>
          <w:szCs w:val="21"/>
          <w:lang w:eastAsia="zh-CN"/>
        </w:rPr>
        <w:t>》</w:t>
      </w:r>
    </w:p>
    <w:p>
      <w:pPr>
        <w:spacing w:line="360" w:lineRule="auto"/>
        <w:jc w:val="left"/>
        <w:rPr>
          <w:rFonts w:hint="eastAsia" w:ascii="宋体" w:hAnsi="宋体" w:cs="仿宋_GB2312"/>
          <w:kern w:val="0"/>
          <w:szCs w:val="21"/>
          <w:lang w:eastAsia="zh-CN"/>
        </w:rPr>
      </w:pPr>
      <w:r>
        <w:rPr>
          <w:rFonts w:hint="eastAsia" w:ascii="宋体" w:hAnsi="宋体" w:cs="仿宋_GB2312"/>
          <w:kern w:val="0"/>
          <w:szCs w:val="21"/>
          <w:lang w:val="en-US" w:eastAsia="zh-CN"/>
        </w:rPr>
        <w:t>四、</w:t>
      </w:r>
      <w:r>
        <w:rPr>
          <w:rFonts w:hint="eastAsia" w:ascii="宋体" w:hAnsi="宋体" w:cs="仿宋_GB2312"/>
          <w:kern w:val="0"/>
          <w:szCs w:val="21"/>
          <w:lang w:eastAsia="zh-CN"/>
        </w:rPr>
        <w:t>《</w:t>
      </w:r>
      <w:r>
        <w:rPr>
          <w:rFonts w:hint="eastAsia" w:ascii="宋体" w:hAnsi="宋体" w:cs="仿宋_GB2312"/>
          <w:kern w:val="0"/>
          <w:szCs w:val="21"/>
          <w:lang w:val="en-US" w:eastAsia="zh-CN"/>
        </w:rPr>
        <w:t>承诺函</w:t>
      </w:r>
      <w:r>
        <w:rPr>
          <w:rFonts w:hint="eastAsia" w:ascii="宋体" w:hAnsi="宋体" w:cs="仿宋_GB2312"/>
          <w:kern w:val="0"/>
          <w:szCs w:val="21"/>
          <w:lang w:eastAsia="zh-CN"/>
        </w:rPr>
        <w:t>》</w:t>
      </w:r>
    </w:p>
    <w:p>
      <w:pPr>
        <w:spacing w:line="360" w:lineRule="auto"/>
        <w:jc w:val="left"/>
        <w:rPr>
          <w:rFonts w:hint="eastAsia" w:ascii="宋体" w:hAnsi="宋体" w:cs="仿宋_GB2312"/>
          <w:kern w:val="0"/>
          <w:szCs w:val="21"/>
        </w:rPr>
      </w:pPr>
      <w:r>
        <w:rPr>
          <w:rFonts w:hint="eastAsia" w:ascii="宋体" w:hAnsi="宋体" w:cs="仿宋_GB2312"/>
          <w:kern w:val="0"/>
          <w:szCs w:val="21"/>
          <w:lang w:val="en-US" w:eastAsia="zh-CN"/>
        </w:rPr>
        <w:t>五、</w:t>
      </w:r>
      <w:r>
        <w:rPr>
          <w:rFonts w:hint="eastAsia" w:ascii="宋体" w:hAnsi="宋体" w:cs="仿宋_GB2312"/>
          <w:kern w:val="0"/>
          <w:szCs w:val="21"/>
        </w:rPr>
        <w:t>《分包项目管理人员表》</w:t>
      </w:r>
    </w:p>
    <w:p>
      <w:pPr>
        <w:spacing w:line="360" w:lineRule="auto"/>
        <w:jc w:val="left"/>
        <w:rPr>
          <w:rFonts w:hint="eastAsia" w:ascii="宋体" w:hAnsi="宋体" w:cs="仿宋_GB2312"/>
          <w:kern w:val="0"/>
          <w:szCs w:val="21"/>
        </w:rPr>
      </w:pPr>
      <w:r>
        <w:rPr>
          <w:rFonts w:hint="eastAsia" w:ascii="宋体" w:hAnsi="宋体" w:cs="仿宋_GB2312"/>
          <w:kern w:val="0"/>
          <w:szCs w:val="21"/>
          <w:lang w:val="en-US" w:eastAsia="zh-CN"/>
        </w:rPr>
        <w:t>六、</w:t>
      </w:r>
      <w:r>
        <w:rPr>
          <w:rFonts w:hint="eastAsia" w:ascii="宋体" w:hAnsi="宋体" w:cs="仿宋_GB2312"/>
          <w:kern w:val="0"/>
          <w:szCs w:val="21"/>
        </w:rPr>
        <w:t>《项目管理组织机构》</w:t>
      </w:r>
    </w:p>
    <w:p>
      <w:pPr>
        <w:spacing w:line="360" w:lineRule="auto"/>
        <w:jc w:val="left"/>
        <w:rPr>
          <w:rFonts w:hint="eastAsia" w:ascii="宋体" w:hAnsi="宋体" w:cs="仿宋_GB2312"/>
          <w:kern w:val="0"/>
          <w:szCs w:val="21"/>
        </w:rPr>
      </w:pPr>
      <w:r>
        <w:rPr>
          <w:rFonts w:hint="eastAsia" w:ascii="宋体" w:hAnsi="宋体" w:cs="仿宋_GB2312"/>
          <w:kern w:val="0"/>
          <w:szCs w:val="21"/>
          <w:lang w:val="en-US" w:eastAsia="zh-CN"/>
        </w:rPr>
        <w:t>七、《</w:t>
      </w:r>
      <w:r>
        <w:rPr>
          <w:rFonts w:hint="eastAsia" w:ascii="宋体" w:hAnsi="宋体" w:cs="仿宋_GB2312"/>
          <w:kern w:val="0"/>
          <w:szCs w:val="21"/>
        </w:rPr>
        <w:t>施工组织设计</w:t>
      </w:r>
      <w:r>
        <w:rPr>
          <w:rFonts w:hint="eastAsia" w:ascii="宋体" w:hAnsi="宋体" w:cs="仿宋_GB2312"/>
          <w:kern w:val="0"/>
          <w:szCs w:val="21"/>
          <w:lang w:val="en-US" w:eastAsia="zh-CN"/>
        </w:rPr>
        <w:t>》</w:t>
      </w:r>
      <w:r>
        <w:rPr>
          <w:rFonts w:hint="eastAsia" w:ascii="宋体" w:hAnsi="宋体" w:cs="仿宋_GB2312"/>
          <w:kern w:val="0"/>
          <w:szCs w:val="21"/>
        </w:rPr>
        <w:t xml:space="preserve">  </w:t>
      </w:r>
    </w:p>
    <w:p>
      <w:pPr>
        <w:spacing w:line="360" w:lineRule="auto"/>
        <w:jc w:val="left"/>
        <w:rPr>
          <w:rFonts w:hint="eastAsia" w:ascii="宋体" w:hAnsi="宋体" w:cs="仿宋_GB2312"/>
          <w:kern w:val="0"/>
          <w:szCs w:val="21"/>
        </w:rPr>
      </w:pPr>
      <w:r>
        <w:rPr>
          <w:rFonts w:hint="eastAsia" w:ascii="宋体" w:hAnsi="宋体" w:cs="仿宋_GB2312"/>
          <w:kern w:val="0"/>
          <w:szCs w:val="21"/>
          <w:lang w:val="en-US" w:eastAsia="zh-CN"/>
        </w:rPr>
        <w:t>八、《</w:t>
      </w:r>
      <w:r>
        <w:rPr>
          <w:rFonts w:hint="eastAsia" w:ascii="宋体" w:hAnsi="宋体" w:cs="仿宋_GB2312"/>
          <w:kern w:val="0"/>
          <w:szCs w:val="21"/>
        </w:rPr>
        <w:t>重难点关键工程的施工方案</w:t>
      </w:r>
      <w:r>
        <w:rPr>
          <w:rFonts w:hint="eastAsia" w:ascii="宋体" w:hAnsi="宋体" w:cs="仿宋_GB2312"/>
          <w:kern w:val="0"/>
          <w:szCs w:val="21"/>
          <w:lang w:val="en-US" w:eastAsia="zh-CN"/>
        </w:rPr>
        <w:t>》</w:t>
      </w:r>
      <w:r>
        <w:rPr>
          <w:rFonts w:hint="eastAsia" w:ascii="宋体" w:hAnsi="宋体" w:cs="仿宋_GB2312"/>
          <w:kern w:val="0"/>
          <w:szCs w:val="21"/>
        </w:rPr>
        <w:t xml:space="preserve">   </w:t>
      </w:r>
    </w:p>
    <w:p>
      <w:pPr>
        <w:spacing w:line="360" w:lineRule="auto"/>
        <w:jc w:val="left"/>
        <w:rPr>
          <w:rFonts w:hint="eastAsia" w:ascii="宋体" w:hAnsi="宋体" w:cs="仿宋_GB2312"/>
          <w:kern w:val="0"/>
          <w:szCs w:val="21"/>
          <w:lang w:val="en-US" w:eastAsia="zh-CN"/>
        </w:rPr>
      </w:pPr>
      <w:r>
        <w:rPr>
          <w:rFonts w:hint="eastAsia" w:ascii="宋体" w:hAnsi="宋体" w:cs="仿宋_GB2312"/>
          <w:kern w:val="0"/>
          <w:szCs w:val="21"/>
          <w:lang w:val="en-US" w:eastAsia="zh-CN"/>
        </w:rPr>
        <w:t>九、《</w:t>
      </w:r>
      <w:r>
        <w:rPr>
          <w:rFonts w:hint="eastAsia" w:ascii="宋体" w:hAnsi="宋体" w:cs="仿宋_GB2312"/>
          <w:kern w:val="0"/>
          <w:szCs w:val="21"/>
        </w:rPr>
        <w:t>质量安全进度保障方案</w:t>
      </w:r>
      <w:r>
        <w:rPr>
          <w:rFonts w:hint="eastAsia" w:ascii="宋体" w:hAnsi="宋体" w:cs="仿宋_GB2312"/>
          <w:kern w:val="0"/>
          <w:szCs w:val="21"/>
          <w:lang w:val="en-US" w:eastAsia="zh-CN"/>
        </w:rPr>
        <w:t>》</w:t>
      </w:r>
    </w:p>
    <w:p>
      <w:pPr>
        <w:spacing w:line="360" w:lineRule="auto"/>
        <w:jc w:val="left"/>
        <w:rPr>
          <w:rFonts w:hint="eastAsia" w:ascii="宋体" w:hAnsi="宋体" w:cs="仿宋_GB2312"/>
          <w:kern w:val="0"/>
          <w:szCs w:val="21"/>
        </w:rPr>
      </w:pPr>
      <w:r>
        <w:rPr>
          <w:rFonts w:hint="eastAsia" w:ascii="宋体" w:hAnsi="宋体" w:cs="仿宋_GB2312"/>
          <w:kern w:val="0"/>
          <w:szCs w:val="21"/>
          <w:lang w:val="en-US" w:eastAsia="zh-CN"/>
        </w:rPr>
        <w:t>十、</w:t>
      </w:r>
      <w:r>
        <w:rPr>
          <w:rFonts w:hint="eastAsia" w:ascii="宋体" w:hAnsi="宋体" w:cs="仿宋_GB2312"/>
          <w:kern w:val="0"/>
          <w:szCs w:val="21"/>
        </w:rPr>
        <w:t xml:space="preserve"> </w:t>
      </w:r>
      <w:r>
        <w:rPr>
          <w:rFonts w:hint="eastAsia" w:ascii="宋体" w:hAnsi="宋体" w:cs="仿宋_GB2312"/>
          <w:kern w:val="0"/>
          <w:szCs w:val="21"/>
          <w:lang w:val="en-US" w:eastAsia="zh-CN"/>
        </w:rPr>
        <w:t>《</w:t>
      </w:r>
      <w:r>
        <w:rPr>
          <w:rFonts w:hint="eastAsia" w:ascii="宋体" w:hAnsi="宋体" w:cs="仿宋_GB2312"/>
          <w:kern w:val="0"/>
          <w:szCs w:val="21"/>
        </w:rPr>
        <w:t>信誉及业绩评价</w:t>
      </w:r>
      <w:r>
        <w:rPr>
          <w:rFonts w:hint="eastAsia" w:ascii="宋体" w:hAnsi="宋体" w:cs="仿宋_GB2312"/>
          <w:kern w:val="0"/>
          <w:szCs w:val="21"/>
          <w:lang w:val="en-US" w:eastAsia="zh-CN"/>
        </w:rPr>
        <w:t>》</w:t>
      </w:r>
    </w:p>
    <w:p>
      <w:pPr>
        <w:spacing w:line="360" w:lineRule="auto"/>
        <w:jc w:val="left"/>
        <w:rPr>
          <w:rFonts w:hint="default" w:ascii="宋体" w:hAnsi="宋体" w:cs="仿宋_GB2312"/>
          <w:kern w:val="0"/>
          <w:szCs w:val="21"/>
          <w:lang w:val="en-US" w:eastAsia="zh-CN"/>
        </w:rPr>
      </w:pPr>
      <w:r>
        <w:rPr>
          <w:rFonts w:hint="eastAsia" w:ascii="宋体" w:hAnsi="宋体" w:cs="仿宋_GB2312"/>
          <w:kern w:val="0"/>
          <w:szCs w:val="21"/>
          <w:lang w:val="en-US" w:eastAsia="zh-CN"/>
        </w:rPr>
        <w:t>十一、《投标人认为其他需要的资料》如有，格式自拟</w:t>
      </w:r>
    </w:p>
    <w:p>
      <w:pPr>
        <w:rPr>
          <w:rFonts w:hint="eastAsia" w:ascii="黑体" w:hAnsi="黑体" w:eastAsia="黑体" w:cs="黑体"/>
          <w:sz w:val="32"/>
          <w:szCs w:val="32"/>
        </w:rPr>
      </w:pPr>
    </w:p>
    <w:p>
      <w:pPr>
        <w:pStyle w:val="2"/>
        <w:ind w:left="0" w:leftChars="0" w:firstLine="0" w:firstLineChars="0"/>
        <w:jc w:val="both"/>
        <w:rPr>
          <w:rFonts w:hint="eastAsia" w:ascii="黑体" w:hAnsi="黑体" w:eastAsia="黑体" w:cs="黑体"/>
          <w:sz w:val="32"/>
          <w:szCs w:val="32"/>
        </w:rPr>
      </w:pPr>
    </w:p>
    <w:p>
      <w:pPr>
        <w:rPr>
          <w:rFonts w:hint="eastAsia" w:ascii="黑体" w:hAnsi="黑体" w:eastAsia="黑体" w:cs="黑体"/>
          <w:sz w:val="32"/>
          <w:szCs w:val="32"/>
        </w:rPr>
      </w:pPr>
      <w:r>
        <w:rPr>
          <w:rFonts w:hint="eastAsia" w:ascii="黑体" w:hAnsi="黑体" w:eastAsia="黑体" w:cs="黑体"/>
          <w:sz w:val="32"/>
          <w:szCs w:val="32"/>
        </w:rPr>
        <w:t>附件1</w:t>
      </w:r>
    </w:p>
    <w:p>
      <w:pPr>
        <w:jc w:val="center"/>
        <w:rPr>
          <w:rFonts w:ascii="华文宋体" w:hAnsi="华文宋体" w:eastAsia="华文宋体"/>
          <w:sz w:val="32"/>
          <w:szCs w:val="32"/>
        </w:rPr>
      </w:pPr>
    </w:p>
    <w:p>
      <w:pPr>
        <w:jc w:val="center"/>
        <w:rPr>
          <w:rFonts w:asciiTheme="majorEastAsia" w:hAnsiTheme="majorEastAsia" w:eastAsiaTheme="majorEastAsia"/>
          <w:sz w:val="32"/>
          <w:szCs w:val="32"/>
        </w:rPr>
      </w:pPr>
      <w:r>
        <w:rPr>
          <w:rFonts w:hint="eastAsia" w:asciiTheme="majorEastAsia" w:hAnsiTheme="majorEastAsia" w:eastAsiaTheme="majorEastAsia"/>
          <w:sz w:val="32"/>
          <w:szCs w:val="32"/>
        </w:rPr>
        <w:t>投    标    函</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我单位对</w:t>
      </w:r>
      <w:r>
        <w:rPr>
          <w:rFonts w:hint="eastAsia" w:ascii="仿宋" w:hAnsi="仿宋" w:eastAsia="仿宋" w:cs="仿宋"/>
          <w:sz w:val="28"/>
          <w:szCs w:val="28"/>
          <w:lang w:val="en-US" w:eastAsia="zh-CN"/>
        </w:rPr>
        <w:t xml:space="preserve"> </w:t>
      </w:r>
      <w:r>
        <w:rPr>
          <w:rFonts w:hint="eastAsia" w:ascii="仿宋" w:hAnsi="仿宋" w:eastAsia="仿宋" w:cs="仿宋"/>
          <w:color w:val="FF0000"/>
          <w:kern w:val="0"/>
          <w:sz w:val="28"/>
          <w:szCs w:val="28"/>
          <w:u w:val="single"/>
          <w:lang w:val="en-US" w:eastAsia="zh-CN"/>
        </w:rPr>
        <w:t xml:space="preserve">     项目名称      </w:t>
      </w:r>
      <w:r>
        <w:rPr>
          <w:rFonts w:hint="eastAsia" w:ascii="仿宋" w:hAnsi="仿宋" w:eastAsia="仿宋" w:cs="仿宋"/>
          <w:sz w:val="28"/>
          <w:szCs w:val="28"/>
        </w:rPr>
        <w:t>招标文件进行了研究，决定对该标段中内容进行投标，并愿意承担投标文件中规定的所有义务，我们的投标报价为</w:t>
      </w:r>
      <w:r>
        <w:rPr>
          <w:rFonts w:hint="eastAsia" w:ascii="仿宋" w:hAnsi="仿宋" w:eastAsia="仿宋" w:cs="仿宋"/>
          <w:color w:val="FF0000"/>
          <w:sz w:val="28"/>
          <w:szCs w:val="28"/>
          <w:u w:val="single"/>
        </w:rPr>
        <w:t xml:space="preserve">     </w:t>
      </w:r>
      <w:r>
        <w:rPr>
          <w:rFonts w:hint="eastAsia" w:ascii="仿宋" w:hAnsi="仿宋" w:eastAsia="仿宋" w:cs="仿宋"/>
          <w:color w:val="FF0000"/>
          <w:sz w:val="28"/>
          <w:szCs w:val="28"/>
          <w:u w:val="single"/>
          <w:lang w:val="en-US" w:eastAsia="zh-CN"/>
        </w:rPr>
        <w:t>%</w:t>
      </w:r>
      <w:r>
        <w:rPr>
          <w:rFonts w:hint="eastAsia" w:ascii="仿宋" w:hAnsi="仿宋" w:eastAsia="仿宋" w:cs="仿宋"/>
          <w:sz w:val="28"/>
          <w:szCs w:val="28"/>
        </w:rPr>
        <w:t>（大写        ）。</w:t>
      </w:r>
    </w:p>
    <w:p>
      <w:pPr>
        <w:ind w:firstLine="645"/>
        <w:rPr>
          <w:rFonts w:hint="eastAsia" w:ascii="仿宋" w:hAnsi="仿宋" w:eastAsia="仿宋" w:cs="仿宋"/>
          <w:sz w:val="28"/>
          <w:szCs w:val="28"/>
        </w:rPr>
      </w:pPr>
      <w:r>
        <w:rPr>
          <w:rFonts w:hint="eastAsia" w:ascii="仿宋" w:hAnsi="仿宋" w:eastAsia="仿宋" w:cs="仿宋"/>
          <w:sz w:val="28"/>
          <w:szCs w:val="28"/>
        </w:rPr>
        <w:t>一旦通知我们中标，我们保证按照招标文件要求着手准备施工，在招标文件规定的开工日期内开工，并按照规定的工期完成本工程的承包任务。</w:t>
      </w:r>
    </w:p>
    <w:p>
      <w:pPr>
        <w:ind w:firstLine="645"/>
        <w:rPr>
          <w:rFonts w:ascii="仿宋" w:hAnsi="仿宋" w:eastAsia="仿宋"/>
          <w:sz w:val="32"/>
          <w:szCs w:val="32"/>
        </w:rPr>
      </w:pPr>
    </w:p>
    <w:p>
      <w:pPr>
        <w:pStyle w:val="2"/>
        <w:ind w:left="63" w:right="63" w:firstLine="200"/>
      </w:pPr>
    </w:p>
    <w:p>
      <w:pPr>
        <w:pStyle w:val="2"/>
        <w:ind w:left="63" w:right="63" w:firstLine="200"/>
        <w:rPr>
          <w:sz w:val="28"/>
          <w:szCs w:val="28"/>
        </w:rPr>
      </w:pPr>
    </w:p>
    <w:p>
      <w:pPr>
        <w:ind w:right="640" w:firstLine="4900" w:firstLineChars="1750"/>
        <w:jc w:val="left"/>
        <w:rPr>
          <w:rFonts w:ascii="仿宋" w:hAnsi="仿宋" w:eastAsia="仿宋"/>
          <w:sz w:val="28"/>
          <w:szCs w:val="28"/>
        </w:rPr>
      </w:pPr>
      <w:r>
        <w:rPr>
          <w:rFonts w:hint="eastAsia" w:ascii="仿宋" w:hAnsi="仿宋" w:eastAsia="仿宋"/>
          <w:sz w:val="28"/>
          <w:szCs w:val="28"/>
        </w:rPr>
        <w:t>投标单位（盖章）：</w:t>
      </w:r>
    </w:p>
    <w:p>
      <w:pPr>
        <w:ind w:firstLine="645"/>
        <w:jc w:val="left"/>
        <w:rPr>
          <w:rFonts w:ascii="仿宋" w:hAnsi="仿宋" w:eastAsia="仿宋"/>
          <w:sz w:val="28"/>
          <w:szCs w:val="28"/>
        </w:rPr>
      </w:pPr>
      <w:r>
        <w:rPr>
          <w:rFonts w:hint="eastAsia" w:ascii="仿宋" w:hAnsi="仿宋" w:eastAsia="仿宋"/>
          <w:sz w:val="28"/>
          <w:szCs w:val="28"/>
        </w:rPr>
        <w:t xml:space="preserve">                               法定代表人（签章）：</w:t>
      </w:r>
    </w:p>
    <w:p>
      <w:pPr>
        <w:ind w:firstLine="645"/>
        <w:jc w:val="left"/>
        <w:rPr>
          <w:rFonts w:ascii="仿宋" w:hAnsi="仿宋" w:eastAsia="仿宋"/>
          <w:sz w:val="28"/>
          <w:szCs w:val="28"/>
        </w:rPr>
      </w:pPr>
      <w:r>
        <w:rPr>
          <w:rFonts w:hint="eastAsia" w:ascii="仿宋" w:hAnsi="仿宋" w:eastAsia="仿宋"/>
          <w:sz w:val="28"/>
          <w:szCs w:val="28"/>
        </w:rPr>
        <w:t xml:space="preserve">                               地址：</w:t>
      </w:r>
    </w:p>
    <w:p>
      <w:pPr>
        <w:ind w:firstLine="645"/>
        <w:jc w:val="left"/>
        <w:rPr>
          <w:rFonts w:ascii="仿宋" w:hAnsi="仿宋" w:eastAsia="仿宋"/>
          <w:sz w:val="28"/>
          <w:szCs w:val="28"/>
        </w:rPr>
      </w:pPr>
      <w:r>
        <w:rPr>
          <w:rFonts w:hint="eastAsia" w:ascii="仿宋" w:hAnsi="仿宋" w:eastAsia="仿宋"/>
          <w:sz w:val="28"/>
          <w:szCs w:val="28"/>
        </w:rPr>
        <w:t xml:space="preserve">                               电话：</w:t>
      </w:r>
    </w:p>
    <w:p>
      <w:pPr>
        <w:ind w:firstLine="645"/>
        <w:jc w:val="left"/>
        <w:rPr>
          <w:rFonts w:ascii="仿宋" w:hAnsi="仿宋" w:eastAsia="仿宋"/>
          <w:sz w:val="28"/>
          <w:szCs w:val="28"/>
        </w:rPr>
      </w:pPr>
      <w:r>
        <w:rPr>
          <w:rFonts w:hint="eastAsia" w:ascii="仿宋" w:hAnsi="仿宋" w:eastAsia="仿宋"/>
          <w:sz w:val="28"/>
          <w:szCs w:val="28"/>
        </w:rPr>
        <w:t xml:space="preserve">                               日期：</w:t>
      </w:r>
    </w:p>
    <w:p>
      <w:pPr>
        <w:ind w:firstLine="645"/>
        <w:jc w:val="left"/>
        <w:rPr>
          <w:rFonts w:ascii="仿宋" w:hAnsi="仿宋" w:eastAsia="仿宋"/>
          <w:sz w:val="28"/>
          <w:szCs w:val="28"/>
        </w:rPr>
      </w:pPr>
    </w:p>
    <w:p>
      <w:pPr>
        <w:pStyle w:val="2"/>
        <w:ind w:left="0" w:leftChars="0" w:right="63" w:firstLine="0" w:firstLineChars="0"/>
        <w:jc w:val="left"/>
        <w:rPr>
          <w:rFonts w:eastAsia="黑体"/>
          <w:b/>
          <w:bCs/>
          <w:sz w:val="28"/>
          <w:szCs w:val="28"/>
        </w:rPr>
      </w:pPr>
    </w:p>
    <w:p>
      <w:pPr>
        <w:pStyle w:val="2"/>
        <w:ind w:left="0" w:leftChars="0" w:right="63" w:firstLine="0" w:firstLineChars="0"/>
        <w:jc w:val="both"/>
        <w:rPr>
          <w:rFonts w:eastAsia="黑体"/>
          <w:b/>
          <w:bCs/>
          <w:sz w:val="32"/>
        </w:rPr>
      </w:pPr>
    </w:p>
    <w:p>
      <w:pPr>
        <w:spacing w:line="360" w:lineRule="auto"/>
        <w:rPr>
          <w:rFonts w:hint="eastAsia" w:ascii="黑体" w:hAnsi="黑体" w:eastAsia="黑体" w:cs="黑体"/>
          <w:b w:val="0"/>
          <w:bCs w:val="0"/>
          <w:sz w:val="32"/>
        </w:rPr>
        <w:sectPr>
          <w:headerReference r:id="rId3" w:type="default"/>
          <w:footerReference r:id="rId4" w:type="default"/>
          <w:pgSz w:w="11906" w:h="16838"/>
          <w:pgMar w:top="720" w:right="720" w:bottom="720" w:left="720" w:header="851" w:footer="992" w:gutter="0"/>
          <w:cols w:space="425" w:num="1"/>
          <w:docGrid w:type="lines" w:linePitch="312" w:charSpace="0"/>
        </w:sectPr>
      </w:pPr>
    </w:p>
    <w:p>
      <w:pPr>
        <w:spacing w:line="360" w:lineRule="auto"/>
        <w:rPr>
          <w:rFonts w:hint="eastAsia" w:ascii="黑体" w:hAnsi="黑体" w:eastAsia="黑体" w:cs="黑体"/>
          <w:b w:val="0"/>
          <w:bCs w:val="0"/>
          <w:sz w:val="32"/>
          <w:lang w:eastAsia="zh-CN"/>
        </w:rPr>
      </w:pPr>
      <w:r>
        <w:rPr>
          <w:rFonts w:hint="eastAsia" w:ascii="黑体" w:hAnsi="黑体" w:eastAsia="黑体" w:cs="黑体"/>
          <w:b w:val="0"/>
          <w:bCs w:val="0"/>
          <w:sz w:val="32"/>
        </w:rPr>
        <w:t>附件</w:t>
      </w:r>
      <w:r>
        <w:rPr>
          <w:rFonts w:hint="eastAsia" w:ascii="黑体" w:hAnsi="黑体" w:eastAsia="黑体" w:cs="黑体"/>
          <w:b w:val="0"/>
          <w:bCs w:val="0"/>
          <w:sz w:val="32"/>
          <w:lang w:val="en-US" w:eastAsia="zh-CN"/>
        </w:rPr>
        <w:t>2</w:t>
      </w:r>
    </w:p>
    <w:p>
      <w:pPr>
        <w:spacing w:line="360" w:lineRule="auto"/>
        <w:ind w:firstLine="144" w:firstLineChars="45"/>
        <w:jc w:val="center"/>
        <w:rPr>
          <w:rFonts w:hint="eastAsia" w:ascii="仿宋" w:hAnsi="仿宋" w:eastAsia="仿宋" w:cs="仿宋"/>
          <w:b w:val="0"/>
          <w:bCs w:val="0"/>
          <w:sz w:val="32"/>
        </w:rPr>
      </w:pPr>
      <w:r>
        <w:rPr>
          <w:rFonts w:hint="eastAsia" w:ascii="仿宋" w:hAnsi="仿宋" w:eastAsia="仿宋" w:cs="仿宋"/>
          <w:b w:val="0"/>
          <w:bCs w:val="0"/>
          <w:sz w:val="32"/>
        </w:rPr>
        <w:t>法定代表人授权委托书</w:t>
      </w:r>
    </w:p>
    <w:p>
      <w:pPr>
        <w:spacing w:line="360" w:lineRule="auto"/>
        <w:ind w:firstLine="548" w:firstLineChars="196"/>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兹委托我公司</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同志，身份证号码</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、联系电话</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代表本公司与贵公司签署</w:t>
      </w:r>
      <w:r>
        <w:rPr>
          <w:rFonts w:hint="eastAsia" w:ascii="仿宋" w:hAnsi="仿宋" w:eastAsia="仿宋" w:cs="仿宋"/>
          <w:b w:val="0"/>
          <w:bCs w:val="0"/>
          <w:color w:val="FF0000"/>
          <w:sz w:val="32"/>
          <w:szCs w:val="32"/>
          <w:u w:val="single"/>
          <w:lang w:val="en-US" w:eastAsia="zh-CN"/>
        </w:rPr>
        <w:t xml:space="preserve">             </w:t>
      </w:r>
      <w:r>
        <w:rPr>
          <w:rFonts w:hint="eastAsia" w:ascii="仿宋" w:hAnsi="仿宋" w:eastAsia="仿宋" w:cs="仿宋"/>
          <w:b w:val="0"/>
          <w:bCs w:val="0"/>
          <w:color w:val="FF0000"/>
          <w:kern w:val="0"/>
          <w:sz w:val="28"/>
          <w:szCs w:val="28"/>
          <w:u w:val="single"/>
          <w:lang w:val="en-US" w:eastAsia="zh-CN"/>
        </w:rPr>
        <w:t>（项目名称）</w:t>
      </w:r>
      <w:r>
        <w:rPr>
          <w:rFonts w:hint="eastAsia" w:ascii="仿宋" w:hAnsi="仿宋" w:eastAsia="仿宋" w:cs="仿宋"/>
          <w:b w:val="0"/>
          <w:bCs w:val="0"/>
          <w:sz w:val="28"/>
          <w:szCs w:val="28"/>
        </w:rPr>
        <w:t>分包合同，对其签署的所有文件本公司予以承认，并承担由此产生的所有经济和法律责任。同时委托我公司</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同志，身份号码</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、联系电话</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作为本项目的项目经理，负责本项目的具体实施，并承担由此产生的所有经济和法律责任。</w:t>
      </w:r>
    </w:p>
    <w:p>
      <w:pPr>
        <w:pStyle w:val="8"/>
        <w:rPr>
          <w:rFonts w:hint="eastAsia" w:ascii="仿宋" w:hAnsi="仿宋" w:eastAsia="仿宋" w:cs="仿宋"/>
          <w:b w:val="0"/>
          <w:bCs w:val="0"/>
          <w:szCs w:val="28"/>
        </w:rPr>
      </w:pPr>
    </w:p>
    <w:p>
      <w:pPr>
        <w:adjustRightInd w:val="0"/>
        <w:snapToGrid w:val="0"/>
        <w:spacing w:line="360" w:lineRule="auto"/>
        <w:ind w:firstLine="560" w:firstLineChars="200"/>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特此授权。</w:t>
      </w:r>
    </w:p>
    <w:p>
      <w:pPr>
        <w:spacing w:line="360" w:lineRule="auto"/>
        <w:ind w:firstLine="480"/>
        <w:jc w:val="left"/>
        <w:rPr>
          <w:rFonts w:hint="eastAsia" w:ascii="仿宋" w:hAnsi="仿宋" w:eastAsia="仿宋" w:cs="仿宋"/>
          <w:b w:val="0"/>
          <w:bCs w:val="0"/>
          <w:sz w:val="28"/>
          <w:szCs w:val="28"/>
        </w:rPr>
      </w:pPr>
    </w:p>
    <w:p>
      <w:pPr>
        <w:spacing w:line="360" w:lineRule="auto"/>
        <w:ind w:firstLine="480"/>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授权人（企业法定代表人）：</w:t>
      </w:r>
    </w:p>
    <w:p>
      <w:pPr>
        <w:spacing w:line="360" w:lineRule="auto"/>
        <w:ind w:firstLine="480"/>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企业公章：</w:t>
      </w:r>
    </w:p>
    <w:p>
      <w:pPr>
        <w:spacing w:line="360" w:lineRule="auto"/>
        <w:ind w:firstLine="480"/>
        <w:jc w:val="left"/>
        <w:rPr>
          <w:rFonts w:hint="eastAsia" w:ascii="仿宋" w:hAnsi="仿宋" w:eastAsia="仿宋" w:cs="仿宋"/>
          <w:b w:val="0"/>
          <w:bCs w:val="0"/>
          <w:sz w:val="28"/>
          <w:szCs w:val="28"/>
        </w:rPr>
      </w:pPr>
    </w:p>
    <w:p>
      <w:pPr>
        <w:spacing w:line="360" w:lineRule="auto"/>
        <w:ind w:firstLine="1120" w:firstLineChars="400"/>
        <w:rPr>
          <w:rFonts w:hint="eastAsia" w:ascii="仿宋" w:hAnsi="仿宋" w:eastAsia="仿宋" w:cs="仿宋"/>
          <w:b w:val="0"/>
          <w:bCs w:val="0"/>
          <w:sz w:val="28"/>
          <w:szCs w:val="28"/>
        </w:rPr>
      </w:pPr>
      <w:r>
        <w:rPr>
          <w:rFonts w:hint="eastAsia" w:ascii="仿宋" w:hAnsi="仿宋" w:eastAsia="仿宋" w:cs="仿宋"/>
          <w:b w:val="0"/>
          <w:bCs w:val="0"/>
          <w:sz w:val="28"/>
          <w:szCs w:val="28"/>
        </w:rPr>
        <w:t>年     月     日</w:t>
      </w:r>
    </w:p>
    <w:p>
      <w:pPr>
        <w:spacing w:line="360" w:lineRule="auto"/>
        <w:rPr>
          <w:rFonts w:hint="eastAsia" w:ascii="仿宋" w:hAnsi="仿宋" w:eastAsia="仿宋" w:cs="仿宋"/>
          <w:b w:val="0"/>
          <w:bCs w:val="0"/>
          <w:sz w:val="28"/>
          <w:szCs w:val="28"/>
        </w:rPr>
      </w:pPr>
      <w:r>
        <w:rPr>
          <w:rFonts w:hint="eastAsia" w:ascii="仿宋" w:hAnsi="仿宋" w:eastAsia="仿宋" w:cs="仿宋"/>
          <w:b w:val="0"/>
          <w:bCs w:val="0"/>
          <w:sz w:val="28"/>
          <w:szCs w:val="28"/>
        </w:rPr>
        <w:t>附：授权人及被委托人身份证复印件并加盖本公司公章：</w:t>
      </w:r>
    </w:p>
    <w:tbl>
      <w:tblPr>
        <w:tblStyle w:val="14"/>
        <w:tblW w:w="105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08"/>
        <w:gridCol w:w="5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4" w:hRule="atLeast"/>
        </w:trPr>
        <w:tc>
          <w:tcPr>
            <w:tcW w:w="5308" w:type="dxa"/>
          </w:tcPr>
          <w:p>
            <w:pPr>
              <w:spacing w:line="360" w:lineRule="auto"/>
              <w:rPr>
                <w:rFonts w:hint="eastAsia" w:ascii="仿宋" w:hAnsi="仿宋" w:eastAsia="仿宋" w:cs="仿宋"/>
                <w:b w:val="0"/>
                <w:bCs w:val="0"/>
              </w:rPr>
            </w:pPr>
          </w:p>
        </w:tc>
        <w:tc>
          <w:tcPr>
            <w:tcW w:w="5200" w:type="dxa"/>
          </w:tcPr>
          <w:p>
            <w:pPr>
              <w:spacing w:line="360" w:lineRule="auto"/>
              <w:rPr>
                <w:rFonts w:hint="eastAsia" w:ascii="仿宋" w:hAnsi="仿宋" w:eastAsia="仿宋" w:cs="仿宋"/>
                <w:b w:val="0"/>
                <w:bCs w:val="0"/>
              </w:rPr>
            </w:pPr>
          </w:p>
        </w:tc>
      </w:tr>
    </w:tbl>
    <w:p/>
    <w:p/>
    <w:p>
      <w:pPr>
        <w:pStyle w:val="2"/>
      </w:pPr>
    </w:p>
    <w:p>
      <w:pPr>
        <w:pStyle w:val="2"/>
        <w:ind w:left="0" w:leftChars="0" w:right="63" w:firstLine="0" w:firstLineChars="0"/>
        <w:jc w:val="both"/>
      </w:pPr>
    </w:p>
    <w:p>
      <w:pPr>
        <w:rPr>
          <w:rFonts w:hint="eastAsia" w:ascii="黑体" w:hAnsi="黑体" w:eastAsia="黑体" w:cs="黑体"/>
          <w:sz w:val="32"/>
          <w:szCs w:val="32"/>
        </w:rPr>
        <w:sectPr>
          <w:pgSz w:w="11906" w:h="16838"/>
          <w:pgMar w:top="720" w:right="720" w:bottom="720" w:left="720" w:header="851" w:footer="992" w:gutter="0"/>
          <w:cols w:space="425" w:num="1"/>
          <w:docGrid w:type="lines" w:linePitch="312" w:charSpace="0"/>
        </w:sectPr>
      </w:pPr>
    </w:p>
    <w:p>
      <w:pPr>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附件3：</w:t>
      </w:r>
    </w:p>
    <w:p>
      <w:pPr>
        <w:jc w:val="center"/>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承诺函</w:t>
      </w:r>
    </w:p>
    <w:p>
      <w:pPr>
        <w:rPr>
          <w:rFonts w:hint="eastAsia" w:ascii="黑体" w:hAnsi="黑体" w:eastAsia="黑体" w:cs="黑体"/>
          <w:color w:val="auto"/>
          <w:sz w:val="32"/>
          <w:szCs w:val="32"/>
          <w:lang w:val="en-US" w:eastAsia="zh-CN"/>
        </w:rPr>
      </w:pPr>
    </w:p>
    <w:p>
      <w:pPr>
        <w:spacing w:line="360" w:lineRule="auto"/>
        <w:rPr>
          <w:rFonts w:hint="eastAsia" w:ascii="仿宋" w:hAnsi="仿宋" w:eastAsia="仿宋"/>
          <w:b/>
          <w:color w:val="auto"/>
          <w:sz w:val="32"/>
          <w:szCs w:val="32"/>
        </w:rPr>
      </w:pPr>
      <w:r>
        <w:rPr>
          <w:rFonts w:hint="eastAsia" w:ascii="仿宋" w:hAnsi="仿宋" w:eastAsia="仿宋"/>
          <w:b/>
          <w:color w:val="auto"/>
          <w:sz w:val="32"/>
          <w:szCs w:val="32"/>
        </w:rPr>
        <w:t>致：</w:t>
      </w:r>
      <w:r>
        <w:rPr>
          <w:rFonts w:hint="eastAsia" w:ascii="仿宋" w:hAnsi="仿宋" w:eastAsia="仿宋"/>
          <w:color w:val="auto"/>
          <w:sz w:val="32"/>
          <w:szCs w:val="32"/>
          <w:u w:val="single"/>
        </w:rPr>
        <w:t>湖州南浔城投城市建设集团有限公司</w:t>
      </w:r>
    </w:p>
    <w:p>
      <w:pPr>
        <w:spacing w:line="240" w:lineRule="atLeast"/>
        <w:ind w:firstLine="640" w:firstLineChars="200"/>
        <w:jc w:val="left"/>
        <w:rPr>
          <w:rFonts w:hint="eastAsia" w:ascii="宋体" w:hAnsi="宋体"/>
          <w:color w:val="auto"/>
          <w:sz w:val="36"/>
          <w:szCs w:val="36"/>
        </w:rPr>
      </w:pPr>
      <w:r>
        <w:rPr>
          <w:rFonts w:hint="eastAsia" w:ascii="仿宋" w:hAnsi="仿宋" w:eastAsia="仿宋"/>
          <w:color w:val="auto"/>
          <w:sz w:val="32"/>
          <w:szCs w:val="32"/>
        </w:rPr>
        <w:t>根据贵公司</w:t>
      </w:r>
      <w:r>
        <w:rPr>
          <w:rFonts w:hint="eastAsia" w:ascii="仿宋" w:hAnsi="仿宋" w:eastAsia="仿宋"/>
          <w:color w:val="auto"/>
          <w:sz w:val="32"/>
          <w:szCs w:val="32"/>
          <w:u w:val="single"/>
          <w:lang w:val="en-US" w:eastAsia="zh-CN"/>
        </w:rPr>
        <w:t xml:space="preserve">        </w:t>
      </w:r>
      <w:r>
        <w:rPr>
          <w:rFonts w:hint="eastAsia" w:ascii="仿宋" w:hAnsi="仿宋" w:eastAsia="仿宋" w:cs="仿宋"/>
          <w:color w:val="auto"/>
          <w:kern w:val="2"/>
          <w:sz w:val="28"/>
          <w:szCs w:val="28"/>
          <w:u w:val="single"/>
          <w:lang w:val="en-US" w:eastAsia="zh-CN" w:bidi="ar-SA"/>
        </w:rPr>
        <w:t>（项目名称）</w:t>
      </w:r>
      <w:r>
        <w:rPr>
          <w:rFonts w:hint="eastAsia" w:ascii="仿宋" w:hAnsi="仿宋" w:eastAsia="仿宋"/>
          <w:color w:val="auto"/>
          <w:sz w:val="32"/>
          <w:szCs w:val="32"/>
        </w:rPr>
        <w:t>项目的要求，</w:t>
      </w:r>
      <w:r>
        <w:rPr>
          <w:rFonts w:hint="eastAsia" w:ascii="仿宋" w:hAnsi="仿宋" w:eastAsia="仿宋"/>
          <w:color w:val="auto"/>
          <w:sz w:val="32"/>
          <w:szCs w:val="32"/>
          <w:lang w:val="en-US" w:eastAsia="zh-CN"/>
        </w:rPr>
        <w:t>一旦我公司中标，</w:t>
      </w:r>
      <w:r>
        <w:rPr>
          <w:rFonts w:hint="eastAsia" w:ascii="仿宋" w:hAnsi="仿宋" w:eastAsia="仿宋"/>
          <w:color w:val="auto"/>
          <w:sz w:val="32"/>
          <w:szCs w:val="32"/>
        </w:rPr>
        <w:t>我公司郑重承诺如下：</w:t>
      </w:r>
    </w:p>
    <w:p>
      <w:pPr>
        <w:adjustRightInd w:val="0"/>
        <w:snapToGrid w:val="0"/>
        <w:spacing w:line="600" w:lineRule="exact"/>
        <w:ind w:firstLine="643" w:firstLineChars="200"/>
        <w:rPr>
          <w:rFonts w:hint="eastAsia" w:ascii="仿宋" w:hAnsi="仿宋" w:eastAsia="仿宋" w:cs="Calibri"/>
          <w:color w:val="auto"/>
          <w:sz w:val="32"/>
          <w:szCs w:val="32"/>
        </w:rPr>
      </w:pPr>
      <w:r>
        <w:rPr>
          <w:rFonts w:hint="eastAsia" w:ascii="仿宋" w:hAnsi="仿宋" w:eastAsia="仿宋"/>
          <w:b/>
          <w:color w:val="auto"/>
          <w:sz w:val="32"/>
          <w:szCs w:val="32"/>
        </w:rPr>
        <w:t>一、</w:t>
      </w:r>
      <w:r>
        <w:rPr>
          <w:rFonts w:hint="eastAsia" w:ascii="仿宋" w:hAnsi="仿宋" w:eastAsia="仿宋"/>
          <w:color w:val="auto"/>
          <w:sz w:val="32"/>
          <w:szCs w:val="32"/>
        </w:rPr>
        <w:t>严格</w:t>
      </w:r>
      <w:r>
        <w:rPr>
          <w:rFonts w:hint="eastAsia" w:ascii="仿宋" w:hAnsi="仿宋" w:eastAsia="仿宋" w:cs="Calibri"/>
          <w:color w:val="auto"/>
          <w:sz w:val="32"/>
          <w:szCs w:val="32"/>
        </w:rPr>
        <w:t>按照招投标文件、施工图纸、贵公司与业主的承包合同、其他相关文件、法律法规、以及贵公司制度管理要求，精心组织施工作业，保证本工程按期、达标完成并交付。</w:t>
      </w:r>
    </w:p>
    <w:p>
      <w:pPr>
        <w:spacing w:line="600" w:lineRule="exact"/>
        <w:ind w:firstLine="643" w:firstLineChars="200"/>
        <w:rPr>
          <w:rFonts w:hint="eastAsia" w:ascii="仿宋" w:hAnsi="仿宋" w:eastAsia="仿宋"/>
          <w:color w:val="auto"/>
          <w:sz w:val="32"/>
          <w:szCs w:val="32"/>
        </w:rPr>
      </w:pPr>
      <w:r>
        <w:rPr>
          <w:rFonts w:hint="eastAsia" w:ascii="仿宋" w:hAnsi="仿宋" w:eastAsia="仿宋" w:cs="Calibri"/>
          <w:b/>
          <w:color w:val="auto"/>
          <w:sz w:val="32"/>
          <w:szCs w:val="32"/>
        </w:rPr>
        <w:t>二、</w:t>
      </w:r>
      <w:r>
        <w:rPr>
          <w:rFonts w:hint="eastAsia" w:ascii="仿宋" w:hAnsi="仿宋" w:eastAsia="仿宋" w:cs="Calibri"/>
          <w:color w:val="auto"/>
          <w:sz w:val="32"/>
          <w:szCs w:val="32"/>
        </w:rPr>
        <w:t>我公司严格按照贵公司及业主要求时间进场，不以任何理由为借口拖延进场时间，并承诺本工程</w:t>
      </w:r>
      <w:r>
        <w:rPr>
          <w:rFonts w:hint="eastAsia" w:ascii="仿宋" w:hAnsi="仿宋" w:eastAsia="仿宋" w:cs="Calibri"/>
          <w:color w:val="auto"/>
          <w:sz w:val="32"/>
          <w:szCs w:val="32"/>
          <w:lang w:val="en-US" w:eastAsia="zh-CN"/>
        </w:rPr>
        <w:t>按招标人要求的工期</w:t>
      </w:r>
      <w:r>
        <w:rPr>
          <w:rFonts w:hint="eastAsia" w:ascii="仿宋" w:hAnsi="仿宋" w:eastAsia="仿宋" w:cs="Calibri"/>
          <w:color w:val="auto"/>
          <w:sz w:val="32"/>
          <w:szCs w:val="32"/>
        </w:rPr>
        <w:t>完工并交付。</w:t>
      </w:r>
    </w:p>
    <w:p>
      <w:pPr>
        <w:spacing w:line="600" w:lineRule="exact"/>
        <w:ind w:firstLine="643" w:firstLineChars="200"/>
        <w:rPr>
          <w:rFonts w:hint="eastAsia" w:ascii="仿宋" w:hAnsi="仿宋" w:eastAsia="仿宋"/>
          <w:color w:val="auto"/>
          <w:sz w:val="32"/>
          <w:szCs w:val="32"/>
        </w:rPr>
      </w:pPr>
      <w:r>
        <w:rPr>
          <w:rFonts w:hint="eastAsia" w:ascii="仿宋" w:hAnsi="仿宋" w:eastAsia="仿宋"/>
          <w:b/>
          <w:color w:val="auto"/>
          <w:sz w:val="32"/>
          <w:szCs w:val="32"/>
        </w:rPr>
        <w:t>三、</w:t>
      </w:r>
      <w:r>
        <w:rPr>
          <w:rFonts w:hint="eastAsia" w:ascii="仿宋" w:hAnsi="仿宋" w:eastAsia="仿宋"/>
          <w:color w:val="auto"/>
          <w:sz w:val="32"/>
          <w:szCs w:val="32"/>
        </w:rPr>
        <w:t>我公司认可本工程招标程序及结果，并对自身投标报价负责，我公司承诺签订本承诺函后愿意承担如中途放弃本工程施工的违约责任，接受并承担由我公司原因对贵司造成的一切损失，完全服从湖州南浔城投城市建设集团有限公司对我公司的处理。</w:t>
      </w:r>
    </w:p>
    <w:p>
      <w:pPr>
        <w:pStyle w:val="2"/>
        <w:ind w:firstLine="640" w:firstLineChars="200"/>
        <w:jc w:val="left"/>
        <w:rPr>
          <w:rFonts w:hint="eastAsia" w:ascii="仿宋" w:hAnsi="仿宋" w:eastAsia="仿宋" w:cs="Times New Roman"/>
          <w:color w:val="auto"/>
          <w:kern w:val="2"/>
          <w:sz w:val="32"/>
          <w:szCs w:val="32"/>
          <w:lang w:val="en-US" w:eastAsia="zh-CN" w:bidi="ar-SA"/>
        </w:rPr>
      </w:pPr>
      <w:r>
        <w:rPr>
          <w:rFonts w:hint="eastAsia" w:ascii="仿宋" w:hAnsi="仿宋" w:eastAsia="仿宋" w:cs="Times New Roman"/>
          <w:color w:val="auto"/>
          <w:kern w:val="2"/>
          <w:sz w:val="32"/>
          <w:szCs w:val="32"/>
          <w:lang w:val="en-US" w:eastAsia="zh-CN" w:bidi="ar-SA"/>
        </w:rPr>
        <w:t>四、我公司在竣工验收合格后28天内按期完成并提交工程结算至招标人，若未按时提交，我公司自动放弃结算，招标人有权代为结算审计，我公司对此审计结果完全认可并接受，由此对可能造成的经济损失、一切责任与风险由我公司自行承担，且招标人有权不予支付工程款。</w:t>
      </w:r>
    </w:p>
    <w:p>
      <w:pPr>
        <w:spacing w:line="360" w:lineRule="auto"/>
        <w:ind w:firstLine="640" w:firstLineChars="200"/>
        <w:rPr>
          <w:rFonts w:hint="eastAsia" w:ascii="仿宋" w:hAnsi="仿宋" w:eastAsia="仿宋"/>
          <w:color w:val="auto"/>
          <w:sz w:val="32"/>
          <w:szCs w:val="32"/>
        </w:rPr>
      </w:pPr>
    </w:p>
    <w:p>
      <w:pPr>
        <w:spacing w:line="700" w:lineRule="exact"/>
        <w:ind w:right="84"/>
        <w:rPr>
          <w:rFonts w:hint="eastAsia" w:ascii="仿宋" w:hAnsi="仿宋" w:eastAsia="仿宋"/>
          <w:color w:val="auto"/>
          <w:sz w:val="32"/>
          <w:szCs w:val="32"/>
        </w:rPr>
      </w:pPr>
      <w:r>
        <w:rPr>
          <w:rFonts w:hint="eastAsia" w:ascii="仿宋" w:hAnsi="仿宋" w:eastAsia="仿宋"/>
          <w:color w:val="auto"/>
          <w:sz w:val="32"/>
          <w:szCs w:val="32"/>
        </w:rPr>
        <w:t xml:space="preserve">                  </w:t>
      </w:r>
      <w:r>
        <w:rPr>
          <w:rFonts w:hint="eastAsia" w:ascii="仿宋" w:hAnsi="仿宋" w:eastAsia="仿宋"/>
          <w:b/>
          <w:bCs/>
          <w:color w:val="auto"/>
          <w:sz w:val="32"/>
          <w:szCs w:val="32"/>
        </w:rPr>
        <w:t>法人/授权委托人（签字盖章）：</w:t>
      </w:r>
      <w:r>
        <w:rPr>
          <w:rFonts w:hint="eastAsia" w:ascii="仿宋" w:hAnsi="仿宋" w:eastAsia="仿宋"/>
          <w:b/>
          <w:bCs/>
          <w:color w:val="auto"/>
          <w:sz w:val="32"/>
          <w:szCs w:val="32"/>
          <w:u w:val="single"/>
        </w:rPr>
        <w:t xml:space="preserve">            </w:t>
      </w:r>
    </w:p>
    <w:p>
      <w:pPr>
        <w:spacing w:line="700" w:lineRule="exact"/>
        <w:ind w:right="-94"/>
        <w:jc w:val="left"/>
        <w:rPr>
          <w:rFonts w:ascii="仿宋" w:hAnsi="仿宋" w:eastAsia="仿宋"/>
          <w:b/>
          <w:bCs/>
          <w:color w:val="auto"/>
          <w:sz w:val="32"/>
          <w:szCs w:val="32"/>
        </w:rPr>
      </w:pPr>
      <w:r>
        <w:rPr>
          <w:rFonts w:hint="eastAsia" w:ascii="仿宋" w:hAnsi="仿宋" w:eastAsia="仿宋"/>
          <w:b/>
          <w:bCs/>
          <w:color w:val="auto"/>
          <w:sz w:val="32"/>
          <w:szCs w:val="32"/>
        </w:rPr>
        <w:t xml:space="preserve">                     时间：</w:t>
      </w:r>
      <w:r>
        <w:rPr>
          <w:rFonts w:hint="eastAsia" w:ascii="仿宋" w:hAnsi="仿宋" w:eastAsia="仿宋"/>
          <w:b/>
          <w:bCs/>
          <w:color w:val="auto"/>
          <w:sz w:val="32"/>
          <w:szCs w:val="32"/>
          <w:u w:val="single"/>
        </w:rPr>
        <w:t xml:space="preserve">      </w:t>
      </w:r>
      <w:r>
        <w:rPr>
          <w:rFonts w:hint="eastAsia" w:ascii="仿宋" w:hAnsi="仿宋" w:eastAsia="仿宋"/>
          <w:b/>
          <w:bCs/>
          <w:color w:val="auto"/>
          <w:sz w:val="32"/>
          <w:szCs w:val="32"/>
        </w:rPr>
        <w:t>年</w:t>
      </w:r>
      <w:r>
        <w:rPr>
          <w:rFonts w:hint="eastAsia" w:ascii="仿宋" w:hAnsi="仿宋" w:eastAsia="仿宋"/>
          <w:b/>
          <w:bCs/>
          <w:color w:val="auto"/>
          <w:sz w:val="32"/>
          <w:szCs w:val="32"/>
          <w:u w:val="single"/>
        </w:rPr>
        <w:t xml:space="preserve">     </w:t>
      </w:r>
      <w:r>
        <w:rPr>
          <w:rFonts w:hint="eastAsia" w:ascii="仿宋" w:hAnsi="仿宋" w:eastAsia="仿宋"/>
          <w:b/>
          <w:bCs/>
          <w:color w:val="auto"/>
          <w:sz w:val="32"/>
          <w:szCs w:val="32"/>
        </w:rPr>
        <w:t>月</w:t>
      </w:r>
      <w:r>
        <w:rPr>
          <w:rFonts w:hint="eastAsia" w:ascii="仿宋" w:hAnsi="仿宋" w:eastAsia="仿宋"/>
          <w:b/>
          <w:bCs/>
          <w:color w:val="auto"/>
          <w:sz w:val="32"/>
          <w:szCs w:val="32"/>
          <w:u w:val="single"/>
        </w:rPr>
        <w:t xml:space="preserve">      </w:t>
      </w:r>
      <w:r>
        <w:rPr>
          <w:rFonts w:hint="eastAsia" w:ascii="仿宋" w:hAnsi="仿宋" w:eastAsia="仿宋"/>
          <w:b/>
          <w:bCs/>
          <w:color w:val="auto"/>
          <w:sz w:val="32"/>
          <w:szCs w:val="32"/>
        </w:rPr>
        <w:t>日</w:t>
      </w:r>
    </w:p>
    <w:p>
      <w:pPr>
        <w:rPr>
          <w:rFonts w:hint="eastAsia" w:ascii="黑体" w:hAnsi="黑体" w:eastAsia="黑体" w:cs="黑体"/>
          <w:sz w:val="32"/>
          <w:szCs w:val="32"/>
        </w:rPr>
        <w:sectPr>
          <w:pgSz w:w="11906" w:h="16838"/>
          <w:pgMar w:top="720" w:right="720" w:bottom="720" w:left="720" w:header="851" w:footer="992" w:gutter="0"/>
          <w:cols w:space="425" w:num="1"/>
          <w:docGrid w:type="lines" w:linePitch="312" w:charSpace="0"/>
        </w:sectPr>
      </w:pPr>
    </w:p>
    <w:p>
      <w:pPr>
        <w:rPr>
          <w:rFonts w:hint="eastAsia"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4</w:t>
      </w:r>
      <w:r>
        <w:rPr>
          <w:rFonts w:hint="eastAsia" w:ascii="黑体" w:hAnsi="黑体" w:eastAsia="黑体" w:cs="黑体"/>
          <w:sz w:val="32"/>
          <w:szCs w:val="32"/>
        </w:rPr>
        <w:t>:</w:t>
      </w:r>
    </w:p>
    <w:p>
      <w:pPr>
        <w:wordWrap w:val="0"/>
        <w:spacing w:beforeLines="50" w:afterLines="50" w:line="440" w:lineRule="exact"/>
        <w:jc w:val="center"/>
        <w:rPr>
          <w:rFonts w:eastAsia="黑体"/>
          <w:color w:val="000000"/>
          <w:sz w:val="30"/>
          <w:szCs w:val="30"/>
        </w:rPr>
      </w:pPr>
      <w:r>
        <w:rPr>
          <w:rFonts w:eastAsia="黑体"/>
          <w:color w:val="000000"/>
          <w:sz w:val="30"/>
          <w:szCs w:val="30"/>
        </w:rPr>
        <w:t>分包人</w:t>
      </w:r>
      <w:r>
        <w:rPr>
          <w:rFonts w:hint="eastAsia" w:eastAsia="黑体"/>
          <w:color w:val="000000"/>
          <w:sz w:val="30"/>
          <w:szCs w:val="30"/>
        </w:rPr>
        <w:t>项目</w:t>
      </w:r>
      <w:r>
        <w:rPr>
          <w:rFonts w:eastAsia="黑体"/>
          <w:color w:val="000000"/>
          <w:sz w:val="30"/>
          <w:szCs w:val="30"/>
        </w:rPr>
        <w:t>管理人员表</w:t>
      </w:r>
    </w:p>
    <w:p>
      <w:pPr>
        <w:pStyle w:val="2"/>
        <w:ind w:left="63" w:right="63" w:firstLine="240"/>
        <w:jc w:val="left"/>
        <w:rPr>
          <w:rFonts w:eastAsia="仿宋_GB2312"/>
          <w:color w:val="000000"/>
          <w:kern w:val="2"/>
          <w:sz w:val="24"/>
          <w:szCs w:val="24"/>
        </w:rPr>
      </w:pPr>
      <w:r>
        <w:rPr>
          <w:rFonts w:hint="eastAsia" w:eastAsia="仿宋_GB2312"/>
          <w:color w:val="000000"/>
          <w:kern w:val="2"/>
          <w:sz w:val="24"/>
          <w:szCs w:val="24"/>
        </w:rPr>
        <w:t>工程名称：</w:t>
      </w:r>
      <w:r>
        <w:rPr>
          <w:rFonts w:hint="eastAsia" w:ascii="仿宋" w:hAnsi="仿宋" w:eastAsia="仿宋"/>
          <w:color w:val="FF0000"/>
          <w:sz w:val="32"/>
          <w:szCs w:val="32"/>
          <w:u w:val="single"/>
          <w:lang w:val="en-US" w:eastAsia="zh-CN"/>
        </w:rPr>
        <w:t xml:space="preserve">             </w:t>
      </w:r>
      <w:r>
        <w:rPr>
          <w:rFonts w:hint="eastAsia" w:ascii="宋体" w:hAnsi="宋体" w:eastAsia="仿宋" w:cs="宋体"/>
          <w:color w:val="FF0000"/>
          <w:kern w:val="0"/>
          <w:sz w:val="28"/>
          <w:szCs w:val="28"/>
          <w:u w:val="single"/>
          <w:lang w:val="en-US" w:eastAsia="zh-CN"/>
        </w:rPr>
        <w:t>（项目名称）</w:t>
      </w:r>
    </w:p>
    <w:tbl>
      <w:tblPr>
        <w:tblStyle w:val="14"/>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名    称</w:t>
            </w:r>
          </w:p>
        </w:tc>
        <w:tc>
          <w:tcPr>
            <w:tcW w:w="1418"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姓名</w:t>
            </w:r>
          </w:p>
        </w:tc>
        <w:tc>
          <w:tcPr>
            <w:tcW w:w="1134"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职务</w:t>
            </w:r>
          </w:p>
        </w:tc>
        <w:tc>
          <w:tcPr>
            <w:tcW w:w="1134"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职称</w:t>
            </w:r>
          </w:p>
        </w:tc>
        <w:tc>
          <w:tcPr>
            <w:tcW w:w="4252"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分包人项目经理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项目副经理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技术负责人</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造价管理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质量管理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材料管理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计划管理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安全管理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restart"/>
            <w:tcBorders>
              <w:top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其他人员</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000000"/>
                <w:kern w:val="2"/>
                <w:sz w:val="24"/>
                <w:szCs w:val="24"/>
              </w:rPr>
            </w:pPr>
          </w:p>
        </w:tc>
        <w:tc>
          <w:tcPr>
            <w:tcW w:w="1418" w:type="dxa"/>
            <w:tcBorders>
              <w:bottom w:val="nil"/>
            </w:tcBorders>
            <w:vAlign w:val="center"/>
          </w:tcPr>
          <w:p>
            <w:pPr>
              <w:pStyle w:val="3"/>
              <w:keepNext/>
              <w:wordWrap w:val="0"/>
              <w:spacing w:after="0" w:line="440" w:lineRule="exact"/>
              <w:ind w:left="63" w:right="63"/>
              <w:rPr>
                <w:rFonts w:eastAsia="仿宋_GB2312"/>
                <w:color w:val="000000"/>
                <w:kern w:val="2"/>
                <w:sz w:val="24"/>
                <w:szCs w:val="24"/>
              </w:rPr>
            </w:pPr>
          </w:p>
        </w:tc>
        <w:tc>
          <w:tcPr>
            <w:tcW w:w="1134" w:type="dxa"/>
            <w:tcBorders>
              <w:bottom w:val="nil"/>
            </w:tcBorders>
            <w:vAlign w:val="center"/>
          </w:tcPr>
          <w:p>
            <w:pPr>
              <w:pStyle w:val="3"/>
              <w:keepNext/>
              <w:wordWrap w:val="0"/>
              <w:spacing w:after="0" w:line="440" w:lineRule="exact"/>
              <w:ind w:left="63" w:right="63"/>
              <w:rPr>
                <w:rFonts w:eastAsia="仿宋_GB2312"/>
                <w:color w:val="000000"/>
                <w:kern w:val="2"/>
                <w:sz w:val="24"/>
                <w:szCs w:val="24"/>
              </w:rPr>
            </w:pPr>
          </w:p>
        </w:tc>
        <w:tc>
          <w:tcPr>
            <w:tcW w:w="1134" w:type="dxa"/>
            <w:tcBorders>
              <w:bottom w:val="nil"/>
            </w:tcBorders>
            <w:vAlign w:val="center"/>
          </w:tcPr>
          <w:p>
            <w:pPr>
              <w:pStyle w:val="3"/>
              <w:keepNext/>
              <w:wordWrap w:val="0"/>
              <w:spacing w:after="0" w:line="440" w:lineRule="exact"/>
              <w:ind w:left="63" w:right="63"/>
              <w:rPr>
                <w:rFonts w:eastAsia="仿宋_GB2312"/>
                <w:color w:val="000000"/>
                <w:kern w:val="2"/>
                <w:sz w:val="24"/>
                <w:szCs w:val="24"/>
              </w:rPr>
            </w:pPr>
          </w:p>
        </w:tc>
        <w:tc>
          <w:tcPr>
            <w:tcW w:w="4252" w:type="dxa"/>
            <w:tcBorders>
              <w:bottom w:val="nil"/>
            </w:tcBorders>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000000"/>
                <w:kern w:val="2"/>
                <w:sz w:val="24"/>
                <w:szCs w:val="24"/>
              </w:rPr>
            </w:pP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000000"/>
                <w:kern w:val="2"/>
                <w:sz w:val="24"/>
                <w:szCs w:val="24"/>
              </w:rPr>
            </w:pP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000000"/>
                <w:kern w:val="2"/>
                <w:sz w:val="24"/>
                <w:szCs w:val="24"/>
              </w:rPr>
            </w:pP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c>
          <w:tcPr>
            <w:tcW w:w="1418" w:type="dxa"/>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c>
          <w:tcPr>
            <w:tcW w:w="1134" w:type="dxa"/>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c>
          <w:tcPr>
            <w:tcW w:w="1134" w:type="dxa"/>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c>
          <w:tcPr>
            <w:tcW w:w="4252" w:type="dxa"/>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r>
    </w:tbl>
    <w:p>
      <w:pPr>
        <w:ind w:firstLine="422" w:firstLineChars="200"/>
        <w:rPr>
          <w:b/>
          <w:bCs/>
        </w:rPr>
      </w:pPr>
      <w:r>
        <w:rPr>
          <w:rFonts w:hint="eastAsia"/>
          <w:b/>
          <w:bCs/>
        </w:rPr>
        <w:t>注：附上人员相对应证件。</w:t>
      </w:r>
    </w:p>
    <w:p>
      <w:pPr>
        <w:pStyle w:val="2"/>
        <w:ind w:left="63" w:right="63" w:firstLine="200"/>
      </w:pPr>
    </w:p>
    <w:p>
      <w:pPr>
        <w:pStyle w:val="2"/>
        <w:ind w:left="0" w:leftChars="0" w:right="63" w:firstLine="0" w:firstLineChars="0"/>
        <w:jc w:val="both"/>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imesNewRomanPSMT">
    <w:altName w:val="宋体"/>
    <w:panose1 w:val="00000000000000000000"/>
    <w:charset w:val="00"/>
    <w:family w:val="roman"/>
    <w:pitch w:val="default"/>
    <w:sig w:usb0="00000000" w:usb1="00000000" w:usb2="00000010" w:usb3="00000000" w:csb0="00040001" w:csb1="00000000"/>
  </w:font>
  <w:font w:name="华文宋体">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063091"/>
    </w:sdtPr>
    <w:sdtContent>
      <w:sdt>
        <w:sdtPr>
          <w:id w:val="171357217"/>
        </w:sdtPr>
        <w:sdtContent>
          <w:p>
            <w:pPr>
              <w:pStyle w:val="10"/>
              <w:jc w:val="center"/>
            </w:pP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14</w:t>
            </w:r>
            <w:r>
              <w:rPr>
                <w:b/>
                <w:sz w:val="24"/>
                <w:szCs w:val="24"/>
              </w:rPr>
              <w:fldChar w:fldCharType="end"/>
            </w:r>
          </w:p>
        </w:sdtContent>
      </w:sdt>
    </w:sdtContent>
  </w:sdt>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ind w:right="360"/>
      <w:jc w:val="right"/>
      <w:rPr>
        <w:rStyle w:val="16"/>
        <w:rFonts w:ascii="楷体_GB2312" w:eastAsia="楷体_GB2312"/>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4B3780"/>
    <w:multiLevelType w:val="singleLevel"/>
    <w:tmpl w:val="9E4B3780"/>
    <w:lvl w:ilvl="0" w:tentative="0">
      <w:start w:val="1"/>
      <w:numFmt w:val="chineseCounting"/>
      <w:suff w:val="nothing"/>
      <w:lvlText w:val="%1、"/>
      <w:lvlJc w:val="left"/>
      <w:rPr>
        <w:rFonts w:hint="eastAsia"/>
      </w:rPr>
    </w:lvl>
  </w:abstractNum>
  <w:abstractNum w:abstractNumId="1">
    <w:nsid w:val="21A24535"/>
    <w:multiLevelType w:val="singleLevel"/>
    <w:tmpl w:val="21A24535"/>
    <w:lvl w:ilvl="0" w:tentative="0">
      <w:start w:val="6"/>
      <w:numFmt w:val="decimal"/>
      <w:suff w:val="space"/>
      <w:lvlText w:val="%1."/>
      <w:lvlJc w:val="left"/>
    </w:lvl>
  </w:abstractNum>
  <w:abstractNum w:abstractNumId="2">
    <w:nsid w:val="58C8D898"/>
    <w:multiLevelType w:val="singleLevel"/>
    <w:tmpl w:val="58C8D898"/>
    <w:lvl w:ilvl="0" w:tentative="0">
      <w:start w:val="1"/>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3B4B23"/>
    <w:rsid w:val="0000314B"/>
    <w:rsid w:val="00003B3F"/>
    <w:rsid w:val="00004DAC"/>
    <w:rsid w:val="00005595"/>
    <w:rsid w:val="000063CE"/>
    <w:rsid w:val="00006CC8"/>
    <w:rsid w:val="000074A4"/>
    <w:rsid w:val="00010CA7"/>
    <w:rsid w:val="00017C22"/>
    <w:rsid w:val="00025D6C"/>
    <w:rsid w:val="00032FD6"/>
    <w:rsid w:val="0004211A"/>
    <w:rsid w:val="00054495"/>
    <w:rsid w:val="00055C35"/>
    <w:rsid w:val="00066C34"/>
    <w:rsid w:val="00071A72"/>
    <w:rsid w:val="0007303F"/>
    <w:rsid w:val="00074706"/>
    <w:rsid w:val="00082204"/>
    <w:rsid w:val="00084345"/>
    <w:rsid w:val="00090830"/>
    <w:rsid w:val="000A1338"/>
    <w:rsid w:val="000A4A6D"/>
    <w:rsid w:val="000A57F0"/>
    <w:rsid w:val="000A74F8"/>
    <w:rsid w:val="000B139C"/>
    <w:rsid w:val="000B5C58"/>
    <w:rsid w:val="000B6523"/>
    <w:rsid w:val="000B73DB"/>
    <w:rsid w:val="000C78E1"/>
    <w:rsid w:val="000D412B"/>
    <w:rsid w:val="000D64A3"/>
    <w:rsid w:val="000D6E12"/>
    <w:rsid w:val="000F557D"/>
    <w:rsid w:val="000F7DB2"/>
    <w:rsid w:val="001057CE"/>
    <w:rsid w:val="001059C0"/>
    <w:rsid w:val="00106DA0"/>
    <w:rsid w:val="00106DF9"/>
    <w:rsid w:val="00111F61"/>
    <w:rsid w:val="00114BB9"/>
    <w:rsid w:val="001174FF"/>
    <w:rsid w:val="0012618F"/>
    <w:rsid w:val="00126304"/>
    <w:rsid w:val="00131EA2"/>
    <w:rsid w:val="001348C5"/>
    <w:rsid w:val="00145818"/>
    <w:rsid w:val="00153D1F"/>
    <w:rsid w:val="00157ED2"/>
    <w:rsid w:val="0016043D"/>
    <w:rsid w:val="00161C8E"/>
    <w:rsid w:val="00163E6D"/>
    <w:rsid w:val="001658A7"/>
    <w:rsid w:val="001709F4"/>
    <w:rsid w:val="001736E9"/>
    <w:rsid w:val="00186763"/>
    <w:rsid w:val="0019040D"/>
    <w:rsid w:val="0019329E"/>
    <w:rsid w:val="0019345F"/>
    <w:rsid w:val="00197825"/>
    <w:rsid w:val="001A11EB"/>
    <w:rsid w:val="001A560B"/>
    <w:rsid w:val="001A648A"/>
    <w:rsid w:val="001A76D5"/>
    <w:rsid w:val="001A7B22"/>
    <w:rsid w:val="001C10D4"/>
    <w:rsid w:val="001C671C"/>
    <w:rsid w:val="001C7312"/>
    <w:rsid w:val="001D3FC6"/>
    <w:rsid w:val="001D5971"/>
    <w:rsid w:val="001E2375"/>
    <w:rsid w:val="001E52C0"/>
    <w:rsid w:val="001F7409"/>
    <w:rsid w:val="0020137F"/>
    <w:rsid w:val="00202CEB"/>
    <w:rsid w:val="00202E0A"/>
    <w:rsid w:val="0020445E"/>
    <w:rsid w:val="00204BE2"/>
    <w:rsid w:val="00206C6D"/>
    <w:rsid w:val="00217002"/>
    <w:rsid w:val="002214FF"/>
    <w:rsid w:val="00235A8F"/>
    <w:rsid w:val="002363C0"/>
    <w:rsid w:val="00241B13"/>
    <w:rsid w:val="00244925"/>
    <w:rsid w:val="002462D5"/>
    <w:rsid w:val="00246FBD"/>
    <w:rsid w:val="00252B8B"/>
    <w:rsid w:val="00254CC3"/>
    <w:rsid w:val="00256A3F"/>
    <w:rsid w:val="00266148"/>
    <w:rsid w:val="00276258"/>
    <w:rsid w:val="0028121C"/>
    <w:rsid w:val="00283676"/>
    <w:rsid w:val="002836E8"/>
    <w:rsid w:val="00287002"/>
    <w:rsid w:val="002A7F18"/>
    <w:rsid w:val="002B023A"/>
    <w:rsid w:val="002C6827"/>
    <w:rsid w:val="002D47C1"/>
    <w:rsid w:val="002D5A3C"/>
    <w:rsid w:val="002D79DA"/>
    <w:rsid w:val="002E138C"/>
    <w:rsid w:val="002E2396"/>
    <w:rsid w:val="002E5DC7"/>
    <w:rsid w:val="002E7AB4"/>
    <w:rsid w:val="002F62AE"/>
    <w:rsid w:val="00304497"/>
    <w:rsid w:val="00310B13"/>
    <w:rsid w:val="00312168"/>
    <w:rsid w:val="00312FFA"/>
    <w:rsid w:val="00324338"/>
    <w:rsid w:val="00324853"/>
    <w:rsid w:val="00335F8B"/>
    <w:rsid w:val="00336028"/>
    <w:rsid w:val="00336CF7"/>
    <w:rsid w:val="00342DA5"/>
    <w:rsid w:val="0034787F"/>
    <w:rsid w:val="003550C4"/>
    <w:rsid w:val="00357A9F"/>
    <w:rsid w:val="00357AF7"/>
    <w:rsid w:val="00370F92"/>
    <w:rsid w:val="00373495"/>
    <w:rsid w:val="00374FC0"/>
    <w:rsid w:val="00376341"/>
    <w:rsid w:val="00384BCC"/>
    <w:rsid w:val="00385200"/>
    <w:rsid w:val="0038521B"/>
    <w:rsid w:val="0038646A"/>
    <w:rsid w:val="00392FAF"/>
    <w:rsid w:val="00393048"/>
    <w:rsid w:val="0039733E"/>
    <w:rsid w:val="00397CFD"/>
    <w:rsid w:val="003A235A"/>
    <w:rsid w:val="003A24AD"/>
    <w:rsid w:val="003B0D0C"/>
    <w:rsid w:val="003B4B23"/>
    <w:rsid w:val="003B50EC"/>
    <w:rsid w:val="003B7C9E"/>
    <w:rsid w:val="003C54BB"/>
    <w:rsid w:val="003C569F"/>
    <w:rsid w:val="003C6555"/>
    <w:rsid w:val="003D084E"/>
    <w:rsid w:val="003D1AEA"/>
    <w:rsid w:val="003D2213"/>
    <w:rsid w:val="003D2794"/>
    <w:rsid w:val="003F24EF"/>
    <w:rsid w:val="003F5666"/>
    <w:rsid w:val="00401839"/>
    <w:rsid w:val="00402A98"/>
    <w:rsid w:val="00404A82"/>
    <w:rsid w:val="00405830"/>
    <w:rsid w:val="004171B3"/>
    <w:rsid w:val="004207B1"/>
    <w:rsid w:val="00420A68"/>
    <w:rsid w:val="00436FA3"/>
    <w:rsid w:val="00437F6D"/>
    <w:rsid w:val="00445005"/>
    <w:rsid w:val="00447DC3"/>
    <w:rsid w:val="00450D2F"/>
    <w:rsid w:val="0045674B"/>
    <w:rsid w:val="00460E97"/>
    <w:rsid w:val="0046247F"/>
    <w:rsid w:val="00465DEE"/>
    <w:rsid w:val="00471A0E"/>
    <w:rsid w:val="00483D8B"/>
    <w:rsid w:val="004865C5"/>
    <w:rsid w:val="00491DBA"/>
    <w:rsid w:val="00497F7B"/>
    <w:rsid w:val="004A1AD3"/>
    <w:rsid w:val="004A2955"/>
    <w:rsid w:val="004A32B9"/>
    <w:rsid w:val="004B3194"/>
    <w:rsid w:val="004B46B1"/>
    <w:rsid w:val="004B4D1F"/>
    <w:rsid w:val="004C1EC7"/>
    <w:rsid w:val="004C3161"/>
    <w:rsid w:val="004D026B"/>
    <w:rsid w:val="004D03F8"/>
    <w:rsid w:val="004D082D"/>
    <w:rsid w:val="004D0D90"/>
    <w:rsid w:val="004D484E"/>
    <w:rsid w:val="004F7273"/>
    <w:rsid w:val="004F7F0D"/>
    <w:rsid w:val="00500E05"/>
    <w:rsid w:val="0050290B"/>
    <w:rsid w:val="00522CE0"/>
    <w:rsid w:val="0052405B"/>
    <w:rsid w:val="00524B06"/>
    <w:rsid w:val="0052652C"/>
    <w:rsid w:val="00532065"/>
    <w:rsid w:val="0054088B"/>
    <w:rsid w:val="00543F4C"/>
    <w:rsid w:val="00546A62"/>
    <w:rsid w:val="00550C49"/>
    <w:rsid w:val="0055501E"/>
    <w:rsid w:val="005715D5"/>
    <w:rsid w:val="00572CF3"/>
    <w:rsid w:val="00576AF7"/>
    <w:rsid w:val="00577747"/>
    <w:rsid w:val="005862C2"/>
    <w:rsid w:val="005A2090"/>
    <w:rsid w:val="005A21D1"/>
    <w:rsid w:val="005A4417"/>
    <w:rsid w:val="005A5FE6"/>
    <w:rsid w:val="005C02F4"/>
    <w:rsid w:val="005C0436"/>
    <w:rsid w:val="005C3079"/>
    <w:rsid w:val="005C3812"/>
    <w:rsid w:val="005D14AD"/>
    <w:rsid w:val="005E5FDB"/>
    <w:rsid w:val="005E766A"/>
    <w:rsid w:val="005F38C9"/>
    <w:rsid w:val="005F41FA"/>
    <w:rsid w:val="0060764C"/>
    <w:rsid w:val="00614A70"/>
    <w:rsid w:val="0061578A"/>
    <w:rsid w:val="00623400"/>
    <w:rsid w:val="00623551"/>
    <w:rsid w:val="00624867"/>
    <w:rsid w:val="006249FB"/>
    <w:rsid w:val="00625878"/>
    <w:rsid w:val="00627011"/>
    <w:rsid w:val="006276CE"/>
    <w:rsid w:val="00631727"/>
    <w:rsid w:val="006409D7"/>
    <w:rsid w:val="006420DD"/>
    <w:rsid w:val="00643801"/>
    <w:rsid w:val="006445A8"/>
    <w:rsid w:val="00647FEF"/>
    <w:rsid w:val="006527D4"/>
    <w:rsid w:val="006545F3"/>
    <w:rsid w:val="00654F12"/>
    <w:rsid w:val="00655256"/>
    <w:rsid w:val="006555C1"/>
    <w:rsid w:val="00662B71"/>
    <w:rsid w:val="006743A2"/>
    <w:rsid w:val="00677A7C"/>
    <w:rsid w:val="0068070C"/>
    <w:rsid w:val="00683229"/>
    <w:rsid w:val="00683B37"/>
    <w:rsid w:val="0068655A"/>
    <w:rsid w:val="00687A47"/>
    <w:rsid w:val="00690168"/>
    <w:rsid w:val="006936EC"/>
    <w:rsid w:val="006A011C"/>
    <w:rsid w:val="006A18AB"/>
    <w:rsid w:val="006A6C58"/>
    <w:rsid w:val="006B1198"/>
    <w:rsid w:val="006B5571"/>
    <w:rsid w:val="006C3D11"/>
    <w:rsid w:val="006C50BB"/>
    <w:rsid w:val="006C7AC3"/>
    <w:rsid w:val="006D63D2"/>
    <w:rsid w:val="006E53E4"/>
    <w:rsid w:val="006E5507"/>
    <w:rsid w:val="006E672B"/>
    <w:rsid w:val="006F69FE"/>
    <w:rsid w:val="006F6D19"/>
    <w:rsid w:val="007062C8"/>
    <w:rsid w:val="00711E73"/>
    <w:rsid w:val="00721339"/>
    <w:rsid w:val="00721CAD"/>
    <w:rsid w:val="00724ED1"/>
    <w:rsid w:val="0073004C"/>
    <w:rsid w:val="0073756F"/>
    <w:rsid w:val="00740AC0"/>
    <w:rsid w:val="00756FCB"/>
    <w:rsid w:val="007752B6"/>
    <w:rsid w:val="00786D96"/>
    <w:rsid w:val="00792E01"/>
    <w:rsid w:val="00794A18"/>
    <w:rsid w:val="00796588"/>
    <w:rsid w:val="007A1321"/>
    <w:rsid w:val="007A24C0"/>
    <w:rsid w:val="007A329A"/>
    <w:rsid w:val="007A7F84"/>
    <w:rsid w:val="007B0CEB"/>
    <w:rsid w:val="007B1FD8"/>
    <w:rsid w:val="007B34EE"/>
    <w:rsid w:val="007C74D2"/>
    <w:rsid w:val="007E02B9"/>
    <w:rsid w:val="007E0D70"/>
    <w:rsid w:val="007E40B8"/>
    <w:rsid w:val="007F36FE"/>
    <w:rsid w:val="007F3A33"/>
    <w:rsid w:val="00805A2B"/>
    <w:rsid w:val="0080767A"/>
    <w:rsid w:val="008078E0"/>
    <w:rsid w:val="00810582"/>
    <w:rsid w:val="0081277D"/>
    <w:rsid w:val="00812D3E"/>
    <w:rsid w:val="00813B7F"/>
    <w:rsid w:val="00815303"/>
    <w:rsid w:val="008276F9"/>
    <w:rsid w:val="0083059D"/>
    <w:rsid w:val="0083719B"/>
    <w:rsid w:val="008406D2"/>
    <w:rsid w:val="00841927"/>
    <w:rsid w:val="008444FC"/>
    <w:rsid w:val="00846B79"/>
    <w:rsid w:val="0084757F"/>
    <w:rsid w:val="0085454F"/>
    <w:rsid w:val="00855E2D"/>
    <w:rsid w:val="008561FF"/>
    <w:rsid w:val="0086158C"/>
    <w:rsid w:val="00863001"/>
    <w:rsid w:val="00864F01"/>
    <w:rsid w:val="008664C7"/>
    <w:rsid w:val="00866961"/>
    <w:rsid w:val="00882491"/>
    <w:rsid w:val="00882783"/>
    <w:rsid w:val="0089736A"/>
    <w:rsid w:val="008B1F77"/>
    <w:rsid w:val="008B34C4"/>
    <w:rsid w:val="008C0991"/>
    <w:rsid w:val="008C4895"/>
    <w:rsid w:val="008C55BA"/>
    <w:rsid w:val="008C7140"/>
    <w:rsid w:val="008D03A9"/>
    <w:rsid w:val="008D116A"/>
    <w:rsid w:val="008E6401"/>
    <w:rsid w:val="008F11B5"/>
    <w:rsid w:val="008F19B6"/>
    <w:rsid w:val="008F46D4"/>
    <w:rsid w:val="00902D0D"/>
    <w:rsid w:val="009038E0"/>
    <w:rsid w:val="00905D0B"/>
    <w:rsid w:val="00920E38"/>
    <w:rsid w:val="00925B6C"/>
    <w:rsid w:val="009268DA"/>
    <w:rsid w:val="00932F73"/>
    <w:rsid w:val="00934D2A"/>
    <w:rsid w:val="00935497"/>
    <w:rsid w:val="0093726E"/>
    <w:rsid w:val="00937BF2"/>
    <w:rsid w:val="0094095F"/>
    <w:rsid w:val="00942C55"/>
    <w:rsid w:val="009525AB"/>
    <w:rsid w:val="009532C9"/>
    <w:rsid w:val="009547BF"/>
    <w:rsid w:val="00954F91"/>
    <w:rsid w:val="0095675A"/>
    <w:rsid w:val="00964375"/>
    <w:rsid w:val="0097011E"/>
    <w:rsid w:val="00970B85"/>
    <w:rsid w:val="00971EB1"/>
    <w:rsid w:val="00973B19"/>
    <w:rsid w:val="00977ED9"/>
    <w:rsid w:val="009800E1"/>
    <w:rsid w:val="00980877"/>
    <w:rsid w:val="009934BA"/>
    <w:rsid w:val="00997E60"/>
    <w:rsid w:val="009A030C"/>
    <w:rsid w:val="009B025D"/>
    <w:rsid w:val="009B0DDF"/>
    <w:rsid w:val="009B5D9A"/>
    <w:rsid w:val="009B763D"/>
    <w:rsid w:val="009C03C9"/>
    <w:rsid w:val="009D69D7"/>
    <w:rsid w:val="009E5664"/>
    <w:rsid w:val="009E77CC"/>
    <w:rsid w:val="009F506A"/>
    <w:rsid w:val="00A0100B"/>
    <w:rsid w:val="00A03056"/>
    <w:rsid w:val="00A15070"/>
    <w:rsid w:val="00A160D5"/>
    <w:rsid w:val="00A1708E"/>
    <w:rsid w:val="00A219EA"/>
    <w:rsid w:val="00A23EF0"/>
    <w:rsid w:val="00A248CB"/>
    <w:rsid w:val="00A264C9"/>
    <w:rsid w:val="00A320DB"/>
    <w:rsid w:val="00A3506C"/>
    <w:rsid w:val="00A40D51"/>
    <w:rsid w:val="00A41C99"/>
    <w:rsid w:val="00A42C05"/>
    <w:rsid w:val="00A4374C"/>
    <w:rsid w:val="00A47A20"/>
    <w:rsid w:val="00A50C1B"/>
    <w:rsid w:val="00A63E7B"/>
    <w:rsid w:val="00A6581B"/>
    <w:rsid w:val="00A673E3"/>
    <w:rsid w:val="00A77B56"/>
    <w:rsid w:val="00A82103"/>
    <w:rsid w:val="00A85558"/>
    <w:rsid w:val="00A85DBA"/>
    <w:rsid w:val="00A87B79"/>
    <w:rsid w:val="00A90F09"/>
    <w:rsid w:val="00AA1F30"/>
    <w:rsid w:val="00AB3A38"/>
    <w:rsid w:val="00AC1D28"/>
    <w:rsid w:val="00AC2D60"/>
    <w:rsid w:val="00AF021B"/>
    <w:rsid w:val="00B036F0"/>
    <w:rsid w:val="00B12D39"/>
    <w:rsid w:val="00B15897"/>
    <w:rsid w:val="00B20C5A"/>
    <w:rsid w:val="00B244A8"/>
    <w:rsid w:val="00B33669"/>
    <w:rsid w:val="00B42846"/>
    <w:rsid w:val="00B44DB9"/>
    <w:rsid w:val="00B506C6"/>
    <w:rsid w:val="00B52183"/>
    <w:rsid w:val="00B55628"/>
    <w:rsid w:val="00B6221A"/>
    <w:rsid w:val="00B65BA8"/>
    <w:rsid w:val="00B77771"/>
    <w:rsid w:val="00B83DDF"/>
    <w:rsid w:val="00B9009B"/>
    <w:rsid w:val="00B92A1F"/>
    <w:rsid w:val="00B950FA"/>
    <w:rsid w:val="00B96F94"/>
    <w:rsid w:val="00BB3E28"/>
    <w:rsid w:val="00BB5518"/>
    <w:rsid w:val="00BC172B"/>
    <w:rsid w:val="00BC5A97"/>
    <w:rsid w:val="00BC60D6"/>
    <w:rsid w:val="00BC61BE"/>
    <w:rsid w:val="00BE72E6"/>
    <w:rsid w:val="00BF3800"/>
    <w:rsid w:val="00BF48A0"/>
    <w:rsid w:val="00BF49C5"/>
    <w:rsid w:val="00BF4AC6"/>
    <w:rsid w:val="00C0531C"/>
    <w:rsid w:val="00C0551A"/>
    <w:rsid w:val="00C06B4B"/>
    <w:rsid w:val="00C13A45"/>
    <w:rsid w:val="00C15C2F"/>
    <w:rsid w:val="00C15E36"/>
    <w:rsid w:val="00C30512"/>
    <w:rsid w:val="00C31BB7"/>
    <w:rsid w:val="00C32B0D"/>
    <w:rsid w:val="00C37EF5"/>
    <w:rsid w:val="00C43AD2"/>
    <w:rsid w:val="00C43CE6"/>
    <w:rsid w:val="00C43DB5"/>
    <w:rsid w:val="00C46044"/>
    <w:rsid w:val="00C511D9"/>
    <w:rsid w:val="00C5704B"/>
    <w:rsid w:val="00C61899"/>
    <w:rsid w:val="00C644FF"/>
    <w:rsid w:val="00C676E1"/>
    <w:rsid w:val="00C73DC9"/>
    <w:rsid w:val="00C7497B"/>
    <w:rsid w:val="00C75B51"/>
    <w:rsid w:val="00C8044D"/>
    <w:rsid w:val="00C815F3"/>
    <w:rsid w:val="00C8193B"/>
    <w:rsid w:val="00C833AE"/>
    <w:rsid w:val="00C840E0"/>
    <w:rsid w:val="00C86B5A"/>
    <w:rsid w:val="00C91335"/>
    <w:rsid w:val="00C94C9D"/>
    <w:rsid w:val="00CA52BD"/>
    <w:rsid w:val="00CB405C"/>
    <w:rsid w:val="00CB5D65"/>
    <w:rsid w:val="00CD3369"/>
    <w:rsid w:val="00CE7897"/>
    <w:rsid w:val="00CF0F46"/>
    <w:rsid w:val="00CF23B9"/>
    <w:rsid w:val="00CF354F"/>
    <w:rsid w:val="00CF47E0"/>
    <w:rsid w:val="00CF5787"/>
    <w:rsid w:val="00D00A68"/>
    <w:rsid w:val="00D01F56"/>
    <w:rsid w:val="00D1153A"/>
    <w:rsid w:val="00D13CB5"/>
    <w:rsid w:val="00D13DB5"/>
    <w:rsid w:val="00D15193"/>
    <w:rsid w:val="00D245DC"/>
    <w:rsid w:val="00D27592"/>
    <w:rsid w:val="00D31CF2"/>
    <w:rsid w:val="00D3294B"/>
    <w:rsid w:val="00D364E3"/>
    <w:rsid w:val="00D40311"/>
    <w:rsid w:val="00D40D32"/>
    <w:rsid w:val="00D41F5B"/>
    <w:rsid w:val="00D43579"/>
    <w:rsid w:val="00D439D1"/>
    <w:rsid w:val="00D43D02"/>
    <w:rsid w:val="00D440D6"/>
    <w:rsid w:val="00D5594F"/>
    <w:rsid w:val="00D66286"/>
    <w:rsid w:val="00D70C93"/>
    <w:rsid w:val="00D71EDE"/>
    <w:rsid w:val="00D72C41"/>
    <w:rsid w:val="00D73234"/>
    <w:rsid w:val="00D76E0A"/>
    <w:rsid w:val="00D857C7"/>
    <w:rsid w:val="00D9207A"/>
    <w:rsid w:val="00DA1537"/>
    <w:rsid w:val="00DA1A91"/>
    <w:rsid w:val="00DA2CF4"/>
    <w:rsid w:val="00DA486D"/>
    <w:rsid w:val="00DA5D3B"/>
    <w:rsid w:val="00DA7E9B"/>
    <w:rsid w:val="00DB21FD"/>
    <w:rsid w:val="00DB7822"/>
    <w:rsid w:val="00DC5B4D"/>
    <w:rsid w:val="00DC64FF"/>
    <w:rsid w:val="00DD2E27"/>
    <w:rsid w:val="00DE2009"/>
    <w:rsid w:val="00DE4FE8"/>
    <w:rsid w:val="00DF17AE"/>
    <w:rsid w:val="00DF245D"/>
    <w:rsid w:val="00DF7FEC"/>
    <w:rsid w:val="00E1285A"/>
    <w:rsid w:val="00E13C5C"/>
    <w:rsid w:val="00E1687A"/>
    <w:rsid w:val="00E379A3"/>
    <w:rsid w:val="00E42A80"/>
    <w:rsid w:val="00E44189"/>
    <w:rsid w:val="00E45C3F"/>
    <w:rsid w:val="00E5632F"/>
    <w:rsid w:val="00E66778"/>
    <w:rsid w:val="00E67166"/>
    <w:rsid w:val="00E71AFD"/>
    <w:rsid w:val="00E76332"/>
    <w:rsid w:val="00E7761E"/>
    <w:rsid w:val="00E87B56"/>
    <w:rsid w:val="00E92E41"/>
    <w:rsid w:val="00E96651"/>
    <w:rsid w:val="00EA1785"/>
    <w:rsid w:val="00EA51B9"/>
    <w:rsid w:val="00EB1A21"/>
    <w:rsid w:val="00EB6D0A"/>
    <w:rsid w:val="00EB700E"/>
    <w:rsid w:val="00EC3748"/>
    <w:rsid w:val="00EC46A4"/>
    <w:rsid w:val="00ED045E"/>
    <w:rsid w:val="00ED5886"/>
    <w:rsid w:val="00ED6F81"/>
    <w:rsid w:val="00EE0499"/>
    <w:rsid w:val="00EE66E5"/>
    <w:rsid w:val="00EF5345"/>
    <w:rsid w:val="00EF5DB5"/>
    <w:rsid w:val="00F00769"/>
    <w:rsid w:val="00F06A86"/>
    <w:rsid w:val="00F14E53"/>
    <w:rsid w:val="00F176E1"/>
    <w:rsid w:val="00F239E8"/>
    <w:rsid w:val="00F25995"/>
    <w:rsid w:val="00F40B9E"/>
    <w:rsid w:val="00F51D7C"/>
    <w:rsid w:val="00F5606A"/>
    <w:rsid w:val="00F60E6D"/>
    <w:rsid w:val="00F62B3F"/>
    <w:rsid w:val="00F70925"/>
    <w:rsid w:val="00F72201"/>
    <w:rsid w:val="00F73F17"/>
    <w:rsid w:val="00F75841"/>
    <w:rsid w:val="00F80458"/>
    <w:rsid w:val="00F83AB2"/>
    <w:rsid w:val="00F840EB"/>
    <w:rsid w:val="00F876CB"/>
    <w:rsid w:val="00F903CC"/>
    <w:rsid w:val="00F9199D"/>
    <w:rsid w:val="00F93991"/>
    <w:rsid w:val="00F93AA7"/>
    <w:rsid w:val="00F944B9"/>
    <w:rsid w:val="00F9723D"/>
    <w:rsid w:val="00F978A7"/>
    <w:rsid w:val="00FA061D"/>
    <w:rsid w:val="00FA3E37"/>
    <w:rsid w:val="00FA6979"/>
    <w:rsid w:val="00FB7469"/>
    <w:rsid w:val="00FC02E4"/>
    <w:rsid w:val="00FC11E3"/>
    <w:rsid w:val="00FC212F"/>
    <w:rsid w:val="00FD1CEE"/>
    <w:rsid w:val="00FE44DF"/>
    <w:rsid w:val="00FE5098"/>
    <w:rsid w:val="00FF056A"/>
    <w:rsid w:val="00FF7B25"/>
    <w:rsid w:val="00FF7D74"/>
    <w:rsid w:val="011F3BAF"/>
    <w:rsid w:val="01461178"/>
    <w:rsid w:val="01706C33"/>
    <w:rsid w:val="017271A9"/>
    <w:rsid w:val="01D81E62"/>
    <w:rsid w:val="023114F9"/>
    <w:rsid w:val="023A5A36"/>
    <w:rsid w:val="02555A6F"/>
    <w:rsid w:val="02A16E5B"/>
    <w:rsid w:val="02B8307C"/>
    <w:rsid w:val="02D15D88"/>
    <w:rsid w:val="02E749BB"/>
    <w:rsid w:val="02EF1979"/>
    <w:rsid w:val="032D0193"/>
    <w:rsid w:val="0367677F"/>
    <w:rsid w:val="03676E56"/>
    <w:rsid w:val="03710DC3"/>
    <w:rsid w:val="037F376B"/>
    <w:rsid w:val="039850B1"/>
    <w:rsid w:val="03A00125"/>
    <w:rsid w:val="0425371A"/>
    <w:rsid w:val="043A0533"/>
    <w:rsid w:val="04516A79"/>
    <w:rsid w:val="04573C41"/>
    <w:rsid w:val="0462666F"/>
    <w:rsid w:val="047A724B"/>
    <w:rsid w:val="04A27AD6"/>
    <w:rsid w:val="04AC1C9C"/>
    <w:rsid w:val="04BC175B"/>
    <w:rsid w:val="04DA4E56"/>
    <w:rsid w:val="04EB7E87"/>
    <w:rsid w:val="04F046D6"/>
    <w:rsid w:val="05124135"/>
    <w:rsid w:val="051E0E9A"/>
    <w:rsid w:val="052D6729"/>
    <w:rsid w:val="0530435D"/>
    <w:rsid w:val="05523A0F"/>
    <w:rsid w:val="059841B5"/>
    <w:rsid w:val="05BF6198"/>
    <w:rsid w:val="05EE259E"/>
    <w:rsid w:val="05F052D3"/>
    <w:rsid w:val="05F7114B"/>
    <w:rsid w:val="05F717DB"/>
    <w:rsid w:val="06334120"/>
    <w:rsid w:val="066F6679"/>
    <w:rsid w:val="07014EB5"/>
    <w:rsid w:val="0736578B"/>
    <w:rsid w:val="073C746D"/>
    <w:rsid w:val="07656717"/>
    <w:rsid w:val="07870DD4"/>
    <w:rsid w:val="07933142"/>
    <w:rsid w:val="07A05E7D"/>
    <w:rsid w:val="07C11F4C"/>
    <w:rsid w:val="07DF3C55"/>
    <w:rsid w:val="08103BAC"/>
    <w:rsid w:val="0836521D"/>
    <w:rsid w:val="08687625"/>
    <w:rsid w:val="08785560"/>
    <w:rsid w:val="08995DA8"/>
    <w:rsid w:val="08D46119"/>
    <w:rsid w:val="09361A12"/>
    <w:rsid w:val="09451A80"/>
    <w:rsid w:val="099F3E40"/>
    <w:rsid w:val="09B54D47"/>
    <w:rsid w:val="09B745A5"/>
    <w:rsid w:val="09CA3B46"/>
    <w:rsid w:val="09CF5737"/>
    <w:rsid w:val="0A2441B5"/>
    <w:rsid w:val="0A5A5EBE"/>
    <w:rsid w:val="0A724DA4"/>
    <w:rsid w:val="0A79432A"/>
    <w:rsid w:val="0A7F60F7"/>
    <w:rsid w:val="0AA42F47"/>
    <w:rsid w:val="0AAC6BE4"/>
    <w:rsid w:val="0AB32181"/>
    <w:rsid w:val="0AB61377"/>
    <w:rsid w:val="0ABE15FA"/>
    <w:rsid w:val="0ABF2AE9"/>
    <w:rsid w:val="0ADE2021"/>
    <w:rsid w:val="0AE66846"/>
    <w:rsid w:val="0B4A311D"/>
    <w:rsid w:val="0B7C0129"/>
    <w:rsid w:val="0BA056F7"/>
    <w:rsid w:val="0BAF2250"/>
    <w:rsid w:val="0BCD4706"/>
    <w:rsid w:val="0BD565E5"/>
    <w:rsid w:val="0BD85A16"/>
    <w:rsid w:val="0BF11A83"/>
    <w:rsid w:val="0BF57366"/>
    <w:rsid w:val="0C090849"/>
    <w:rsid w:val="0C715A9F"/>
    <w:rsid w:val="0C96294F"/>
    <w:rsid w:val="0CA72033"/>
    <w:rsid w:val="0CB57E44"/>
    <w:rsid w:val="0CB967EA"/>
    <w:rsid w:val="0CBB11BF"/>
    <w:rsid w:val="0D00419D"/>
    <w:rsid w:val="0D060ACA"/>
    <w:rsid w:val="0D1E7589"/>
    <w:rsid w:val="0D2C79B1"/>
    <w:rsid w:val="0D395ADB"/>
    <w:rsid w:val="0DA10CD9"/>
    <w:rsid w:val="0DAA3778"/>
    <w:rsid w:val="0DAE51A9"/>
    <w:rsid w:val="0DC937C0"/>
    <w:rsid w:val="0DDE73FA"/>
    <w:rsid w:val="0E703A00"/>
    <w:rsid w:val="0EB204BC"/>
    <w:rsid w:val="0EB964D6"/>
    <w:rsid w:val="0ED9012F"/>
    <w:rsid w:val="0EE11F93"/>
    <w:rsid w:val="0EED547D"/>
    <w:rsid w:val="0F062706"/>
    <w:rsid w:val="0F07103E"/>
    <w:rsid w:val="0F182573"/>
    <w:rsid w:val="0F2E3A4B"/>
    <w:rsid w:val="0F91317C"/>
    <w:rsid w:val="0FA00107"/>
    <w:rsid w:val="0FAE4BA9"/>
    <w:rsid w:val="0FDA2C64"/>
    <w:rsid w:val="0FE86D87"/>
    <w:rsid w:val="0FF174F1"/>
    <w:rsid w:val="100F0015"/>
    <w:rsid w:val="10163297"/>
    <w:rsid w:val="10B412E9"/>
    <w:rsid w:val="11151C5F"/>
    <w:rsid w:val="11342AE3"/>
    <w:rsid w:val="11535CDA"/>
    <w:rsid w:val="11547BE0"/>
    <w:rsid w:val="11DE05A3"/>
    <w:rsid w:val="11E20196"/>
    <w:rsid w:val="11ED1981"/>
    <w:rsid w:val="11FF67AE"/>
    <w:rsid w:val="1214089F"/>
    <w:rsid w:val="122C41A2"/>
    <w:rsid w:val="124F3824"/>
    <w:rsid w:val="125E177D"/>
    <w:rsid w:val="1260013F"/>
    <w:rsid w:val="12666D58"/>
    <w:rsid w:val="12C90B50"/>
    <w:rsid w:val="13110753"/>
    <w:rsid w:val="132F6AEF"/>
    <w:rsid w:val="135E32A2"/>
    <w:rsid w:val="13745BA1"/>
    <w:rsid w:val="13763A12"/>
    <w:rsid w:val="1392781A"/>
    <w:rsid w:val="13CD26E2"/>
    <w:rsid w:val="13D73774"/>
    <w:rsid w:val="14035E63"/>
    <w:rsid w:val="143D09B1"/>
    <w:rsid w:val="147246FD"/>
    <w:rsid w:val="149B3D57"/>
    <w:rsid w:val="14BD4BDD"/>
    <w:rsid w:val="14DD050E"/>
    <w:rsid w:val="14E325B3"/>
    <w:rsid w:val="14F50E75"/>
    <w:rsid w:val="14F711DC"/>
    <w:rsid w:val="151B72C0"/>
    <w:rsid w:val="15461AA9"/>
    <w:rsid w:val="1546360D"/>
    <w:rsid w:val="15A47628"/>
    <w:rsid w:val="15DF0493"/>
    <w:rsid w:val="15ED1CD9"/>
    <w:rsid w:val="15F214CB"/>
    <w:rsid w:val="15FC5803"/>
    <w:rsid w:val="16135686"/>
    <w:rsid w:val="16255D63"/>
    <w:rsid w:val="1636706C"/>
    <w:rsid w:val="16470319"/>
    <w:rsid w:val="16661441"/>
    <w:rsid w:val="16692D06"/>
    <w:rsid w:val="16711CA5"/>
    <w:rsid w:val="16C0024D"/>
    <w:rsid w:val="16F60DD3"/>
    <w:rsid w:val="17193619"/>
    <w:rsid w:val="171E2743"/>
    <w:rsid w:val="172432AF"/>
    <w:rsid w:val="172B78C9"/>
    <w:rsid w:val="174C7528"/>
    <w:rsid w:val="1766153D"/>
    <w:rsid w:val="177D0DF0"/>
    <w:rsid w:val="178D7750"/>
    <w:rsid w:val="17AF79E2"/>
    <w:rsid w:val="17E76070"/>
    <w:rsid w:val="17FA147D"/>
    <w:rsid w:val="17FC683D"/>
    <w:rsid w:val="18367CDA"/>
    <w:rsid w:val="18A373BF"/>
    <w:rsid w:val="18A64722"/>
    <w:rsid w:val="18D24FF5"/>
    <w:rsid w:val="18E5042A"/>
    <w:rsid w:val="18F5009D"/>
    <w:rsid w:val="191B4526"/>
    <w:rsid w:val="191C650D"/>
    <w:rsid w:val="19473076"/>
    <w:rsid w:val="19C26E47"/>
    <w:rsid w:val="19CE05F3"/>
    <w:rsid w:val="1A296A52"/>
    <w:rsid w:val="1A356E6A"/>
    <w:rsid w:val="1A377E4D"/>
    <w:rsid w:val="1A417455"/>
    <w:rsid w:val="1A55578A"/>
    <w:rsid w:val="1A761E92"/>
    <w:rsid w:val="1A7C7137"/>
    <w:rsid w:val="1A8643C5"/>
    <w:rsid w:val="1A8804E1"/>
    <w:rsid w:val="1ABE2171"/>
    <w:rsid w:val="1ACF5074"/>
    <w:rsid w:val="1ADC6542"/>
    <w:rsid w:val="1B141717"/>
    <w:rsid w:val="1B217135"/>
    <w:rsid w:val="1B5A6839"/>
    <w:rsid w:val="1B7431C3"/>
    <w:rsid w:val="1B9848CF"/>
    <w:rsid w:val="1BA96FBE"/>
    <w:rsid w:val="1BC70C49"/>
    <w:rsid w:val="1BE1168D"/>
    <w:rsid w:val="1BF965A1"/>
    <w:rsid w:val="1C043C7E"/>
    <w:rsid w:val="1C107DE9"/>
    <w:rsid w:val="1C133FA6"/>
    <w:rsid w:val="1C3800B2"/>
    <w:rsid w:val="1C5B3FD4"/>
    <w:rsid w:val="1C7644E2"/>
    <w:rsid w:val="1C811351"/>
    <w:rsid w:val="1C97489E"/>
    <w:rsid w:val="1C9F69B8"/>
    <w:rsid w:val="1CD70817"/>
    <w:rsid w:val="1CDA4153"/>
    <w:rsid w:val="1D295B40"/>
    <w:rsid w:val="1D39497B"/>
    <w:rsid w:val="1D4A29E9"/>
    <w:rsid w:val="1D8E30F7"/>
    <w:rsid w:val="1DDD10B4"/>
    <w:rsid w:val="1E837A61"/>
    <w:rsid w:val="1E851020"/>
    <w:rsid w:val="1EF403AD"/>
    <w:rsid w:val="1F207B44"/>
    <w:rsid w:val="1FA03DAE"/>
    <w:rsid w:val="1FAA3C18"/>
    <w:rsid w:val="1FD721E3"/>
    <w:rsid w:val="1FED51FB"/>
    <w:rsid w:val="1FF15AA8"/>
    <w:rsid w:val="200D1380"/>
    <w:rsid w:val="203D5C7A"/>
    <w:rsid w:val="204A18F4"/>
    <w:rsid w:val="204F4146"/>
    <w:rsid w:val="208B16DB"/>
    <w:rsid w:val="20CC075D"/>
    <w:rsid w:val="20FC47C3"/>
    <w:rsid w:val="210B711D"/>
    <w:rsid w:val="2127486C"/>
    <w:rsid w:val="217A2E8F"/>
    <w:rsid w:val="21AD2AA9"/>
    <w:rsid w:val="22B34C3F"/>
    <w:rsid w:val="22ED209B"/>
    <w:rsid w:val="22EE5862"/>
    <w:rsid w:val="23073830"/>
    <w:rsid w:val="231178C5"/>
    <w:rsid w:val="231263E5"/>
    <w:rsid w:val="236D774B"/>
    <w:rsid w:val="237E4173"/>
    <w:rsid w:val="23865D6B"/>
    <w:rsid w:val="239619AC"/>
    <w:rsid w:val="23CA4FAD"/>
    <w:rsid w:val="23EF57AD"/>
    <w:rsid w:val="2417309F"/>
    <w:rsid w:val="243E2265"/>
    <w:rsid w:val="2472448D"/>
    <w:rsid w:val="24B66543"/>
    <w:rsid w:val="24C6154C"/>
    <w:rsid w:val="24FF53A8"/>
    <w:rsid w:val="25041D51"/>
    <w:rsid w:val="252400AA"/>
    <w:rsid w:val="25372ADE"/>
    <w:rsid w:val="254F32AC"/>
    <w:rsid w:val="255B6EC2"/>
    <w:rsid w:val="25BB1B2D"/>
    <w:rsid w:val="25CA5163"/>
    <w:rsid w:val="25D87FB3"/>
    <w:rsid w:val="25DE77BD"/>
    <w:rsid w:val="25EC2C8E"/>
    <w:rsid w:val="260D43D0"/>
    <w:rsid w:val="260E0D41"/>
    <w:rsid w:val="2648468A"/>
    <w:rsid w:val="264A1A74"/>
    <w:rsid w:val="264C3B5A"/>
    <w:rsid w:val="264F75CE"/>
    <w:rsid w:val="26A02508"/>
    <w:rsid w:val="26FC4CF2"/>
    <w:rsid w:val="270F0122"/>
    <w:rsid w:val="27225448"/>
    <w:rsid w:val="27266761"/>
    <w:rsid w:val="2746156A"/>
    <w:rsid w:val="2758714A"/>
    <w:rsid w:val="278D5A4A"/>
    <w:rsid w:val="27936D0C"/>
    <w:rsid w:val="27C54098"/>
    <w:rsid w:val="27E8314E"/>
    <w:rsid w:val="280B7FEB"/>
    <w:rsid w:val="28450F6C"/>
    <w:rsid w:val="284B1F0D"/>
    <w:rsid w:val="284C16B1"/>
    <w:rsid w:val="28577024"/>
    <w:rsid w:val="28746F70"/>
    <w:rsid w:val="28A40C0E"/>
    <w:rsid w:val="28A66FD2"/>
    <w:rsid w:val="29081179"/>
    <w:rsid w:val="292422FD"/>
    <w:rsid w:val="2926030A"/>
    <w:rsid w:val="29426873"/>
    <w:rsid w:val="29683AF7"/>
    <w:rsid w:val="298D54E1"/>
    <w:rsid w:val="29912B2A"/>
    <w:rsid w:val="29933E95"/>
    <w:rsid w:val="29953A54"/>
    <w:rsid w:val="299D6944"/>
    <w:rsid w:val="29B71655"/>
    <w:rsid w:val="29BE25AF"/>
    <w:rsid w:val="29F76330"/>
    <w:rsid w:val="2A502BDE"/>
    <w:rsid w:val="2A610E88"/>
    <w:rsid w:val="2A994A6D"/>
    <w:rsid w:val="2AA236A8"/>
    <w:rsid w:val="2AD540D4"/>
    <w:rsid w:val="2AE72D0D"/>
    <w:rsid w:val="2AF77B9D"/>
    <w:rsid w:val="2AFB52E4"/>
    <w:rsid w:val="2B040840"/>
    <w:rsid w:val="2B0753B1"/>
    <w:rsid w:val="2B2733B9"/>
    <w:rsid w:val="2B297FDE"/>
    <w:rsid w:val="2B2A503B"/>
    <w:rsid w:val="2B2E699C"/>
    <w:rsid w:val="2B797A36"/>
    <w:rsid w:val="2B8B15D2"/>
    <w:rsid w:val="2BA93E07"/>
    <w:rsid w:val="2C023541"/>
    <w:rsid w:val="2C2C542E"/>
    <w:rsid w:val="2C7173E0"/>
    <w:rsid w:val="2C8E4D82"/>
    <w:rsid w:val="2CD03054"/>
    <w:rsid w:val="2CD87789"/>
    <w:rsid w:val="2D0A27D8"/>
    <w:rsid w:val="2D1F1586"/>
    <w:rsid w:val="2D3C001D"/>
    <w:rsid w:val="2D505B75"/>
    <w:rsid w:val="2D5F3E43"/>
    <w:rsid w:val="2D6B2EBF"/>
    <w:rsid w:val="2D7E320A"/>
    <w:rsid w:val="2DB36DDC"/>
    <w:rsid w:val="2DD122C7"/>
    <w:rsid w:val="2E085135"/>
    <w:rsid w:val="2E4D7EDF"/>
    <w:rsid w:val="2E5C0F57"/>
    <w:rsid w:val="2E697B6A"/>
    <w:rsid w:val="2E6B5AF8"/>
    <w:rsid w:val="2E784EE0"/>
    <w:rsid w:val="2E8708C4"/>
    <w:rsid w:val="2EC921D2"/>
    <w:rsid w:val="2EE66A28"/>
    <w:rsid w:val="2F082C50"/>
    <w:rsid w:val="2F153231"/>
    <w:rsid w:val="2F244316"/>
    <w:rsid w:val="2F2B4635"/>
    <w:rsid w:val="2F3C7172"/>
    <w:rsid w:val="2F6912D0"/>
    <w:rsid w:val="2F906A33"/>
    <w:rsid w:val="2FB14A43"/>
    <w:rsid w:val="2FE47620"/>
    <w:rsid w:val="2FEE4A3B"/>
    <w:rsid w:val="2FEE5699"/>
    <w:rsid w:val="300C7997"/>
    <w:rsid w:val="302A57BB"/>
    <w:rsid w:val="303B7986"/>
    <w:rsid w:val="30743AD6"/>
    <w:rsid w:val="30825DA5"/>
    <w:rsid w:val="30894813"/>
    <w:rsid w:val="30AE1D52"/>
    <w:rsid w:val="30E7266C"/>
    <w:rsid w:val="30EA5331"/>
    <w:rsid w:val="311A0F54"/>
    <w:rsid w:val="315111F1"/>
    <w:rsid w:val="316A42B7"/>
    <w:rsid w:val="316C2015"/>
    <w:rsid w:val="317B512E"/>
    <w:rsid w:val="31D61075"/>
    <w:rsid w:val="31DD28EC"/>
    <w:rsid w:val="31F34B0C"/>
    <w:rsid w:val="31F74D74"/>
    <w:rsid w:val="32293DF3"/>
    <w:rsid w:val="324577B5"/>
    <w:rsid w:val="326A48D1"/>
    <w:rsid w:val="329C70DF"/>
    <w:rsid w:val="329D0E07"/>
    <w:rsid w:val="32A02E2C"/>
    <w:rsid w:val="32D811B7"/>
    <w:rsid w:val="32F857F4"/>
    <w:rsid w:val="33352B46"/>
    <w:rsid w:val="334A7AE4"/>
    <w:rsid w:val="3360342E"/>
    <w:rsid w:val="336A45BE"/>
    <w:rsid w:val="339254E4"/>
    <w:rsid w:val="33951AE0"/>
    <w:rsid w:val="33CB03EB"/>
    <w:rsid w:val="33D93647"/>
    <w:rsid w:val="33DC399C"/>
    <w:rsid w:val="33E24E2C"/>
    <w:rsid w:val="33F07849"/>
    <w:rsid w:val="33F3561C"/>
    <w:rsid w:val="33F4138D"/>
    <w:rsid w:val="341325A0"/>
    <w:rsid w:val="344C2238"/>
    <w:rsid w:val="34505C47"/>
    <w:rsid w:val="34893634"/>
    <w:rsid w:val="34B93D28"/>
    <w:rsid w:val="34C01173"/>
    <w:rsid w:val="34C67B9A"/>
    <w:rsid w:val="34E300BF"/>
    <w:rsid w:val="351F234A"/>
    <w:rsid w:val="35530BF6"/>
    <w:rsid w:val="3589082B"/>
    <w:rsid w:val="35A84571"/>
    <w:rsid w:val="35C23AA6"/>
    <w:rsid w:val="360C2571"/>
    <w:rsid w:val="360D6341"/>
    <w:rsid w:val="36431F64"/>
    <w:rsid w:val="36AA2F1D"/>
    <w:rsid w:val="36DB1F61"/>
    <w:rsid w:val="376B2320"/>
    <w:rsid w:val="37720098"/>
    <w:rsid w:val="37727DA2"/>
    <w:rsid w:val="37BC4D26"/>
    <w:rsid w:val="37C2711A"/>
    <w:rsid w:val="37F14722"/>
    <w:rsid w:val="37FA6C5D"/>
    <w:rsid w:val="38066F1F"/>
    <w:rsid w:val="38190F1B"/>
    <w:rsid w:val="3822589D"/>
    <w:rsid w:val="38294778"/>
    <w:rsid w:val="383B7004"/>
    <w:rsid w:val="38761F63"/>
    <w:rsid w:val="388010C2"/>
    <w:rsid w:val="38A37BF1"/>
    <w:rsid w:val="38E45A13"/>
    <w:rsid w:val="394E7DD5"/>
    <w:rsid w:val="396A5DF5"/>
    <w:rsid w:val="39734A06"/>
    <w:rsid w:val="39842625"/>
    <w:rsid w:val="39A8483F"/>
    <w:rsid w:val="39CB45BD"/>
    <w:rsid w:val="39FA711B"/>
    <w:rsid w:val="39FC39DC"/>
    <w:rsid w:val="3A0154EA"/>
    <w:rsid w:val="3A0F0192"/>
    <w:rsid w:val="3A142266"/>
    <w:rsid w:val="3A2A3745"/>
    <w:rsid w:val="3A3F1704"/>
    <w:rsid w:val="3A451C64"/>
    <w:rsid w:val="3A561F9C"/>
    <w:rsid w:val="3A6A62BD"/>
    <w:rsid w:val="3AE64A6A"/>
    <w:rsid w:val="3AF10675"/>
    <w:rsid w:val="3B4343B6"/>
    <w:rsid w:val="3B4D3B9C"/>
    <w:rsid w:val="3B60679B"/>
    <w:rsid w:val="3B6D0AC3"/>
    <w:rsid w:val="3B900A71"/>
    <w:rsid w:val="3B920879"/>
    <w:rsid w:val="3BB72DC3"/>
    <w:rsid w:val="3C173B8D"/>
    <w:rsid w:val="3C2F12C0"/>
    <w:rsid w:val="3C36656E"/>
    <w:rsid w:val="3CEC1361"/>
    <w:rsid w:val="3D01611B"/>
    <w:rsid w:val="3D0C1E9C"/>
    <w:rsid w:val="3D2C178A"/>
    <w:rsid w:val="3D4B5A31"/>
    <w:rsid w:val="3D6067DA"/>
    <w:rsid w:val="3D792860"/>
    <w:rsid w:val="3D8651D2"/>
    <w:rsid w:val="3DA12DAE"/>
    <w:rsid w:val="3DD570E9"/>
    <w:rsid w:val="3DF20FA0"/>
    <w:rsid w:val="3DF8484A"/>
    <w:rsid w:val="3DFC3DFD"/>
    <w:rsid w:val="3E0747AF"/>
    <w:rsid w:val="3E1A638D"/>
    <w:rsid w:val="3E636445"/>
    <w:rsid w:val="3E686071"/>
    <w:rsid w:val="3EB1152D"/>
    <w:rsid w:val="3EBE056B"/>
    <w:rsid w:val="3EE44295"/>
    <w:rsid w:val="3EE67385"/>
    <w:rsid w:val="3F30557D"/>
    <w:rsid w:val="3F3C3A0D"/>
    <w:rsid w:val="3FCD4482"/>
    <w:rsid w:val="3FD203D8"/>
    <w:rsid w:val="3FDA2369"/>
    <w:rsid w:val="3FF85F20"/>
    <w:rsid w:val="3FFD7E54"/>
    <w:rsid w:val="40212731"/>
    <w:rsid w:val="402772FD"/>
    <w:rsid w:val="402E1A6D"/>
    <w:rsid w:val="406A0379"/>
    <w:rsid w:val="40800D9E"/>
    <w:rsid w:val="40C81B58"/>
    <w:rsid w:val="40D5764A"/>
    <w:rsid w:val="40FC04EE"/>
    <w:rsid w:val="41231EC9"/>
    <w:rsid w:val="414A240F"/>
    <w:rsid w:val="41D02DD0"/>
    <w:rsid w:val="4229253F"/>
    <w:rsid w:val="423C377E"/>
    <w:rsid w:val="42652AD0"/>
    <w:rsid w:val="42954F01"/>
    <w:rsid w:val="42FC7AC4"/>
    <w:rsid w:val="436F71BF"/>
    <w:rsid w:val="437012D3"/>
    <w:rsid w:val="43795A45"/>
    <w:rsid w:val="437A2EB2"/>
    <w:rsid w:val="439F66B3"/>
    <w:rsid w:val="442C5A9F"/>
    <w:rsid w:val="4438633C"/>
    <w:rsid w:val="443C5FEA"/>
    <w:rsid w:val="44500D2A"/>
    <w:rsid w:val="44792B02"/>
    <w:rsid w:val="44F7272B"/>
    <w:rsid w:val="45657083"/>
    <w:rsid w:val="456617F3"/>
    <w:rsid w:val="45670197"/>
    <w:rsid w:val="45B10D60"/>
    <w:rsid w:val="45CC74A1"/>
    <w:rsid w:val="46267526"/>
    <w:rsid w:val="4640722E"/>
    <w:rsid w:val="464B6C7B"/>
    <w:rsid w:val="464F5C1E"/>
    <w:rsid w:val="465862FC"/>
    <w:rsid w:val="46881C02"/>
    <w:rsid w:val="469767C1"/>
    <w:rsid w:val="46A20721"/>
    <w:rsid w:val="46AB7B44"/>
    <w:rsid w:val="46F7316C"/>
    <w:rsid w:val="470B04D5"/>
    <w:rsid w:val="470F4577"/>
    <w:rsid w:val="473B3EDA"/>
    <w:rsid w:val="4752442F"/>
    <w:rsid w:val="475E748F"/>
    <w:rsid w:val="4765523D"/>
    <w:rsid w:val="477156DB"/>
    <w:rsid w:val="47901A9F"/>
    <w:rsid w:val="47922799"/>
    <w:rsid w:val="47D97FC7"/>
    <w:rsid w:val="48000BC3"/>
    <w:rsid w:val="480F276E"/>
    <w:rsid w:val="484527E2"/>
    <w:rsid w:val="485C32A8"/>
    <w:rsid w:val="48613C38"/>
    <w:rsid w:val="486D1F68"/>
    <w:rsid w:val="48C30900"/>
    <w:rsid w:val="48D1599F"/>
    <w:rsid w:val="48F65721"/>
    <w:rsid w:val="48F8729D"/>
    <w:rsid w:val="494B6911"/>
    <w:rsid w:val="49761856"/>
    <w:rsid w:val="4976695C"/>
    <w:rsid w:val="49AB468B"/>
    <w:rsid w:val="49CE28B7"/>
    <w:rsid w:val="4A5D2BBA"/>
    <w:rsid w:val="4A600199"/>
    <w:rsid w:val="4AA77FB3"/>
    <w:rsid w:val="4AD61D8B"/>
    <w:rsid w:val="4B566703"/>
    <w:rsid w:val="4B760EAB"/>
    <w:rsid w:val="4B9C55AC"/>
    <w:rsid w:val="4BE50202"/>
    <w:rsid w:val="4BE557FA"/>
    <w:rsid w:val="4C0175C3"/>
    <w:rsid w:val="4C203459"/>
    <w:rsid w:val="4C487E08"/>
    <w:rsid w:val="4C4F5739"/>
    <w:rsid w:val="4C665071"/>
    <w:rsid w:val="4C7B09B8"/>
    <w:rsid w:val="4C8236B1"/>
    <w:rsid w:val="4C9D17E9"/>
    <w:rsid w:val="4CA77B6B"/>
    <w:rsid w:val="4CC625AA"/>
    <w:rsid w:val="4CEF09AC"/>
    <w:rsid w:val="4D1F409E"/>
    <w:rsid w:val="4D252510"/>
    <w:rsid w:val="4D307A5C"/>
    <w:rsid w:val="4D6B2F5C"/>
    <w:rsid w:val="4D6F1D0C"/>
    <w:rsid w:val="4D755439"/>
    <w:rsid w:val="4DBC074D"/>
    <w:rsid w:val="4DBF5D16"/>
    <w:rsid w:val="4DC73A64"/>
    <w:rsid w:val="4DD070D5"/>
    <w:rsid w:val="4DE60D42"/>
    <w:rsid w:val="4E0E6937"/>
    <w:rsid w:val="4E175D28"/>
    <w:rsid w:val="4E69264D"/>
    <w:rsid w:val="4EBD411A"/>
    <w:rsid w:val="4EC206EE"/>
    <w:rsid w:val="4ED13ABC"/>
    <w:rsid w:val="4ED652C6"/>
    <w:rsid w:val="4EFB7579"/>
    <w:rsid w:val="4EFD60A3"/>
    <w:rsid w:val="4F0720FD"/>
    <w:rsid w:val="4F0931EA"/>
    <w:rsid w:val="4F417C01"/>
    <w:rsid w:val="4F676E75"/>
    <w:rsid w:val="4F9C4AA9"/>
    <w:rsid w:val="4FCC21D8"/>
    <w:rsid w:val="50344358"/>
    <w:rsid w:val="504101F5"/>
    <w:rsid w:val="50484332"/>
    <w:rsid w:val="5051596A"/>
    <w:rsid w:val="505D1263"/>
    <w:rsid w:val="50667369"/>
    <w:rsid w:val="509226B7"/>
    <w:rsid w:val="50E10D0C"/>
    <w:rsid w:val="512F4A6F"/>
    <w:rsid w:val="5130038B"/>
    <w:rsid w:val="515060CC"/>
    <w:rsid w:val="51564AF1"/>
    <w:rsid w:val="51A108B3"/>
    <w:rsid w:val="51EC3B57"/>
    <w:rsid w:val="51F5100B"/>
    <w:rsid w:val="522D1344"/>
    <w:rsid w:val="5232731A"/>
    <w:rsid w:val="528A7AE7"/>
    <w:rsid w:val="529A2FFC"/>
    <w:rsid w:val="52E54F92"/>
    <w:rsid w:val="53832185"/>
    <w:rsid w:val="53840135"/>
    <w:rsid w:val="53920CEE"/>
    <w:rsid w:val="5398661A"/>
    <w:rsid w:val="53A4716C"/>
    <w:rsid w:val="53CC50AE"/>
    <w:rsid w:val="543812D4"/>
    <w:rsid w:val="543F749E"/>
    <w:rsid w:val="54904D93"/>
    <w:rsid w:val="54B81E43"/>
    <w:rsid w:val="54E97E61"/>
    <w:rsid w:val="551F0603"/>
    <w:rsid w:val="5524411A"/>
    <w:rsid w:val="555C4EB5"/>
    <w:rsid w:val="55662A4C"/>
    <w:rsid w:val="55674D18"/>
    <w:rsid w:val="55D2308D"/>
    <w:rsid w:val="55F33201"/>
    <w:rsid w:val="560F30B7"/>
    <w:rsid w:val="563E6EEB"/>
    <w:rsid w:val="563F0F53"/>
    <w:rsid w:val="564B10AC"/>
    <w:rsid w:val="565421DF"/>
    <w:rsid w:val="56571D47"/>
    <w:rsid w:val="56737795"/>
    <w:rsid w:val="56A2724A"/>
    <w:rsid w:val="56AB1218"/>
    <w:rsid w:val="56BC578B"/>
    <w:rsid w:val="56E04310"/>
    <w:rsid w:val="57255C57"/>
    <w:rsid w:val="578B566A"/>
    <w:rsid w:val="578F351C"/>
    <w:rsid w:val="57B241B8"/>
    <w:rsid w:val="57C12963"/>
    <w:rsid w:val="57DC33A1"/>
    <w:rsid w:val="58042A75"/>
    <w:rsid w:val="58064939"/>
    <w:rsid w:val="58430E96"/>
    <w:rsid w:val="584B5C78"/>
    <w:rsid w:val="58513B77"/>
    <w:rsid w:val="586303D1"/>
    <w:rsid w:val="588501DB"/>
    <w:rsid w:val="58987DF4"/>
    <w:rsid w:val="58D74E79"/>
    <w:rsid w:val="58DA7D32"/>
    <w:rsid w:val="58E30090"/>
    <w:rsid w:val="59147ABF"/>
    <w:rsid w:val="593512BC"/>
    <w:rsid w:val="59370951"/>
    <w:rsid w:val="59422BD6"/>
    <w:rsid w:val="594611C8"/>
    <w:rsid w:val="599855CB"/>
    <w:rsid w:val="599D29A9"/>
    <w:rsid w:val="59A33D50"/>
    <w:rsid w:val="59AC7755"/>
    <w:rsid w:val="59D35FCF"/>
    <w:rsid w:val="59DD1467"/>
    <w:rsid w:val="59E27657"/>
    <w:rsid w:val="59E618A3"/>
    <w:rsid w:val="5A03560E"/>
    <w:rsid w:val="5A2D770C"/>
    <w:rsid w:val="5A3857B2"/>
    <w:rsid w:val="5A8D6E22"/>
    <w:rsid w:val="5AC51ADC"/>
    <w:rsid w:val="5AE906AD"/>
    <w:rsid w:val="5B170EC1"/>
    <w:rsid w:val="5B174FED"/>
    <w:rsid w:val="5B306DB2"/>
    <w:rsid w:val="5B523BA8"/>
    <w:rsid w:val="5B5C3848"/>
    <w:rsid w:val="5B617A31"/>
    <w:rsid w:val="5B9073F7"/>
    <w:rsid w:val="5BAA245B"/>
    <w:rsid w:val="5C084785"/>
    <w:rsid w:val="5C2C1905"/>
    <w:rsid w:val="5C305BF2"/>
    <w:rsid w:val="5C3667FC"/>
    <w:rsid w:val="5C756A96"/>
    <w:rsid w:val="5C8B657B"/>
    <w:rsid w:val="5CC62602"/>
    <w:rsid w:val="5CF76BF4"/>
    <w:rsid w:val="5CFE542C"/>
    <w:rsid w:val="5D2C444A"/>
    <w:rsid w:val="5D320FCB"/>
    <w:rsid w:val="5D525483"/>
    <w:rsid w:val="5D694EF6"/>
    <w:rsid w:val="5D6A11C4"/>
    <w:rsid w:val="5DA12F2E"/>
    <w:rsid w:val="5DAE13CF"/>
    <w:rsid w:val="5DCD250B"/>
    <w:rsid w:val="5DDC456A"/>
    <w:rsid w:val="5DEF17B3"/>
    <w:rsid w:val="5DFF1159"/>
    <w:rsid w:val="5E2D5EE3"/>
    <w:rsid w:val="5E4279B3"/>
    <w:rsid w:val="5E57556F"/>
    <w:rsid w:val="5E6A285E"/>
    <w:rsid w:val="5E7078F9"/>
    <w:rsid w:val="5E711CDA"/>
    <w:rsid w:val="5E781148"/>
    <w:rsid w:val="5E8848F0"/>
    <w:rsid w:val="5EA61714"/>
    <w:rsid w:val="5EA83096"/>
    <w:rsid w:val="5EB13E19"/>
    <w:rsid w:val="5EBB524D"/>
    <w:rsid w:val="5ED905BB"/>
    <w:rsid w:val="5F3A110B"/>
    <w:rsid w:val="5F544ADE"/>
    <w:rsid w:val="5F9C3EC3"/>
    <w:rsid w:val="5FC0322F"/>
    <w:rsid w:val="5FD37C5B"/>
    <w:rsid w:val="5FDB2037"/>
    <w:rsid w:val="605C4CEC"/>
    <w:rsid w:val="606D64A0"/>
    <w:rsid w:val="60C46ED4"/>
    <w:rsid w:val="60D25A15"/>
    <w:rsid w:val="60EB3239"/>
    <w:rsid w:val="60F84A17"/>
    <w:rsid w:val="61040184"/>
    <w:rsid w:val="612753A8"/>
    <w:rsid w:val="61347170"/>
    <w:rsid w:val="615E1D29"/>
    <w:rsid w:val="61612908"/>
    <w:rsid w:val="61737677"/>
    <w:rsid w:val="61797104"/>
    <w:rsid w:val="619E2C47"/>
    <w:rsid w:val="61A27AD0"/>
    <w:rsid w:val="61AC0D2D"/>
    <w:rsid w:val="62467775"/>
    <w:rsid w:val="6248295B"/>
    <w:rsid w:val="625515C6"/>
    <w:rsid w:val="628A613F"/>
    <w:rsid w:val="62936CE6"/>
    <w:rsid w:val="62CC2286"/>
    <w:rsid w:val="62D040B9"/>
    <w:rsid w:val="631C472A"/>
    <w:rsid w:val="63365241"/>
    <w:rsid w:val="634A476A"/>
    <w:rsid w:val="63613D1C"/>
    <w:rsid w:val="6363722B"/>
    <w:rsid w:val="63836E8B"/>
    <w:rsid w:val="63D52DC3"/>
    <w:rsid w:val="63EE2185"/>
    <w:rsid w:val="64103523"/>
    <w:rsid w:val="64130890"/>
    <w:rsid w:val="64144701"/>
    <w:rsid w:val="64474BA2"/>
    <w:rsid w:val="64DA205C"/>
    <w:rsid w:val="64F07C23"/>
    <w:rsid w:val="653611AD"/>
    <w:rsid w:val="65394866"/>
    <w:rsid w:val="65531F1D"/>
    <w:rsid w:val="6561130E"/>
    <w:rsid w:val="6571183F"/>
    <w:rsid w:val="657151FB"/>
    <w:rsid w:val="65735D84"/>
    <w:rsid w:val="6592214B"/>
    <w:rsid w:val="65CA5EB8"/>
    <w:rsid w:val="660957FC"/>
    <w:rsid w:val="66444926"/>
    <w:rsid w:val="664F1FDF"/>
    <w:rsid w:val="6676045A"/>
    <w:rsid w:val="66885A0B"/>
    <w:rsid w:val="668A54E2"/>
    <w:rsid w:val="66B81965"/>
    <w:rsid w:val="66BB3EC6"/>
    <w:rsid w:val="66CC0BDA"/>
    <w:rsid w:val="66EE52A3"/>
    <w:rsid w:val="671B2005"/>
    <w:rsid w:val="675020B8"/>
    <w:rsid w:val="679A55A8"/>
    <w:rsid w:val="67A626EF"/>
    <w:rsid w:val="67AE12CE"/>
    <w:rsid w:val="67BE5D08"/>
    <w:rsid w:val="680A2CD5"/>
    <w:rsid w:val="68105AAB"/>
    <w:rsid w:val="68891384"/>
    <w:rsid w:val="689322AD"/>
    <w:rsid w:val="68D9424D"/>
    <w:rsid w:val="68EC2959"/>
    <w:rsid w:val="68F84B4D"/>
    <w:rsid w:val="692D1F13"/>
    <w:rsid w:val="693A030E"/>
    <w:rsid w:val="693E4DC3"/>
    <w:rsid w:val="69790255"/>
    <w:rsid w:val="69891BB9"/>
    <w:rsid w:val="69A17914"/>
    <w:rsid w:val="69FE102A"/>
    <w:rsid w:val="6A0D0E38"/>
    <w:rsid w:val="6ABA4B0F"/>
    <w:rsid w:val="6B2B2B84"/>
    <w:rsid w:val="6B355327"/>
    <w:rsid w:val="6B963D85"/>
    <w:rsid w:val="6BA57064"/>
    <w:rsid w:val="6BF9046F"/>
    <w:rsid w:val="6C08223F"/>
    <w:rsid w:val="6C133B4F"/>
    <w:rsid w:val="6C7B2A22"/>
    <w:rsid w:val="6CAE695B"/>
    <w:rsid w:val="6CDD11CD"/>
    <w:rsid w:val="6CE05267"/>
    <w:rsid w:val="6CE40271"/>
    <w:rsid w:val="6D20799A"/>
    <w:rsid w:val="6D556F64"/>
    <w:rsid w:val="6D9F74C0"/>
    <w:rsid w:val="6DCE6EF3"/>
    <w:rsid w:val="6DD9676B"/>
    <w:rsid w:val="6DE33D6B"/>
    <w:rsid w:val="6E2945E9"/>
    <w:rsid w:val="6E3A26D8"/>
    <w:rsid w:val="6E4A0B0A"/>
    <w:rsid w:val="6E500CD1"/>
    <w:rsid w:val="6E5C208F"/>
    <w:rsid w:val="6E681608"/>
    <w:rsid w:val="6E6A6527"/>
    <w:rsid w:val="6E7744F9"/>
    <w:rsid w:val="6E8D62C7"/>
    <w:rsid w:val="6EB1189B"/>
    <w:rsid w:val="6ECD321C"/>
    <w:rsid w:val="6EE14D3E"/>
    <w:rsid w:val="6F055553"/>
    <w:rsid w:val="6F2A0302"/>
    <w:rsid w:val="6F341AC6"/>
    <w:rsid w:val="6F826B43"/>
    <w:rsid w:val="6FC4529C"/>
    <w:rsid w:val="6FE724EF"/>
    <w:rsid w:val="703003EC"/>
    <w:rsid w:val="70694A66"/>
    <w:rsid w:val="706B4B17"/>
    <w:rsid w:val="70801458"/>
    <w:rsid w:val="70C94A80"/>
    <w:rsid w:val="7123259E"/>
    <w:rsid w:val="712A169B"/>
    <w:rsid w:val="713A5025"/>
    <w:rsid w:val="714054B2"/>
    <w:rsid w:val="71680B0F"/>
    <w:rsid w:val="71854B70"/>
    <w:rsid w:val="71D43515"/>
    <w:rsid w:val="71F95237"/>
    <w:rsid w:val="722503F1"/>
    <w:rsid w:val="722D514D"/>
    <w:rsid w:val="723804FD"/>
    <w:rsid w:val="724B1DF0"/>
    <w:rsid w:val="725F4D5A"/>
    <w:rsid w:val="72CF0E9B"/>
    <w:rsid w:val="72E869E8"/>
    <w:rsid w:val="733A35E5"/>
    <w:rsid w:val="7353025C"/>
    <w:rsid w:val="73557AEB"/>
    <w:rsid w:val="735B719A"/>
    <w:rsid w:val="737A05A0"/>
    <w:rsid w:val="737F302F"/>
    <w:rsid w:val="73982D41"/>
    <w:rsid w:val="739F6EDB"/>
    <w:rsid w:val="73AC1F60"/>
    <w:rsid w:val="73F522EE"/>
    <w:rsid w:val="74015B63"/>
    <w:rsid w:val="74271298"/>
    <w:rsid w:val="744C4835"/>
    <w:rsid w:val="74543AB3"/>
    <w:rsid w:val="74766500"/>
    <w:rsid w:val="748962D3"/>
    <w:rsid w:val="74C817E9"/>
    <w:rsid w:val="74D13C2A"/>
    <w:rsid w:val="751C0F27"/>
    <w:rsid w:val="75322E1E"/>
    <w:rsid w:val="754339C4"/>
    <w:rsid w:val="756045AA"/>
    <w:rsid w:val="75BF0392"/>
    <w:rsid w:val="75F25DC7"/>
    <w:rsid w:val="75FA5640"/>
    <w:rsid w:val="75FC6C07"/>
    <w:rsid w:val="75FD2911"/>
    <w:rsid w:val="761F46F4"/>
    <w:rsid w:val="763A6629"/>
    <w:rsid w:val="764C4219"/>
    <w:rsid w:val="764E771F"/>
    <w:rsid w:val="7681426F"/>
    <w:rsid w:val="7696652D"/>
    <w:rsid w:val="76C0056C"/>
    <w:rsid w:val="76F43E80"/>
    <w:rsid w:val="76FA7E48"/>
    <w:rsid w:val="76FD1966"/>
    <w:rsid w:val="773C430C"/>
    <w:rsid w:val="774A57ED"/>
    <w:rsid w:val="77737FCB"/>
    <w:rsid w:val="77763557"/>
    <w:rsid w:val="7799290C"/>
    <w:rsid w:val="779F3D83"/>
    <w:rsid w:val="77A04CD1"/>
    <w:rsid w:val="77E1383A"/>
    <w:rsid w:val="781D6991"/>
    <w:rsid w:val="782545CD"/>
    <w:rsid w:val="783E1BEC"/>
    <w:rsid w:val="784E71DF"/>
    <w:rsid w:val="785A6DAA"/>
    <w:rsid w:val="789E6EBD"/>
    <w:rsid w:val="78C20EA8"/>
    <w:rsid w:val="790B57D8"/>
    <w:rsid w:val="790B6D58"/>
    <w:rsid w:val="79291E78"/>
    <w:rsid w:val="79435330"/>
    <w:rsid w:val="79466A07"/>
    <w:rsid w:val="79665C9E"/>
    <w:rsid w:val="79A80CEF"/>
    <w:rsid w:val="79AF1C6D"/>
    <w:rsid w:val="79CA7B2C"/>
    <w:rsid w:val="79CC6A81"/>
    <w:rsid w:val="79FC3A12"/>
    <w:rsid w:val="7A2F1CB5"/>
    <w:rsid w:val="7A9A4584"/>
    <w:rsid w:val="7AA179F0"/>
    <w:rsid w:val="7AA8278C"/>
    <w:rsid w:val="7ADC7A4E"/>
    <w:rsid w:val="7AE84FBC"/>
    <w:rsid w:val="7AF761D9"/>
    <w:rsid w:val="7B320699"/>
    <w:rsid w:val="7BD27F57"/>
    <w:rsid w:val="7BF6377E"/>
    <w:rsid w:val="7C1266C5"/>
    <w:rsid w:val="7C84703D"/>
    <w:rsid w:val="7CB53C71"/>
    <w:rsid w:val="7CB63B55"/>
    <w:rsid w:val="7CBC31DA"/>
    <w:rsid w:val="7CCB3D37"/>
    <w:rsid w:val="7D1E260C"/>
    <w:rsid w:val="7D2E1A4A"/>
    <w:rsid w:val="7D3207B3"/>
    <w:rsid w:val="7D6A327E"/>
    <w:rsid w:val="7D846C0E"/>
    <w:rsid w:val="7D963331"/>
    <w:rsid w:val="7D9C539A"/>
    <w:rsid w:val="7DB07306"/>
    <w:rsid w:val="7DB55021"/>
    <w:rsid w:val="7E0D37AC"/>
    <w:rsid w:val="7E1259A1"/>
    <w:rsid w:val="7EBC58A6"/>
    <w:rsid w:val="7ECF6A67"/>
    <w:rsid w:val="7EEC1F1A"/>
    <w:rsid w:val="7EF121CF"/>
    <w:rsid w:val="7EF217C8"/>
    <w:rsid w:val="7F1F3F0B"/>
    <w:rsid w:val="7F265E2D"/>
    <w:rsid w:val="7F3A4641"/>
    <w:rsid w:val="7F4F4E90"/>
    <w:rsid w:val="7F5C6627"/>
    <w:rsid w:val="7FA018BD"/>
    <w:rsid w:val="7FBD6439"/>
    <w:rsid w:val="7FFF53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qFormat="1" w:unhideWhenUsed="0" w:uiPriority="99" w:semiHidden="0" w:name="toc 6"/>
    <w:lsdException w:uiPriority="39" w:name="toc 7"/>
    <w:lsdException w:uiPriority="39" w:name="toc 8"/>
    <w:lsdException w:uiPriority="39" w:name="toc 9"/>
    <w:lsdException w:qFormat="1" w:uiPriority="99"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5">
    <w:name w:val="heading 3"/>
    <w:basedOn w:val="1"/>
    <w:next w:val="1"/>
    <w:link w:val="25"/>
    <w:qFormat/>
    <w:uiPriority w:val="0"/>
    <w:pPr>
      <w:keepNext/>
      <w:keepLines/>
      <w:spacing w:before="260" w:after="260" w:line="415" w:lineRule="auto"/>
      <w:outlineLvl w:val="2"/>
    </w:pPr>
    <w:rPr>
      <w:b/>
      <w:bCs/>
      <w:sz w:val="32"/>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qFormat/>
    <w:uiPriority w:val="0"/>
    <w:pPr>
      <w:adjustRightInd w:val="0"/>
      <w:spacing w:after="60" w:line="360" w:lineRule="atLeast"/>
      <w:ind w:left="72" w:leftChars="30" w:right="30" w:rightChars="30"/>
      <w:jc w:val="center"/>
      <w:textAlignment w:val="baseline"/>
    </w:pPr>
    <w:rPr>
      <w:kern w:val="0"/>
      <w:sz w:val="20"/>
      <w:szCs w:val="20"/>
    </w:rPr>
  </w:style>
  <w:style w:type="paragraph" w:styleId="6">
    <w:name w:val="Normal Indent"/>
    <w:basedOn w:val="1"/>
    <w:unhideWhenUsed/>
    <w:qFormat/>
    <w:uiPriority w:val="99"/>
    <w:pPr>
      <w:ind w:firstLine="420"/>
    </w:pPr>
    <w:rPr>
      <w:szCs w:val="20"/>
    </w:rPr>
  </w:style>
  <w:style w:type="paragraph" w:styleId="7">
    <w:name w:val="annotation text"/>
    <w:basedOn w:val="1"/>
    <w:link w:val="22"/>
    <w:semiHidden/>
    <w:qFormat/>
    <w:uiPriority w:val="0"/>
    <w:pPr>
      <w:jc w:val="left"/>
    </w:pPr>
    <w:rPr>
      <w:rFonts w:ascii="Arial" w:hAnsi="Arial" w:cs="Arial"/>
    </w:rPr>
  </w:style>
  <w:style w:type="paragraph" w:styleId="8">
    <w:name w:val="Body Text Indent"/>
    <w:basedOn w:val="1"/>
    <w:link w:val="26"/>
    <w:qFormat/>
    <w:uiPriority w:val="0"/>
    <w:pPr>
      <w:tabs>
        <w:tab w:val="left" w:pos="7060"/>
      </w:tabs>
      <w:spacing w:line="360" w:lineRule="auto"/>
      <w:ind w:firstLine="560" w:firstLineChars="200"/>
    </w:pPr>
    <w:rPr>
      <w:rFonts w:eastAsia="新宋体"/>
      <w:sz w:val="28"/>
    </w:rPr>
  </w:style>
  <w:style w:type="paragraph" w:styleId="9">
    <w:name w:val="Balloon Text"/>
    <w:basedOn w:val="1"/>
    <w:link w:val="27"/>
    <w:unhideWhenUsed/>
    <w:qFormat/>
    <w:uiPriority w:val="99"/>
    <w:rPr>
      <w:sz w:val="18"/>
      <w:szCs w:val="18"/>
    </w:rPr>
  </w:style>
  <w:style w:type="paragraph" w:styleId="10">
    <w:name w:val="footer"/>
    <w:basedOn w:val="1"/>
    <w:link w:val="24"/>
    <w:unhideWhenUsed/>
    <w:qFormat/>
    <w:uiPriority w:val="99"/>
    <w:pPr>
      <w:tabs>
        <w:tab w:val="center" w:pos="4153"/>
        <w:tab w:val="right" w:pos="8306"/>
      </w:tabs>
      <w:snapToGrid w:val="0"/>
      <w:jc w:val="left"/>
    </w:pPr>
    <w:rPr>
      <w:sz w:val="18"/>
      <w:szCs w:val="18"/>
    </w:rPr>
  </w:style>
  <w:style w:type="paragraph" w:styleId="11">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6"/>
    <w:basedOn w:val="1"/>
    <w:next w:val="1"/>
    <w:qFormat/>
    <w:uiPriority w:val="99"/>
    <w:pPr>
      <w:ind w:left="2100" w:leftChars="1000"/>
    </w:pPr>
    <w:rPr>
      <w:rFonts w:ascii="Calibri" w:hAnsi="Calibri"/>
      <w:szCs w:val="22"/>
    </w:rPr>
  </w:style>
  <w:style w:type="paragraph" w:styleId="13">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6">
    <w:name w:val="page number"/>
    <w:basedOn w:val="15"/>
    <w:qFormat/>
    <w:uiPriority w:val="99"/>
    <w:rPr>
      <w:rFonts w:cs="Times New Roman"/>
    </w:rPr>
  </w:style>
  <w:style w:type="character" w:styleId="17">
    <w:name w:val="FollowedHyperlink"/>
    <w:basedOn w:val="15"/>
    <w:unhideWhenUsed/>
    <w:qFormat/>
    <w:uiPriority w:val="99"/>
    <w:rPr>
      <w:color w:val="800080" w:themeColor="followedHyperlink"/>
      <w:u w:val="single"/>
    </w:rPr>
  </w:style>
  <w:style w:type="character" w:styleId="18">
    <w:name w:val="Emphasis"/>
    <w:basedOn w:val="15"/>
    <w:qFormat/>
    <w:uiPriority w:val="0"/>
    <w:rPr>
      <w:rFonts w:ascii="Times New Roman" w:hAnsi="Times New Roman" w:eastAsia="仿宋_GB2312"/>
      <w:iCs/>
      <w:sz w:val="28"/>
    </w:rPr>
  </w:style>
  <w:style w:type="character" w:styleId="19">
    <w:name w:val="Hyperlink"/>
    <w:qFormat/>
    <w:uiPriority w:val="0"/>
    <w:rPr>
      <w:color w:val="0000FF"/>
      <w:u w:val="single"/>
    </w:rPr>
  </w:style>
  <w:style w:type="paragraph" w:customStyle="1" w:styleId="20">
    <w:name w:val="Char"/>
    <w:basedOn w:val="1"/>
    <w:qFormat/>
    <w:uiPriority w:val="0"/>
    <w:pPr>
      <w:adjustRightInd w:val="0"/>
      <w:snapToGrid w:val="0"/>
    </w:pPr>
    <w:rPr>
      <w:szCs w:val="20"/>
    </w:rPr>
  </w:style>
  <w:style w:type="paragraph" w:customStyle="1" w:styleId="2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2">
    <w:name w:val="批注文字 Char"/>
    <w:basedOn w:val="15"/>
    <w:link w:val="7"/>
    <w:semiHidden/>
    <w:qFormat/>
    <w:uiPriority w:val="0"/>
    <w:rPr>
      <w:rFonts w:ascii="Arial" w:hAnsi="Arial" w:eastAsia="宋体" w:cs="Arial"/>
      <w:szCs w:val="24"/>
    </w:rPr>
  </w:style>
  <w:style w:type="character" w:customStyle="1" w:styleId="23">
    <w:name w:val="页眉 Char"/>
    <w:basedOn w:val="15"/>
    <w:link w:val="11"/>
    <w:qFormat/>
    <w:uiPriority w:val="99"/>
    <w:rPr>
      <w:rFonts w:ascii="Times New Roman" w:hAnsi="Times New Roman" w:eastAsia="宋体" w:cs="Times New Roman"/>
      <w:sz w:val="18"/>
      <w:szCs w:val="18"/>
    </w:rPr>
  </w:style>
  <w:style w:type="character" w:customStyle="1" w:styleId="24">
    <w:name w:val="页脚 Char"/>
    <w:basedOn w:val="15"/>
    <w:link w:val="10"/>
    <w:qFormat/>
    <w:uiPriority w:val="99"/>
    <w:rPr>
      <w:rFonts w:ascii="Times New Roman" w:hAnsi="Times New Roman" w:eastAsia="宋体" w:cs="Times New Roman"/>
      <w:sz w:val="18"/>
      <w:szCs w:val="18"/>
    </w:rPr>
  </w:style>
  <w:style w:type="character" w:customStyle="1" w:styleId="25">
    <w:name w:val="标题 3 Char"/>
    <w:basedOn w:val="15"/>
    <w:link w:val="5"/>
    <w:qFormat/>
    <w:uiPriority w:val="0"/>
    <w:rPr>
      <w:rFonts w:ascii="Times New Roman" w:hAnsi="Times New Roman" w:eastAsia="宋体" w:cs="Times New Roman"/>
      <w:b/>
      <w:bCs/>
      <w:sz w:val="32"/>
      <w:szCs w:val="32"/>
    </w:rPr>
  </w:style>
  <w:style w:type="character" w:customStyle="1" w:styleId="26">
    <w:name w:val="正文文本缩进 Char"/>
    <w:basedOn w:val="15"/>
    <w:link w:val="8"/>
    <w:qFormat/>
    <w:uiPriority w:val="0"/>
    <w:rPr>
      <w:rFonts w:ascii="Times New Roman" w:hAnsi="Times New Roman" w:eastAsia="新宋体" w:cs="Times New Roman"/>
      <w:sz w:val="28"/>
      <w:szCs w:val="24"/>
    </w:rPr>
  </w:style>
  <w:style w:type="character" w:customStyle="1" w:styleId="27">
    <w:name w:val="批注框文本 Char"/>
    <w:basedOn w:val="15"/>
    <w:link w:val="9"/>
    <w:semiHidden/>
    <w:qFormat/>
    <w:uiPriority w:val="99"/>
    <w:rPr>
      <w:rFonts w:ascii="Times New Roman" w:hAnsi="Times New Roman" w:eastAsia="宋体" w:cs="Times New Roman"/>
      <w:sz w:val="18"/>
      <w:szCs w:val="18"/>
    </w:rPr>
  </w:style>
  <w:style w:type="paragraph" w:styleId="28">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005EEC-1A4F-47D6-9687-5F88518AD0BE}">
  <ds:schemaRefs/>
</ds:datastoreItem>
</file>

<file path=docProps/app.xml><?xml version="1.0" encoding="utf-8"?>
<Properties xmlns="http://schemas.openxmlformats.org/officeDocument/2006/extended-properties" xmlns:vt="http://schemas.openxmlformats.org/officeDocument/2006/docPropsVTypes">
  <Template>Normal</Template>
  <Company>MCC20</Company>
  <Pages>14</Pages>
  <Words>10152</Words>
  <Characters>10713</Characters>
  <Lines>82</Lines>
  <Paragraphs>23</Paragraphs>
  <TotalTime>0</TotalTime>
  <ScaleCrop>false</ScaleCrop>
  <LinksUpToDate>false</LinksUpToDate>
  <CharactersWithSpaces>11248</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2014-03-14T06:15:00Z</dcterms:created>
  <dc:creator>张玉婵</dc:creator>
  <cp:lastModifiedBy>Administrator</cp:lastModifiedBy>
  <cp:lastPrinted>2021-12-13T05:58:00Z</cp:lastPrinted>
  <dcterms:modified xsi:type="dcterms:W3CDTF">2021-12-13T11:08:01Z</dcterms:modified>
  <cp:revision>234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6C7A591E7EB7451AB1F76F941FD7FC59</vt:lpwstr>
  </property>
</Properties>
</file>