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南浔区医疗集团旧馆卫生院装修工程</w:t>
      </w: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keepNext w:val="0"/>
        <w:keepLines w:val="0"/>
        <w:pageBreakBefore w:val="0"/>
        <w:widowControl w:val="0"/>
        <w:kinsoku/>
        <w:wordWrap/>
        <w:overflowPunct/>
        <w:topLinePunct w:val="0"/>
        <w:bidi w:val="0"/>
        <w:adjustRightInd w:val="0"/>
        <w:snapToGrid/>
        <w:spacing w:line="44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南浔区医疗集团旧馆卫生院装修工程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旧馆卫生院室内装修装饰、水电安装</w:t>
      </w:r>
      <w:r>
        <w:rPr>
          <w:rFonts w:hint="eastAsia" w:cs="宋体"/>
          <w:b w:val="0"/>
          <w:bCs w:val="0"/>
          <w:color w:val="FF0000"/>
          <w:kern w:val="0"/>
          <w:sz w:val="21"/>
          <w:szCs w:val="21"/>
          <w:u w:val="none"/>
          <w:lang w:val="en-US" w:eastAsia="zh-CN"/>
        </w:rPr>
        <w:t>、家具、暖通空调、相关设备设施</w:t>
      </w:r>
      <w:r>
        <w:rPr>
          <w:rFonts w:hint="eastAsia" w:ascii="宋体" w:hAnsi="宋体" w:cs="宋体"/>
          <w:b w:val="0"/>
          <w:bCs w:val="0"/>
          <w:color w:val="FF0000"/>
          <w:kern w:val="0"/>
          <w:sz w:val="21"/>
          <w:szCs w:val="21"/>
          <w:u w:val="none"/>
          <w:lang w:val="en-US" w:eastAsia="zh-CN" w:bidi="ar-SA"/>
        </w:rPr>
        <w:t>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旧馆卫生院室内装修装饰、水电安装</w:t>
      </w:r>
      <w:r>
        <w:rPr>
          <w:rFonts w:hint="eastAsia" w:cs="宋体"/>
          <w:b w:val="0"/>
          <w:bCs w:val="0"/>
          <w:color w:val="FF0000"/>
          <w:kern w:val="0"/>
          <w:sz w:val="21"/>
          <w:szCs w:val="21"/>
          <w:u w:val="none"/>
          <w:lang w:val="en-US" w:eastAsia="zh-CN"/>
        </w:rPr>
        <w:t>、家具、暖通空调、相关设备设施</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南浔区医疗集团旧馆卫生院装修工程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b w:val="0"/>
          <w:bCs w:val="0"/>
          <w:color w:val="FF0000"/>
          <w:kern w:val="0"/>
          <w:sz w:val="21"/>
          <w:szCs w:val="21"/>
          <w:u w:val="none"/>
          <w:lang w:val="en-US" w:eastAsia="zh-CN"/>
        </w:rPr>
        <w:t>旧馆卫生院室内装修装饰、水电安装</w:t>
      </w:r>
      <w:r>
        <w:rPr>
          <w:rFonts w:hint="eastAsia" w:cs="宋体"/>
          <w:b w:val="0"/>
          <w:bCs w:val="0"/>
          <w:color w:val="FF0000"/>
          <w:kern w:val="0"/>
          <w:sz w:val="21"/>
          <w:szCs w:val="21"/>
          <w:u w:val="none"/>
          <w:lang w:val="en-US" w:eastAsia="zh-CN"/>
        </w:rPr>
        <w:t>、家具、暖通空调、相关设备设施</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cs="宋体"/>
          <w:b w:val="0"/>
          <w:bCs w:val="0"/>
          <w:color w:val="FF0000"/>
          <w:kern w:val="0"/>
          <w:sz w:val="21"/>
          <w:szCs w:val="21"/>
          <w:u w:val="none"/>
          <w:lang w:val="en-US" w:eastAsia="zh-CN" w:bidi="ar-SA"/>
        </w:rPr>
        <w:t>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装饰装修班组分包库或房建装修劳务分包库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2022年1月20日至2022年1月24日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w:t>
      </w:r>
      <w:r>
        <w:rPr>
          <w:rFonts w:hint="eastAsia" w:ascii="宋体" w:hAnsi="宋体" w:cs="仿宋_GB2312"/>
          <w:kern w:val="0"/>
          <w:sz w:val="21"/>
          <w:szCs w:val="21"/>
          <w:lang w:val="en-US" w:eastAsia="zh-CN"/>
        </w:rPr>
        <w:t>二楼开标室</w:t>
      </w:r>
      <w:r>
        <w:rPr>
          <w:rFonts w:hint="eastAsia" w:ascii="宋体" w:hAnsi="宋体" w:cs="仿宋_GB2312"/>
          <w:kern w:val="0"/>
          <w:sz w:val="21"/>
          <w:szCs w:val="21"/>
        </w:rPr>
        <w:t>，投标文件采取书递交的形式，装订密封。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暂估价1200万元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南浔区医疗集团旧馆卫生院装修工程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b w:val="0"/>
                <w:bCs w:val="0"/>
                <w:color w:val="FF0000"/>
                <w:kern w:val="0"/>
                <w:sz w:val="21"/>
                <w:szCs w:val="21"/>
                <w:u w:val="none"/>
                <w:lang w:val="en-US" w:eastAsia="zh-CN"/>
              </w:rPr>
              <w:t>旧馆卫生院室内装修装饰、水电安装</w:t>
            </w:r>
            <w:r>
              <w:rPr>
                <w:rFonts w:hint="eastAsia" w:cs="宋体"/>
                <w:b w:val="0"/>
                <w:bCs w:val="0"/>
                <w:color w:val="FF0000"/>
                <w:kern w:val="0"/>
                <w:sz w:val="21"/>
                <w:szCs w:val="21"/>
                <w:u w:val="none"/>
                <w:lang w:val="en-US" w:eastAsia="zh-CN"/>
              </w:rPr>
              <w:t>、家具、暖通空调、相关设备设施</w:t>
            </w:r>
            <w:r>
              <w:rPr>
                <w:rFonts w:hint="eastAsia" w:ascii="宋体" w:hAnsi="宋体" w:cs="宋体"/>
                <w:b w:val="0"/>
                <w:bCs w:val="0"/>
                <w:color w:val="FF0000"/>
                <w:kern w:val="0"/>
                <w:sz w:val="21"/>
                <w:szCs w:val="21"/>
                <w:u w:val="none"/>
                <w:lang w:val="en-US" w:eastAsia="zh-CN" w:bidi="ar-SA"/>
              </w:rPr>
              <w:t>等</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w:t>
            </w:r>
            <w:r>
              <w:rPr>
                <w:rFonts w:hint="eastAsia" w:cs="宋体"/>
                <w:b w:val="0"/>
                <w:bCs w:val="0"/>
                <w:color w:val="FF0000"/>
                <w:kern w:val="0"/>
                <w:sz w:val="21"/>
                <w:szCs w:val="21"/>
                <w:u w:val="none"/>
                <w:lang w:val="en-US" w:eastAsia="zh-CN" w:bidi="ar-SA"/>
              </w:rPr>
              <w:t>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60日历天，且配合现场实际施工情况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color w:val="FF0000"/>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lang w:eastAsia="zh-CN"/>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52045575"/>
      <w:bookmarkStart w:id="4" w:name="_Toc296602462"/>
      <w:bookmarkStart w:id="5" w:name="_Toc144974543"/>
      <w:bookmarkStart w:id="6" w:name="_Toc179632593"/>
      <w:bookmarkStart w:id="7" w:name="_Toc246996962"/>
      <w:bookmarkStart w:id="8" w:name="_Toc246996219"/>
      <w:bookmarkStart w:id="9" w:name="_Toc152042351"/>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52042352"/>
      <w:bookmarkStart w:id="13" w:name="_Toc247085734"/>
      <w:bookmarkStart w:id="14" w:name="_Toc144974544"/>
      <w:bookmarkStart w:id="15" w:name="_Toc296602463"/>
      <w:bookmarkStart w:id="16" w:name="_Toc152045576"/>
      <w:bookmarkStart w:id="17" w:name="_Toc246996963"/>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6996964"/>
      <w:bookmarkStart w:id="21" w:name="_Toc247085735"/>
      <w:bookmarkStart w:id="22" w:name="_Toc152042353"/>
      <w:bookmarkStart w:id="23" w:name="_Toc152045577"/>
      <w:bookmarkStart w:id="24" w:name="_Toc246996221"/>
      <w:bookmarkStart w:id="25" w:name="_Toc14497454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46996965"/>
      <w:bookmarkStart w:id="29" w:name="_Toc179632596"/>
      <w:bookmarkStart w:id="30" w:name="_Toc296602465"/>
      <w:bookmarkStart w:id="31" w:name="_Toc247085736"/>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152042356"/>
      <w:bookmarkStart w:id="38" w:name="_Toc246996223"/>
      <w:bookmarkStart w:id="39" w:name="_Toc152045579"/>
      <w:bookmarkStart w:id="40" w:name="_Toc179632597"/>
      <w:bookmarkStart w:id="41" w:name="_Toc246996966"/>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2"/>
        <w:rPr>
          <w:rFonts w:hint="eastAsia"/>
        </w:rPr>
      </w:pPr>
    </w:p>
    <w:tbl>
      <w:tblPr>
        <w:tblStyle w:val="14"/>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8</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4"/>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lang w:val="en-US" w:eastAsia="zh-CN"/>
        </w:rPr>
        <w:t>若劳务班组中标则</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地砖、PVC地胶地面、花岗岩、墙砖、乳胶漆、石膏板、铝扣板、硅钙板吊顶、轻钢龙骨、木饰面、管材</w:t>
      </w:r>
      <w:bookmarkStart w:id="45" w:name="_GoBack"/>
      <w:bookmarkEnd w:id="45"/>
      <w:r>
        <w:rPr>
          <w:rFonts w:hint="eastAsia" w:ascii="宋体" w:hAnsi="宋体" w:cs="TimesNewRomanPSMT"/>
          <w:b/>
          <w:bCs/>
          <w:color w:val="0000FF"/>
          <w:kern w:val="0"/>
          <w:szCs w:val="21"/>
          <w:u w:val="single"/>
          <w:lang w:val="en-US" w:eastAsia="zh-CN"/>
        </w:rPr>
        <w:t xml:space="preserve">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r>
        <w:rPr>
          <w:rFonts w:hint="eastAsia" w:ascii="宋体" w:hAnsi="宋体" w:cs="TimesNewRomanPSMT"/>
          <w:b/>
          <w:bCs/>
          <w:kern w:val="0"/>
          <w:szCs w:val="21"/>
          <w:lang w:eastAsia="zh-CN"/>
        </w:rPr>
        <w:t>；</w:t>
      </w:r>
      <w:r>
        <w:rPr>
          <w:rFonts w:hint="eastAsia" w:ascii="宋体" w:hAnsi="宋体" w:cs="TimesNewRomanPSMT"/>
          <w:b/>
          <w:bCs/>
          <w:kern w:val="0"/>
          <w:szCs w:val="21"/>
          <w:lang w:val="en-US" w:eastAsia="zh-CN"/>
        </w:rPr>
        <w:t>若专业分包班组中标所有材料投标人自行</w:t>
      </w:r>
      <w:r>
        <w:rPr>
          <w:rFonts w:hint="eastAsia" w:ascii="宋体" w:hAnsi="宋体" w:cs="TimesNewRomanPSMT"/>
          <w:b/>
          <w:bCs/>
          <w:kern w:val="0"/>
          <w:szCs w:val="21"/>
        </w:rPr>
        <w:t>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按月支付，</w:t>
      </w:r>
      <w:r>
        <w:rPr>
          <w:rFonts w:hint="eastAsia" w:ascii="宋体" w:hAnsi="宋体" w:cs="TimesNewRomanPSMT"/>
          <w:color w:val="FF0000"/>
          <w:kern w:val="0"/>
          <w:sz w:val="21"/>
          <w:szCs w:val="21"/>
        </w:rPr>
        <w:t>每月支付工程实际完成</w:t>
      </w:r>
      <w:r>
        <w:rPr>
          <w:rFonts w:hint="eastAsia" w:ascii="宋体" w:hAnsi="宋体" w:cs="TimesNewRomanPSMT"/>
          <w:color w:val="FF0000"/>
          <w:kern w:val="0"/>
          <w:sz w:val="21"/>
          <w:szCs w:val="21"/>
          <w:lang w:val="en-US" w:eastAsia="zh-CN"/>
        </w:rPr>
        <w:t>合格</w:t>
      </w:r>
      <w:r>
        <w:rPr>
          <w:rFonts w:hint="eastAsia" w:ascii="宋体" w:hAnsi="宋体" w:cs="TimesNewRomanPSMT"/>
          <w:color w:val="FF0000"/>
          <w:kern w:val="0"/>
          <w:sz w:val="21"/>
          <w:szCs w:val="21"/>
        </w:rPr>
        <w:t>工程量的</w:t>
      </w:r>
      <w:r>
        <w:rPr>
          <w:rFonts w:hint="eastAsia" w:ascii="宋体" w:hAnsi="宋体" w:cs="TimesNewRomanPSMT"/>
          <w:color w:val="FF0000"/>
          <w:kern w:val="0"/>
          <w:sz w:val="21"/>
          <w:szCs w:val="21"/>
          <w:lang w:val="en-US" w:eastAsia="zh-CN"/>
        </w:rPr>
        <w:t>50</w:t>
      </w:r>
      <w:r>
        <w:rPr>
          <w:rFonts w:hint="eastAsia" w:ascii="宋体" w:hAnsi="宋体" w:cs="TimesNewRomanPSMT"/>
          <w:color w:val="FF0000"/>
          <w:kern w:val="0"/>
          <w:sz w:val="21"/>
          <w:szCs w:val="21"/>
        </w:rPr>
        <w:t>%，整体完工后支付至实际完成</w:t>
      </w:r>
      <w:r>
        <w:rPr>
          <w:rFonts w:hint="eastAsia" w:ascii="宋体" w:hAnsi="宋体" w:cs="TimesNewRomanPSMT"/>
          <w:color w:val="FF0000"/>
          <w:kern w:val="0"/>
          <w:sz w:val="21"/>
          <w:szCs w:val="21"/>
          <w:lang w:val="en-US" w:eastAsia="zh-CN"/>
        </w:rPr>
        <w:t>合格</w:t>
      </w:r>
      <w:r>
        <w:rPr>
          <w:rFonts w:hint="eastAsia" w:ascii="宋体" w:hAnsi="宋体" w:cs="TimesNewRomanPSMT"/>
          <w:color w:val="FF0000"/>
          <w:kern w:val="0"/>
          <w:sz w:val="21"/>
          <w:szCs w:val="21"/>
        </w:rPr>
        <w:t>工程量的</w:t>
      </w:r>
      <w:r>
        <w:rPr>
          <w:rFonts w:hint="eastAsia" w:ascii="宋体" w:hAnsi="宋体" w:cs="TimesNewRomanPSMT"/>
          <w:color w:val="FF0000"/>
          <w:kern w:val="0"/>
          <w:sz w:val="21"/>
          <w:szCs w:val="21"/>
          <w:lang w:val="en-US" w:eastAsia="zh-CN"/>
        </w:rPr>
        <w:t>50</w:t>
      </w:r>
      <w:r>
        <w:rPr>
          <w:rFonts w:hint="eastAsia" w:ascii="宋体" w:hAnsi="宋体" w:cs="TimesNewRomanPSMT"/>
          <w:color w:val="FF0000"/>
          <w:kern w:val="0"/>
          <w:sz w:val="21"/>
          <w:szCs w:val="21"/>
        </w:rPr>
        <w:t>%，整体竣工验收完成后凭竣工验收证书、项目移交证书及完成送审结算资料后支付至实际完成工程量的75%，待结算审计完成后支付至审计价的95%，尾款待保修期满后在一个月内结清（无息）。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pStyle w:val="4"/>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rPr>
      </w:pPr>
      <w:r>
        <w:rPr>
          <w:rFonts w:hint="eastAsia" w:ascii="宋体" w:hAnsi="宋体" w:cs="TimesNewRomanPSMT"/>
          <w:kern w:val="0"/>
          <w:szCs w:val="21"/>
        </w:rPr>
        <w:t>详见报价书。</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劳务承包合同</w:t>
      </w:r>
      <w:r>
        <w:rPr>
          <w:rFonts w:hint="eastAsia" w:ascii="宋体" w:hAnsi="宋体" w:cs="宋体"/>
          <w:b/>
          <w:bCs/>
          <w:color w:val="auto"/>
          <w:sz w:val="30"/>
          <w:szCs w:val="30"/>
          <w:lang w:val="en-US" w:eastAsia="zh-CN"/>
        </w:rPr>
        <w:t>/专业承包合同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autoSpaceDE w:val="0"/>
        <w:autoSpaceDN w:val="0"/>
        <w:adjustRightInd w:val="0"/>
        <w:spacing w:line="240" w:lineRule="auto"/>
        <w:ind w:firstLine="420" w:firstLineChars="200"/>
        <w:jc w:val="left"/>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color w:val="auto"/>
          <w:kern w:val="0"/>
          <w:sz w:val="21"/>
          <w:szCs w:val="21"/>
        </w:rPr>
        <w:t>每月支付工程实际完成</w:t>
      </w:r>
      <w:r>
        <w:rPr>
          <w:rFonts w:hint="eastAsia" w:ascii="宋体" w:hAnsi="宋体" w:cs="TimesNewRomanPSMT"/>
          <w:color w:val="auto"/>
          <w:kern w:val="0"/>
          <w:sz w:val="21"/>
          <w:szCs w:val="21"/>
          <w:lang w:val="en-US" w:eastAsia="zh-CN"/>
        </w:rPr>
        <w:t>合格</w:t>
      </w:r>
      <w:r>
        <w:rPr>
          <w:rFonts w:hint="eastAsia" w:ascii="宋体" w:hAnsi="宋体" w:cs="TimesNewRomanPSMT"/>
          <w:color w:val="auto"/>
          <w:kern w:val="0"/>
          <w:sz w:val="21"/>
          <w:szCs w:val="21"/>
        </w:rPr>
        <w:t>工程量的</w:t>
      </w:r>
      <w:r>
        <w:rPr>
          <w:rFonts w:hint="eastAsia" w:ascii="宋体" w:hAnsi="宋体" w:cs="TimesNewRomanPSMT"/>
          <w:color w:val="auto"/>
          <w:kern w:val="0"/>
          <w:sz w:val="21"/>
          <w:szCs w:val="21"/>
          <w:lang w:val="en-US" w:eastAsia="zh-CN"/>
        </w:rPr>
        <w:t>50</w:t>
      </w:r>
      <w:r>
        <w:rPr>
          <w:rFonts w:hint="eastAsia" w:ascii="宋体" w:hAnsi="宋体" w:cs="TimesNewRomanPSMT"/>
          <w:color w:val="auto"/>
          <w:kern w:val="0"/>
          <w:sz w:val="21"/>
          <w:szCs w:val="21"/>
        </w:rPr>
        <w:t>%，整体完工后支付至实际完成</w:t>
      </w:r>
      <w:r>
        <w:rPr>
          <w:rFonts w:hint="eastAsia" w:ascii="宋体" w:hAnsi="宋体" w:cs="TimesNewRomanPSMT"/>
          <w:color w:val="auto"/>
          <w:kern w:val="0"/>
          <w:sz w:val="21"/>
          <w:szCs w:val="21"/>
          <w:lang w:val="en-US" w:eastAsia="zh-CN"/>
        </w:rPr>
        <w:t>合格</w:t>
      </w:r>
      <w:r>
        <w:rPr>
          <w:rFonts w:hint="eastAsia" w:ascii="宋体" w:hAnsi="宋体" w:cs="TimesNewRomanPSMT"/>
          <w:color w:val="auto"/>
          <w:kern w:val="0"/>
          <w:sz w:val="21"/>
          <w:szCs w:val="21"/>
        </w:rPr>
        <w:t>工程量的</w:t>
      </w:r>
      <w:r>
        <w:rPr>
          <w:rFonts w:hint="eastAsia" w:ascii="宋体" w:hAnsi="宋体" w:cs="TimesNewRomanPSMT"/>
          <w:color w:val="auto"/>
          <w:kern w:val="0"/>
          <w:sz w:val="21"/>
          <w:szCs w:val="21"/>
          <w:lang w:val="en-US" w:eastAsia="zh-CN"/>
        </w:rPr>
        <w:t>50</w:t>
      </w:r>
      <w:r>
        <w:rPr>
          <w:rFonts w:hint="eastAsia" w:ascii="宋体" w:hAnsi="宋体" w:cs="TimesNewRomanPSMT"/>
          <w:color w:val="auto"/>
          <w:kern w:val="0"/>
          <w:sz w:val="21"/>
          <w:szCs w:val="21"/>
        </w:rPr>
        <w:t>%，整体竣工验收完成后凭竣工验收证书、项目移交证书及完成送审结算资料后支付至实际完成工程量的75%，待结算审计完成后支付至审计价的95%，尾款待保修期满后在一个月内结清（无息）。</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八、《施工组织设计》</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九、《重难点关键工程的施工方案》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十、《质量安全进度保障方案》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十一、《信誉及业绩评价》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十二、《投标人认为需要提交的其它资料》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A16E5B"/>
    <w:rsid w:val="02BA3F8E"/>
    <w:rsid w:val="02D15D88"/>
    <w:rsid w:val="02D405EB"/>
    <w:rsid w:val="02E749BB"/>
    <w:rsid w:val="032D0193"/>
    <w:rsid w:val="0367677F"/>
    <w:rsid w:val="03676E56"/>
    <w:rsid w:val="03A00125"/>
    <w:rsid w:val="03A94B82"/>
    <w:rsid w:val="03B915ED"/>
    <w:rsid w:val="03D11D4A"/>
    <w:rsid w:val="03E93802"/>
    <w:rsid w:val="043A0533"/>
    <w:rsid w:val="04516A79"/>
    <w:rsid w:val="04573C41"/>
    <w:rsid w:val="0462666F"/>
    <w:rsid w:val="046F6042"/>
    <w:rsid w:val="047A724B"/>
    <w:rsid w:val="048C7683"/>
    <w:rsid w:val="04997A93"/>
    <w:rsid w:val="04A27AD6"/>
    <w:rsid w:val="04BC175B"/>
    <w:rsid w:val="04DA4E56"/>
    <w:rsid w:val="04EB7E87"/>
    <w:rsid w:val="05124135"/>
    <w:rsid w:val="051E0E9A"/>
    <w:rsid w:val="052D6729"/>
    <w:rsid w:val="05361AC6"/>
    <w:rsid w:val="05504736"/>
    <w:rsid w:val="055B5E8C"/>
    <w:rsid w:val="05846E99"/>
    <w:rsid w:val="059841B5"/>
    <w:rsid w:val="05BF6198"/>
    <w:rsid w:val="05F7114B"/>
    <w:rsid w:val="05F717DB"/>
    <w:rsid w:val="064233C9"/>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352B6"/>
    <w:rsid w:val="08D46119"/>
    <w:rsid w:val="09121956"/>
    <w:rsid w:val="09361A12"/>
    <w:rsid w:val="09374B35"/>
    <w:rsid w:val="093C44A0"/>
    <w:rsid w:val="09451A80"/>
    <w:rsid w:val="099F3E40"/>
    <w:rsid w:val="09B54D47"/>
    <w:rsid w:val="09B745A5"/>
    <w:rsid w:val="09CF5737"/>
    <w:rsid w:val="0A2441B5"/>
    <w:rsid w:val="0A5A5EBE"/>
    <w:rsid w:val="0A6B27F2"/>
    <w:rsid w:val="0A86042B"/>
    <w:rsid w:val="0AAC6BE4"/>
    <w:rsid w:val="0AB32181"/>
    <w:rsid w:val="0AB61377"/>
    <w:rsid w:val="0AD4553E"/>
    <w:rsid w:val="0ADE2021"/>
    <w:rsid w:val="0AE66846"/>
    <w:rsid w:val="0B056ACF"/>
    <w:rsid w:val="0B341A54"/>
    <w:rsid w:val="0B3D39AE"/>
    <w:rsid w:val="0B4A311D"/>
    <w:rsid w:val="0B5049E5"/>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802F9"/>
    <w:rsid w:val="0D2C7836"/>
    <w:rsid w:val="0D2C79B1"/>
    <w:rsid w:val="0D3764E2"/>
    <w:rsid w:val="0D395ADB"/>
    <w:rsid w:val="0DA10CD9"/>
    <w:rsid w:val="0DAA3778"/>
    <w:rsid w:val="0DC937C0"/>
    <w:rsid w:val="0DD46DDA"/>
    <w:rsid w:val="0DDE73FA"/>
    <w:rsid w:val="0DF17868"/>
    <w:rsid w:val="0E145894"/>
    <w:rsid w:val="0E35686A"/>
    <w:rsid w:val="0E377D9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5F1E24"/>
    <w:rsid w:val="10B412E9"/>
    <w:rsid w:val="10C20877"/>
    <w:rsid w:val="10C20BDE"/>
    <w:rsid w:val="10CB7B87"/>
    <w:rsid w:val="10EE5A6A"/>
    <w:rsid w:val="11016360"/>
    <w:rsid w:val="11151C5F"/>
    <w:rsid w:val="11342AE3"/>
    <w:rsid w:val="113B73CF"/>
    <w:rsid w:val="11547BE0"/>
    <w:rsid w:val="115E2150"/>
    <w:rsid w:val="11C529F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75A7D"/>
    <w:rsid w:val="13D976F7"/>
    <w:rsid w:val="13F6007C"/>
    <w:rsid w:val="149B3D57"/>
    <w:rsid w:val="14BD4BDD"/>
    <w:rsid w:val="14DD050E"/>
    <w:rsid w:val="14DE7E9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E76070"/>
    <w:rsid w:val="17FC683D"/>
    <w:rsid w:val="18172F94"/>
    <w:rsid w:val="18367CDA"/>
    <w:rsid w:val="187B2D1C"/>
    <w:rsid w:val="18A373BF"/>
    <w:rsid w:val="18E75295"/>
    <w:rsid w:val="18F2566E"/>
    <w:rsid w:val="18F5009D"/>
    <w:rsid w:val="191C650D"/>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A8484B"/>
    <w:rsid w:val="1ABE2171"/>
    <w:rsid w:val="1ACF5074"/>
    <w:rsid w:val="1AE920DA"/>
    <w:rsid w:val="1AFF2799"/>
    <w:rsid w:val="1B001AC7"/>
    <w:rsid w:val="1B102A59"/>
    <w:rsid w:val="1B13565A"/>
    <w:rsid w:val="1B141717"/>
    <w:rsid w:val="1B5A6839"/>
    <w:rsid w:val="1B6A60FA"/>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CE91E92"/>
    <w:rsid w:val="1D2E3157"/>
    <w:rsid w:val="1D39497B"/>
    <w:rsid w:val="1D4E748C"/>
    <w:rsid w:val="1D8B208F"/>
    <w:rsid w:val="1D8E30F7"/>
    <w:rsid w:val="1D9E02DC"/>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413883"/>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BB1B2D"/>
    <w:rsid w:val="25C11A13"/>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B830E8"/>
    <w:rsid w:val="27E155EC"/>
    <w:rsid w:val="280B7FEB"/>
    <w:rsid w:val="282E04AF"/>
    <w:rsid w:val="28450F6C"/>
    <w:rsid w:val="284C16B1"/>
    <w:rsid w:val="28577024"/>
    <w:rsid w:val="28A66FD2"/>
    <w:rsid w:val="28F60FCD"/>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7C37E7"/>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0F25F6B"/>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B00BC9"/>
    <w:rsid w:val="34B93D28"/>
    <w:rsid w:val="34C01173"/>
    <w:rsid w:val="34C67B9A"/>
    <w:rsid w:val="34CD7662"/>
    <w:rsid w:val="34E1016E"/>
    <w:rsid w:val="34E300BF"/>
    <w:rsid w:val="351F234A"/>
    <w:rsid w:val="35357839"/>
    <w:rsid w:val="35530BF6"/>
    <w:rsid w:val="35A81BAD"/>
    <w:rsid w:val="35A84571"/>
    <w:rsid w:val="360C2571"/>
    <w:rsid w:val="360D6341"/>
    <w:rsid w:val="36125C99"/>
    <w:rsid w:val="36621334"/>
    <w:rsid w:val="36AA2F1D"/>
    <w:rsid w:val="36C23B26"/>
    <w:rsid w:val="36F32FEF"/>
    <w:rsid w:val="36F9389F"/>
    <w:rsid w:val="37727DA2"/>
    <w:rsid w:val="37BC4D26"/>
    <w:rsid w:val="37C2711A"/>
    <w:rsid w:val="3822589D"/>
    <w:rsid w:val="38294778"/>
    <w:rsid w:val="383B7004"/>
    <w:rsid w:val="38730D8C"/>
    <w:rsid w:val="38761F63"/>
    <w:rsid w:val="388279D2"/>
    <w:rsid w:val="388A25D9"/>
    <w:rsid w:val="38A05EBA"/>
    <w:rsid w:val="38E73337"/>
    <w:rsid w:val="39371CF5"/>
    <w:rsid w:val="394E7DD5"/>
    <w:rsid w:val="396A5DF5"/>
    <w:rsid w:val="396F20BC"/>
    <w:rsid w:val="39734A06"/>
    <w:rsid w:val="39A8483F"/>
    <w:rsid w:val="39CB0253"/>
    <w:rsid w:val="39CB45BD"/>
    <w:rsid w:val="39FC39DC"/>
    <w:rsid w:val="3A0F0192"/>
    <w:rsid w:val="3A142266"/>
    <w:rsid w:val="3A23599A"/>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C86D0F"/>
    <w:rsid w:val="3BDF3482"/>
    <w:rsid w:val="3C0D04CE"/>
    <w:rsid w:val="3C36656E"/>
    <w:rsid w:val="3C65226A"/>
    <w:rsid w:val="3CB26924"/>
    <w:rsid w:val="3CB97B26"/>
    <w:rsid w:val="3CEC1361"/>
    <w:rsid w:val="3CFF508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138EF"/>
    <w:rsid w:val="42521512"/>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64FBE"/>
    <w:rsid w:val="450A0BF0"/>
    <w:rsid w:val="453D438D"/>
    <w:rsid w:val="45657083"/>
    <w:rsid w:val="456617F3"/>
    <w:rsid w:val="457A0E7B"/>
    <w:rsid w:val="45972A9B"/>
    <w:rsid w:val="45B10D60"/>
    <w:rsid w:val="45CC74A1"/>
    <w:rsid w:val="45FF67F1"/>
    <w:rsid w:val="46333FC8"/>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9B22D26"/>
    <w:rsid w:val="4A370ED7"/>
    <w:rsid w:val="4A600199"/>
    <w:rsid w:val="4AD61D8B"/>
    <w:rsid w:val="4B550A11"/>
    <w:rsid w:val="4B5C5CDE"/>
    <w:rsid w:val="4B6978CC"/>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55B30"/>
    <w:rsid w:val="5277467D"/>
    <w:rsid w:val="528A7AE7"/>
    <w:rsid w:val="529A2FFC"/>
    <w:rsid w:val="529C2335"/>
    <w:rsid w:val="52F04997"/>
    <w:rsid w:val="53832185"/>
    <w:rsid w:val="53920CEE"/>
    <w:rsid w:val="53CC50AE"/>
    <w:rsid w:val="53FC1CCB"/>
    <w:rsid w:val="53FC752F"/>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4156CE"/>
    <w:rsid w:val="56737795"/>
    <w:rsid w:val="56912411"/>
    <w:rsid w:val="569C2904"/>
    <w:rsid w:val="56A2724A"/>
    <w:rsid w:val="56AB1218"/>
    <w:rsid w:val="56AE6979"/>
    <w:rsid w:val="56BC578B"/>
    <w:rsid w:val="56DB6F8E"/>
    <w:rsid w:val="56E04310"/>
    <w:rsid w:val="570A03DE"/>
    <w:rsid w:val="57255C57"/>
    <w:rsid w:val="57272949"/>
    <w:rsid w:val="578F351C"/>
    <w:rsid w:val="57C12963"/>
    <w:rsid w:val="57DC33A1"/>
    <w:rsid w:val="58064939"/>
    <w:rsid w:val="58430DCC"/>
    <w:rsid w:val="58513B77"/>
    <w:rsid w:val="586303D1"/>
    <w:rsid w:val="586A6EB3"/>
    <w:rsid w:val="587040B4"/>
    <w:rsid w:val="587126BA"/>
    <w:rsid w:val="588501DB"/>
    <w:rsid w:val="58CF09EC"/>
    <w:rsid w:val="58D74BC6"/>
    <w:rsid w:val="58DA7D32"/>
    <w:rsid w:val="58E30090"/>
    <w:rsid w:val="58FB44CF"/>
    <w:rsid w:val="593512BC"/>
    <w:rsid w:val="59370951"/>
    <w:rsid w:val="59422BD6"/>
    <w:rsid w:val="594611C8"/>
    <w:rsid w:val="597623F7"/>
    <w:rsid w:val="599855CB"/>
    <w:rsid w:val="59AC7755"/>
    <w:rsid w:val="59D35FCF"/>
    <w:rsid w:val="59E27657"/>
    <w:rsid w:val="59E618A3"/>
    <w:rsid w:val="5A03560E"/>
    <w:rsid w:val="5A2D770C"/>
    <w:rsid w:val="5A3857B2"/>
    <w:rsid w:val="5A8D6E22"/>
    <w:rsid w:val="5B051866"/>
    <w:rsid w:val="5B170EC1"/>
    <w:rsid w:val="5B1E125F"/>
    <w:rsid w:val="5B523BA8"/>
    <w:rsid w:val="5B5C3848"/>
    <w:rsid w:val="5B617A31"/>
    <w:rsid w:val="5B9073F7"/>
    <w:rsid w:val="5BAA245B"/>
    <w:rsid w:val="5C084785"/>
    <w:rsid w:val="5C0A126A"/>
    <w:rsid w:val="5C273957"/>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474BA2"/>
    <w:rsid w:val="645D295C"/>
    <w:rsid w:val="64626C3E"/>
    <w:rsid w:val="64C915A1"/>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D45A6F"/>
    <w:rsid w:val="66EE52A3"/>
    <w:rsid w:val="66FE6CC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500F88"/>
    <w:rsid w:val="69DF144F"/>
    <w:rsid w:val="6A0D0E38"/>
    <w:rsid w:val="6A5D01A4"/>
    <w:rsid w:val="6AA00E50"/>
    <w:rsid w:val="6ABA4B0F"/>
    <w:rsid w:val="6ACB20FD"/>
    <w:rsid w:val="6B2B2B84"/>
    <w:rsid w:val="6B6E1D88"/>
    <w:rsid w:val="6B963D85"/>
    <w:rsid w:val="6BC24DC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E406F4"/>
    <w:rsid w:val="73F522EE"/>
    <w:rsid w:val="74271298"/>
    <w:rsid w:val="74766500"/>
    <w:rsid w:val="748962D3"/>
    <w:rsid w:val="74C817E9"/>
    <w:rsid w:val="74D13C2A"/>
    <w:rsid w:val="75322E1E"/>
    <w:rsid w:val="75673AA6"/>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14BC8"/>
    <w:rsid w:val="779F3D83"/>
    <w:rsid w:val="77AF3E74"/>
    <w:rsid w:val="77C701A9"/>
    <w:rsid w:val="77D5581E"/>
    <w:rsid w:val="77E93077"/>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1B48DE"/>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DFC77ED"/>
    <w:rsid w:val="7E1259A1"/>
    <w:rsid w:val="7E334C61"/>
    <w:rsid w:val="7E4328CE"/>
    <w:rsid w:val="7ECF6A67"/>
    <w:rsid w:val="7EEC1F1A"/>
    <w:rsid w:val="7EF017CD"/>
    <w:rsid w:val="7EF121CF"/>
    <w:rsid w:val="7F1F3F0B"/>
    <w:rsid w:val="7F3A4641"/>
    <w:rsid w:val="7F4F4E90"/>
    <w:rsid w:val="7F535D87"/>
    <w:rsid w:val="7F5C6627"/>
    <w:rsid w:val="7FA018BD"/>
    <w:rsid w:val="7FA51C53"/>
    <w:rsid w:val="7FBD6439"/>
    <w:rsid w:val="7FBF5BEF"/>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0</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2022-01-19T07:07:00Z</cp:lastPrinted>
  <dcterms:modified xsi:type="dcterms:W3CDTF">2022-01-20T01:33:58Z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