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南浔区医疗集团善琏、旧馆卫生院智能化专业分包工程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keepNext w:val="0"/>
        <w:keepLines w:val="0"/>
        <w:pageBreakBefore w:val="0"/>
        <w:widowControl w:val="0"/>
        <w:kinsoku/>
        <w:wordWrap/>
        <w:overflowPunct/>
        <w:topLinePunct w:val="0"/>
        <w:bidi w:val="0"/>
        <w:adjustRightInd w:val="0"/>
        <w:snapToGrid/>
        <w:spacing w:line="44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南浔区医疗集团善琏、旧馆卫生院智能化专业分包工程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南浔区医疗集团善琏、旧馆卫生院智能化工程，其中旧馆卫生院为建筑地下一层、地上4层；建筑面积10862.12平方米；综合楼按照功能分布分为：地下一层为停车空间，地面一楼二楼为门诊及急诊功能，三楼为住院层，四楼是行政办公层；数据机房设置于综合楼4F信息机房，监控显示单元设置于传达室消控室</w:t>
      </w:r>
      <w:r>
        <w:rPr>
          <w:rFonts w:hint="default" w:ascii="宋体" w:hAnsi="宋体" w:eastAsia="宋体" w:cs="宋体"/>
          <w:b w:val="0"/>
          <w:bCs w:val="0"/>
          <w:color w:val="FF0000"/>
          <w:kern w:val="0"/>
          <w:sz w:val="21"/>
          <w:szCs w:val="21"/>
          <w:u w:val="none"/>
          <w:lang w:val="zh-CN" w:eastAsia="zh-CN" w:bidi="ar-SA"/>
        </w:rPr>
        <w:t>。</w:t>
      </w:r>
      <w:r>
        <w:rPr>
          <w:rFonts w:hint="eastAsia" w:ascii="宋体" w:hAnsi="宋体" w:cs="宋体"/>
          <w:b w:val="0"/>
          <w:bCs w:val="0"/>
          <w:color w:val="FF0000"/>
          <w:kern w:val="0"/>
          <w:sz w:val="21"/>
          <w:szCs w:val="21"/>
          <w:u w:val="none"/>
          <w:lang w:val="en-US" w:eastAsia="zh-CN" w:bidi="ar-SA"/>
        </w:rPr>
        <w:t>善琏院区为建筑地上3层，一层为诊室3间、检验中心、心电、彩超、中药房、西药房、门诊输液室、消控室等；二层为病房13间、护士站、急诊输液室等；三层为产科门诊2间、牙科2间、预防接种4间、手术室、医生办公室、儿保、信息中心机房等，病房9间、手术室、麻醉、医生办公室。</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南浔区医疗集团善琏、旧馆卫生院智能化系统布线及相关设备设施</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南浔区医疗集团善琏、旧馆卫生院智能化专业分包工程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宋体"/>
          <w:b w:val="0"/>
          <w:bCs w:val="0"/>
          <w:color w:val="FF0000"/>
          <w:kern w:val="0"/>
          <w:sz w:val="21"/>
          <w:szCs w:val="21"/>
          <w:u w:val="none"/>
          <w:lang w:val="en-US" w:eastAsia="zh-CN"/>
        </w:rPr>
        <w:t>南浔区医疗集团</w:t>
      </w:r>
      <w:r>
        <w:rPr>
          <w:rFonts w:hint="eastAsia" w:cs="TimesNewRomanPSMT"/>
          <w:b w:val="0"/>
          <w:bCs w:val="0"/>
          <w:color w:val="FF0000"/>
          <w:kern w:val="0"/>
          <w:sz w:val="21"/>
          <w:szCs w:val="21"/>
          <w:lang w:val="en-US" w:eastAsia="zh-CN"/>
        </w:rPr>
        <w:t>旧馆、善琏院区的</w:t>
      </w:r>
      <w:r>
        <w:rPr>
          <w:rFonts w:hint="eastAsia" w:ascii="宋体" w:hAnsi="宋体" w:cs="宋体"/>
          <w:b w:val="0"/>
          <w:bCs w:val="0"/>
          <w:color w:val="FF0000"/>
          <w:kern w:val="0"/>
          <w:sz w:val="21"/>
          <w:szCs w:val="21"/>
          <w:u w:val="none"/>
          <w:lang w:val="en-US" w:eastAsia="zh-CN"/>
        </w:rPr>
        <w:t>综合布线系统、语音通信系统、时钟系统、信息网络系统、信息发布系统、排队叫号系统、医用呼叫对讲系统</w:t>
      </w:r>
      <w:r>
        <w:rPr>
          <w:rFonts w:hint="eastAsia" w:cs="宋体"/>
          <w:b w:val="0"/>
          <w:bCs w:val="0"/>
          <w:color w:val="FF0000"/>
          <w:kern w:val="0"/>
          <w:sz w:val="21"/>
          <w:szCs w:val="21"/>
          <w:u w:val="none"/>
          <w:lang w:val="en-US" w:eastAsia="zh-CN"/>
        </w:rPr>
        <w:t>、闭路视频监控系统、电梯五方通话系统、一卡通门禁系统、电子巡更系统、公共广播系统、多媒体会议系统、机房工程、防雷接地系统、综合管路系统等的施工及相关设备设施的采购及安装</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，设备品牌以招标人及业主要求为准，</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cs="宋体"/>
          <w:b w:val="0"/>
          <w:bCs w:val="0"/>
          <w:color w:val="FF0000"/>
          <w:kern w:val="0"/>
          <w:sz w:val="21"/>
          <w:szCs w:val="21"/>
          <w:u w:val="none"/>
          <w:lang w:val="en-US" w:eastAsia="zh-CN" w:bidi="ar-SA"/>
        </w:rPr>
        <w:t>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b/>
          <w:bCs/>
          <w:color w:val="0000FF"/>
          <w:spacing w:val="-1"/>
          <w:u w:val="none"/>
          <w:lang w:val="zh-CN"/>
        </w:rPr>
        <w:t>电子与智能化工程</w:t>
      </w:r>
      <w:r>
        <w:rPr>
          <w:rFonts w:hint="eastAsia" w:ascii="宋体" w:hAnsi="宋体" w:cs="宋体"/>
          <w:b/>
          <w:bCs/>
          <w:color w:val="0000FF"/>
          <w:spacing w:val="-1"/>
          <w:u w:val="none"/>
          <w:lang w:val="en-US" w:eastAsia="zh-CN"/>
        </w:rPr>
        <w:t>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2022年1月20日至2022年1月24日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w:t>
      </w:r>
      <w:r>
        <w:rPr>
          <w:rFonts w:hint="eastAsia" w:ascii="宋体" w:hAnsi="宋体" w:cs="仿宋_GB2312"/>
          <w:kern w:val="0"/>
          <w:sz w:val="21"/>
          <w:szCs w:val="21"/>
          <w:lang w:val="en-US" w:eastAsia="zh-CN"/>
        </w:rPr>
        <w:t>二楼开标室</w:t>
      </w:r>
      <w:r>
        <w:rPr>
          <w:rFonts w:hint="eastAsia" w:ascii="宋体" w:hAnsi="宋体" w:cs="仿宋_GB2312"/>
          <w:kern w:val="0"/>
          <w:sz w:val="21"/>
          <w:szCs w:val="21"/>
        </w:rPr>
        <w:t>，投标文件采取书递交的形式，装订密封。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暂估价430万元，其中善琏院区130万元，旧馆院区300万元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default" w:ascii="宋体" w:hAnsi="宋体" w:cs="TimesNewRomanPSMT"/>
          <w:b/>
          <w:kern w:val="0"/>
          <w:sz w:val="21"/>
          <w:szCs w:val="21"/>
          <w:lang w:val="en-US" w:eastAsia="zh-CN"/>
        </w:rPr>
      </w:pPr>
      <w:r>
        <w:rPr>
          <w:rFonts w:hint="eastAsia" w:ascii="宋体" w:hAnsi="宋体" w:cs="TimesNewRomanPSMT"/>
          <w:b/>
          <w:kern w:val="0"/>
          <w:sz w:val="21"/>
          <w:szCs w:val="21"/>
          <w:lang w:val="en-US" w:eastAsia="zh-CN"/>
        </w:rPr>
        <w:t>6.质保期：</w:t>
      </w:r>
      <w:r>
        <w:rPr>
          <w:rFonts w:hint="eastAsia" w:ascii="宋体" w:hAnsi="宋体" w:cs="TimesNewRomanPSMT"/>
          <w:b w:val="0"/>
          <w:bCs/>
          <w:kern w:val="0"/>
          <w:sz w:val="21"/>
          <w:szCs w:val="21"/>
          <w:lang w:val="en-US" w:eastAsia="zh-CN"/>
        </w:rPr>
        <w:t>两年</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南浔区医疗集团善琏、旧馆卫生院智能化专业分包工程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南浔区医疗集团</w:t>
            </w:r>
            <w:r>
              <w:rPr>
                <w:rFonts w:hint="eastAsia" w:cs="TimesNewRomanPSMT"/>
                <w:b w:val="0"/>
                <w:bCs w:val="0"/>
                <w:color w:val="FF0000"/>
                <w:kern w:val="0"/>
                <w:sz w:val="21"/>
                <w:szCs w:val="21"/>
                <w:lang w:val="en-US" w:eastAsia="zh-CN"/>
              </w:rPr>
              <w:t>旧馆、善琏院区的</w:t>
            </w:r>
            <w:r>
              <w:rPr>
                <w:rFonts w:hint="eastAsia" w:ascii="宋体" w:hAnsi="宋体" w:cs="宋体"/>
                <w:b w:val="0"/>
                <w:bCs w:val="0"/>
                <w:color w:val="FF0000"/>
                <w:kern w:val="0"/>
                <w:sz w:val="21"/>
                <w:szCs w:val="21"/>
                <w:u w:val="none"/>
                <w:lang w:val="en-US" w:eastAsia="zh-CN"/>
              </w:rPr>
              <w:t>综合布线系统、语音通信系统、时钟系统、信息网络系统、信息发布系统、排队叫号系统、医用呼叫对讲系统</w:t>
            </w:r>
            <w:r>
              <w:rPr>
                <w:rFonts w:hint="eastAsia" w:cs="宋体"/>
                <w:b w:val="0"/>
                <w:bCs w:val="0"/>
                <w:color w:val="FF0000"/>
                <w:kern w:val="0"/>
                <w:sz w:val="21"/>
                <w:szCs w:val="21"/>
                <w:u w:val="none"/>
                <w:lang w:val="en-US" w:eastAsia="zh-CN"/>
              </w:rPr>
              <w:t>、闭路视频监控系统、电梯五方通话系统、一卡通门禁系统、电子巡更系统、公共广播系统、多媒体会议系统、机房工程、防雷接地系统、综合管路系统等的施工及相关设备设施的采购及安装</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，设备品牌以招标人及业主要求为准，</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cs="宋体"/>
                <w:b w:val="0"/>
                <w:bCs w:val="0"/>
                <w:color w:val="FF0000"/>
                <w:kern w:val="0"/>
                <w:sz w:val="21"/>
                <w:szCs w:val="21"/>
                <w:u w:val="none"/>
                <w:lang w:val="en-US" w:eastAsia="zh-CN" w:bidi="ar-SA"/>
              </w:rPr>
              <w:t>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善琏院区：60日历天；旧馆院区：60日历天，且配合现场实际施工情况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color w:val="FF0000"/>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lang w:eastAsia="zh-CN"/>
        </w:rPr>
      </w:pPr>
      <w:r>
        <w:rPr>
          <w:rFonts w:ascii="宋体" w:hAnsi="宋体" w:cs="TimesNewRomanPSMT"/>
          <w:kern w:val="0"/>
          <w:szCs w:val="21"/>
        </w:rPr>
        <w:t xml:space="preserve">7.3 </w:t>
      </w:r>
      <w:r>
        <w:rPr>
          <w:rFonts w:hint="eastAsia" w:ascii="宋体" w:hAnsi="宋体" w:cs="黑体"/>
          <w:kern w:val="0"/>
          <w:szCs w:val="21"/>
        </w:rPr>
        <w:t>履约担保</w:t>
      </w:r>
      <w:r>
        <w:rPr>
          <w:rFonts w:hint="eastAsia" w:ascii="宋体" w:hAnsi="宋体" w:cs="黑体"/>
          <w:kern w:val="0"/>
          <w:szCs w:val="21"/>
          <w:lang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219"/>
      <w:bookmarkStart w:id="3" w:name="_Toc152042351"/>
      <w:bookmarkStart w:id="4" w:name="_Toc246996962"/>
      <w:bookmarkStart w:id="5" w:name="_Toc296590983"/>
      <w:bookmarkStart w:id="6" w:name="_Toc144974543"/>
      <w:bookmarkStart w:id="7" w:name="_Toc296602462"/>
      <w:bookmarkStart w:id="8" w:name="_Toc247085733"/>
      <w:bookmarkStart w:id="9" w:name="_Toc179632593"/>
      <w:bookmarkStart w:id="10" w:name="_Toc152045575"/>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246996220"/>
      <w:bookmarkStart w:id="13" w:name="_Toc152042352"/>
      <w:bookmarkStart w:id="14" w:name="_Toc247085734"/>
      <w:bookmarkStart w:id="15" w:name="_Toc152045576"/>
      <w:bookmarkStart w:id="16" w:name="_Toc144974544"/>
      <w:bookmarkStart w:id="17" w:name="_Toc17963259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152042353"/>
      <w:bookmarkStart w:id="21" w:name="_Toc246996964"/>
      <w:bookmarkStart w:id="22" w:name="_Toc144974545"/>
      <w:bookmarkStart w:id="23" w:name="_Toc247085735"/>
      <w:bookmarkStart w:id="24" w:name="_Toc246996221"/>
      <w:bookmarkStart w:id="25" w:name="_Toc17963259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47085736"/>
      <w:bookmarkStart w:id="29" w:name="_Toc246996965"/>
      <w:bookmarkStart w:id="30" w:name="_Toc296602465"/>
      <w:bookmarkStart w:id="31" w:name="_Toc179632596"/>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96602466"/>
      <w:bookmarkStart w:id="38" w:name="_Toc246996223"/>
      <w:bookmarkStart w:id="39" w:name="_Toc246996966"/>
      <w:bookmarkStart w:id="40" w:name="_Toc152042356"/>
      <w:bookmarkStart w:id="41" w:name="_Toc247085737"/>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2"/>
        <w:rPr>
          <w:rFonts w:hint="eastAsia"/>
        </w:rPr>
      </w:pPr>
    </w:p>
    <w:tbl>
      <w:tblPr>
        <w:tblStyle w:val="14"/>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w:t>
            </w:r>
            <w:r>
              <w:rPr>
                <w:rFonts w:hint="eastAsia" w:ascii="宋体" w:hAnsi="宋体" w:cs="宋体"/>
                <w:color w:val="000000"/>
                <w:sz w:val="21"/>
                <w:szCs w:val="21"/>
                <w:lang w:val="en-US" w:eastAsia="zh-CN"/>
              </w:rPr>
              <w:t>0</w:t>
            </w:r>
            <w:bookmarkStart w:id="45" w:name="_GoBack"/>
            <w:bookmarkEnd w:id="45"/>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8</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pStyle w:val="4"/>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pStyle w:val="2"/>
        <w:rPr>
          <w:rFonts w:hint="eastAsia" w:ascii="宋体" w:hAnsi="宋体" w:cs="TimesNewRomanPSMT"/>
          <w:b/>
          <w:kern w:val="0"/>
          <w:szCs w:val="21"/>
        </w:rPr>
      </w:pPr>
    </w:p>
    <w:p>
      <w:pPr>
        <w:pStyle w:val="4"/>
        <w:rPr>
          <w:rFonts w:hint="eastAsia" w:ascii="宋体" w:hAnsi="宋体" w:cs="TimesNewRomanPSMT"/>
          <w:b/>
          <w:kern w:val="0"/>
          <w:szCs w:val="21"/>
        </w:rPr>
      </w:pPr>
    </w:p>
    <w:p>
      <w:pPr>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hint="eastAsia" w:ascii="宋体" w:hAnsi="宋体" w:eastAsia="宋体" w:cs="TimesNewRomanPSMT"/>
          <w:b/>
          <w:bCs/>
          <w:kern w:val="0"/>
          <w:szCs w:val="21"/>
          <w:lang w:eastAsia="zh-CN"/>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r>
        <w:rPr>
          <w:rFonts w:hint="eastAsia" w:ascii="宋体" w:hAnsi="宋体" w:cs="TimesNewRomanPSMT"/>
          <w:b/>
          <w:bCs/>
          <w:kern w:val="0"/>
          <w:szCs w:val="21"/>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w:t>
      </w:r>
      <w:r>
        <w:rPr>
          <w:rFonts w:hint="eastAsia" w:ascii="宋体" w:hAnsi="宋体" w:cs="TimesNewRomanPSMT"/>
          <w:b/>
          <w:bCs/>
          <w:kern w:val="0"/>
          <w:szCs w:val="21"/>
          <w:lang w:val="en-US" w:eastAsia="zh-CN"/>
        </w:rPr>
        <w:t>见2.7.2</w:t>
      </w:r>
      <w:r>
        <w:rPr>
          <w:rFonts w:hint="eastAsia" w:ascii="宋体" w:hAnsi="宋体" w:cs="TimesNewRomanPSMT"/>
          <w:b/>
          <w:bCs/>
          <w:kern w:val="0"/>
          <w:szCs w:val="21"/>
        </w:rPr>
        <w:t>进度款支付比例</w:t>
      </w:r>
      <w:r>
        <w:rPr>
          <w:rFonts w:hint="eastAsia" w:ascii="宋体" w:hAnsi="宋体" w:cs="TimesNewRomanPSMT"/>
          <w:kern w:val="0"/>
          <w:szCs w:val="21"/>
        </w:rPr>
        <w:t>。</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spacing w:beforeLines="0" w:afterLines="0" w:line="360" w:lineRule="exact"/>
        <w:jc w:val="left"/>
        <w:rPr>
          <w:rFonts w:hint="default" w:ascii="宋体" w:hAnsi="宋体" w:cs="TimesNewRomanPSMT"/>
          <w:kern w:val="0"/>
          <w:szCs w:val="21"/>
          <w:u w:val="none"/>
          <w:lang w:val="en-US"/>
        </w:rPr>
      </w:pPr>
      <w:r>
        <w:rPr>
          <w:rFonts w:hint="eastAsia" w:ascii="宋体" w:hAnsi="宋体" w:cs="TimesNewRomanPSMT"/>
          <w:b/>
          <w:bCs/>
          <w:color w:val="FF0000"/>
          <w:kern w:val="0"/>
          <w:szCs w:val="21"/>
          <w:u w:val="none"/>
        </w:rPr>
        <w:t>费用支付方式：</w:t>
      </w:r>
      <w:r>
        <w:rPr>
          <w:rFonts w:hint="eastAsia" w:ascii="宋体" w:hAnsi="宋体" w:cs="TimesNewRomanPSMT"/>
          <w:b/>
          <w:bCs/>
          <w:color w:val="FF0000"/>
          <w:kern w:val="0"/>
          <w:szCs w:val="21"/>
          <w:u w:val="none"/>
          <w:lang w:val="en-US" w:eastAsia="zh-CN"/>
        </w:rPr>
        <w:t>1、善琏院区：</w:t>
      </w:r>
      <w:r>
        <w:rPr>
          <w:rFonts w:hint="eastAsia" w:ascii="宋体" w:hAnsi="宋体" w:cs="TimesNewRomanPSMT"/>
          <w:color w:val="FF0000"/>
          <w:kern w:val="0"/>
          <w:szCs w:val="21"/>
          <w:u w:val="none"/>
        </w:rPr>
        <w:t>工程开工前支付合同价的</w:t>
      </w:r>
      <w:r>
        <w:rPr>
          <w:rFonts w:hint="eastAsia" w:ascii="宋体" w:hAnsi="宋体" w:cs="TimesNewRomanPSMT"/>
          <w:color w:val="FF0000"/>
          <w:kern w:val="0"/>
          <w:szCs w:val="21"/>
          <w:u w:val="none"/>
          <w:lang w:val="en-US" w:eastAsia="zh-CN"/>
        </w:rPr>
        <w:t>2</w:t>
      </w:r>
      <w:r>
        <w:rPr>
          <w:rFonts w:hint="eastAsia" w:ascii="宋体" w:hAnsi="宋体" w:cs="TimesNewRomanPSMT"/>
          <w:color w:val="FF0000"/>
          <w:kern w:val="0"/>
          <w:szCs w:val="21"/>
          <w:u w:val="none"/>
        </w:rPr>
        <w:t>0%</w:t>
      </w:r>
      <w:r>
        <w:rPr>
          <w:rFonts w:hint="eastAsia" w:ascii="宋体" w:hAnsi="宋体" w:cs="TimesNewRomanPSMT"/>
          <w:color w:val="FF0000"/>
          <w:kern w:val="0"/>
          <w:szCs w:val="21"/>
          <w:u w:val="none"/>
          <w:lang w:val="en-US" w:eastAsia="zh-CN"/>
        </w:rPr>
        <w:t>为</w:t>
      </w:r>
      <w:r>
        <w:rPr>
          <w:rFonts w:hint="eastAsia" w:ascii="宋体" w:hAnsi="宋体" w:cs="TimesNewRomanPSMT"/>
          <w:color w:val="FF0000"/>
          <w:kern w:val="0"/>
          <w:szCs w:val="21"/>
          <w:u w:val="none"/>
        </w:rPr>
        <w:t>预付款，工程完工凭竣工验收证书、项目移交证书及完成送审结算资料后支付至实际完成工程量</w:t>
      </w:r>
      <w:r>
        <w:rPr>
          <w:rFonts w:hint="eastAsia" w:ascii="宋体" w:hAnsi="宋体" w:cs="TimesNewRomanPSMT"/>
          <w:color w:val="FF0000"/>
          <w:kern w:val="0"/>
          <w:szCs w:val="21"/>
          <w:u w:val="none"/>
          <w:lang w:val="en-US" w:eastAsia="zh-CN"/>
        </w:rPr>
        <w:t>的60</w:t>
      </w:r>
      <w:r>
        <w:rPr>
          <w:rFonts w:hint="eastAsia" w:ascii="宋体" w:hAnsi="宋体" w:cs="TimesNewRomanPSMT"/>
          <w:color w:val="FF0000"/>
          <w:kern w:val="0"/>
          <w:szCs w:val="21"/>
          <w:u w:val="none"/>
        </w:rPr>
        <w:t>%，审计完成支付至审计价下浮后价格的95%，尾款质保期满后</w:t>
      </w:r>
      <w:r>
        <w:rPr>
          <w:rFonts w:hint="eastAsia" w:ascii="宋体" w:hAnsi="宋体" w:cs="TimesNewRomanPSMT"/>
          <w:color w:val="FF0000"/>
          <w:kern w:val="0"/>
          <w:szCs w:val="21"/>
          <w:u w:val="none"/>
          <w:lang w:val="en-US" w:eastAsia="zh-CN"/>
        </w:rPr>
        <w:t>一个月内</w:t>
      </w:r>
      <w:r>
        <w:rPr>
          <w:rFonts w:hint="eastAsia" w:ascii="宋体" w:hAnsi="宋体" w:cs="TimesNewRomanPSMT"/>
          <w:color w:val="FF0000"/>
          <w:kern w:val="0"/>
          <w:szCs w:val="21"/>
          <w:u w:val="none"/>
        </w:rPr>
        <w:t>付清</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无息</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2、</w:t>
      </w:r>
      <w:r>
        <w:rPr>
          <w:rFonts w:hint="eastAsia" w:ascii="宋体" w:hAnsi="宋体" w:cs="TimesNewRomanPSMT"/>
          <w:b/>
          <w:bCs/>
          <w:color w:val="FF0000"/>
          <w:kern w:val="0"/>
          <w:szCs w:val="21"/>
          <w:u w:val="none"/>
          <w:lang w:val="en-US" w:eastAsia="zh-CN"/>
        </w:rPr>
        <w:t>旧馆院区：</w:t>
      </w:r>
      <w:r>
        <w:rPr>
          <w:rFonts w:hint="eastAsia" w:ascii="宋体" w:hAnsi="宋体" w:cs="TimesNewRomanPSMT"/>
          <w:color w:val="FF0000"/>
          <w:kern w:val="0"/>
          <w:szCs w:val="21"/>
          <w:u w:val="none"/>
        </w:rPr>
        <w:t>工程开工前支付合同价的</w:t>
      </w:r>
      <w:r>
        <w:rPr>
          <w:rFonts w:hint="eastAsia" w:ascii="宋体" w:hAnsi="宋体" w:cs="TimesNewRomanPSMT"/>
          <w:color w:val="FF0000"/>
          <w:kern w:val="0"/>
          <w:szCs w:val="21"/>
          <w:u w:val="none"/>
          <w:lang w:val="en-US" w:eastAsia="zh-CN"/>
        </w:rPr>
        <w:t>20</w:t>
      </w:r>
      <w:r>
        <w:rPr>
          <w:rFonts w:hint="eastAsia" w:ascii="宋体" w:hAnsi="宋体" w:cs="TimesNewRomanPSMT"/>
          <w:color w:val="FF0000"/>
          <w:kern w:val="0"/>
          <w:szCs w:val="21"/>
          <w:u w:val="none"/>
        </w:rPr>
        <w:t>%</w:t>
      </w:r>
      <w:r>
        <w:rPr>
          <w:rFonts w:hint="eastAsia" w:ascii="宋体" w:hAnsi="宋体" w:cs="TimesNewRomanPSMT"/>
          <w:color w:val="FF0000"/>
          <w:kern w:val="0"/>
          <w:szCs w:val="21"/>
          <w:u w:val="none"/>
          <w:lang w:val="en-US" w:eastAsia="zh-CN"/>
        </w:rPr>
        <w:t>为</w:t>
      </w:r>
      <w:r>
        <w:rPr>
          <w:rFonts w:hint="eastAsia" w:ascii="宋体" w:hAnsi="宋体" w:cs="TimesNewRomanPSMT"/>
          <w:color w:val="FF0000"/>
          <w:kern w:val="0"/>
          <w:szCs w:val="21"/>
          <w:u w:val="none"/>
        </w:rPr>
        <w:t>预付款，工程完工凭竣工验收证书、项目移交证书及完成送审结算资料后支付至实际完成工程量</w:t>
      </w:r>
      <w:r>
        <w:rPr>
          <w:rFonts w:hint="eastAsia" w:ascii="宋体" w:hAnsi="宋体" w:cs="TimesNewRomanPSMT"/>
          <w:color w:val="FF0000"/>
          <w:kern w:val="0"/>
          <w:szCs w:val="21"/>
          <w:u w:val="none"/>
          <w:lang w:val="en-US" w:eastAsia="zh-CN"/>
        </w:rPr>
        <w:t>的60</w:t>
      </w:r>
      <w:r>
        <w:rPr>
          <w:rFonts w:hint="eastAsia" w:ascii="宋体" w:hAnsi="宋体" w:cs="TimesNewRomanPSMT"/>
          <w:color w:val="FF0000"/>
          <w:kern w:val="0"/>
          <w:szCs w:val="21"/>
          <w:u w:val="none"/>
        </w:rPr>
        <w:t>%，审计完成支付至审计价下浮后价格的95%，尾款质保期满后</w:t>
      </w:r>
      <w:r>
        <w:rPr>
          <w:rFonts w:hint="eastAsia" w:ascii="宋体" w:hAnsi="宋体" w:cs="TimesNewRomanPSMT"/>
          <w:color w:val="FF0000"/>
          <w:kern w:val="0"/>
          <w:szCs w:val="21"/>
          <w:u w:val="none"/>
          <w:lang w:val="en-US" w:eastAsia="zh-CN"/>
        </w:rPr>
        <w:t>一个月内</w:t>
      </w:r>
      <w:r>
        <w:rPr>
          <w:rFonts w:hint="eastAsia" w:ascii="宋体" w:hAnsi="宋体" w:cs="TimesNewRomanPSMT"/>
          <w:color w:val="FF0000"/>
          <w:kern w:val="0"/>
          <w:szCs w:val="21"/>
          <w:u w:val="none"/>
        </w:rPr>
        <w:t>付清</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无息</w:t>
      </w:r>
      <w:r>
        <w:rPr>
          <w:rFonts w:hint="eastAsia" w:ascii="宋体" w:hAnsi="宋体" w:cs="TimesNewRomanPSMT"/>
          <w:color w:val="FF0000"/>
          <w:kern w:val="0"/>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pStyle w:val="4"/>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rPr>
      </w:pPr>
      <w:r>
        <w:rPr>
          <w:rFonts w:hint="eastAsia" w:ascii="宋体" w:hAnsi="宋体" w:cs="TimesNewRomanPSMT"/>
          <w:kern w:val="0"/>
          <w:szCs w:val="21"/>
        </w:rPr>
        <w:t>详见报价书。</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专业承包合同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2" w:firstLineChars="200"/>
        <w:rPr>
          <w:rFonts w:hint="eastAsia" w:ascii="宋体" w:hAnsi="宋体" w:cs="TimesNewRomanPSMT"/>
          <w:color w:val="auto"/>
          <w:kern w:val="0"/>
          <w:szCs w:val="21"/>
          <w:u w:val="none"/>
          <w:lang w:eastAsia="zh-CN"/>
        </w:rPr>
      </w:pPr>
      <w:r>
        <w:rPr>
          <w:rFonts w:hint="eastAsia" w:ascii="宋体" w:hAnsi="宋体" w:cs="TimesNewRomanPSMT"/>
          <w:b/>
          <w:bCs/>
          <w:color w:val="auto"/>
          <w:kern w:val="0"/>
          <w:szCs w:val="21"/>
          <w:u w:val="none"/>
          <w:lang w:val="en-US" w:eastAsia="zh-CN"/>
        </w:rPr>
        <w:t>1、善琏院区：</w:t>
      </w:r>
      <w:r>
        <w:rPr>
          <w:rFonts w:hint="eastAsia" w:ascii="宋体" w:hAnsi="宋体" w:cs="TimesNewRomanPSMT"/>
          <w:color w:val="auto"/>
          <w:kern w:val="0"/>
          <w:szCs w:val="21"/>
          <w:u w:val="none"/>
        </w:rPr>
        <w:t>工程开工前支付合同价的</w:t>
      </w:r>
      <w:r>
        <w:rPr>
          <w:rFonts w:hint="eastAsia" w:ascii="宋体" w:hAnsi="宋体" w:cs="TimesNewRomanPSMT"/>
          <w:color w:val="auto"/>
          <w:kern w:val="0"/>
          <w:szCs w:val="21"/>
          <w:u w:val="none"/>
          <w:lang w:val="en-US" w:eastAsia="zh-CN"/>
        </w:rPr>
        <w:t>2</w:t>
      </w:r>
      <w:r>
        <w:rPr>
          <w:rFonts w:hint="eastAsia" w:ascii="宋体" w:hAnsi="宋体" w:cs="TimesNewRomanPSMT"/>
          <w:color w:val="auto"/>
          <w:kern w:val="0"/>
          <w:szCs w:val="21"/>
          <w:u w:val="none"/>
        </w:rPr>
        <w:t>0%</w:t>
      </w:r>
      <w:r>
        <w:rPr>
          <w:rFonts w:hint="eastAsia" w:ascii="宋体" w:hAnsi="宋体" w:cs="TimesNewRomanPSMT"/>
          <w:color w:val="auto"/>
          <w:kern w:val="0"/>
          <w:szCs w:val="21"/>
          <w:u w:val="none"/>
          <w:lang w:val="en-US" w:eastAsia="zh-CN"/>
        </w:rPr>
        <w:t>为</w:t>
      </w:r>
      <w:r>
        <w:rPr>
          <w:rFonts w:hint="eastAsia" w:ascii="宋体" w:hAnsi="宋体" w:cs="TimesNewRomanPSMT"/>
          <w:color w:val="auto"/>
          <w:kern w:val="0"/>
          <w:szCs w:val="21"/>
          <w:u w:val="none"/>
        </w:rPr>
        <w:t>预付款，工程完工凭竣工验收证书、项目移交证书及完成送审结算资料后支付至实际完成工程量</w:t>
      </w:r>
      <w:r>
        <w:rPr>
          <w:rFonts w:hint="eastAsia" w:ascii="宋体" w:hAnsi="宋体" w:cs="TimesNewRomanPSMT"/>
          <w:color w:val="auto"/>
          <w:kern w:val="0"/>
          <w:szCs w:val="21"/>
          <w:u w:val="none"/>
          <w:lang w:val="en-US" w:eastAsia="zh-CN"/>
        </w:rPr>
        <w:t>的60</w:t>
      </w:r>
      <w:r>
        <w:rPr>
          <w:rFonts w:hint="eastAsia" w:ascii="宋体" w:hAnsi="宋体" w:cs="TimesNewRomanPSMT"/>
          <w:color w:val="auto"/>
          <w:kern w:val="0"/>
          <w:szCs w:val="21"/>
          <w:u w:val="none"/>
        </w:rPr>
        <w:t>%，审计完成支付至审计价下浮后价格的95%，尾款质保期满后</w:t>
      </w:r>
      <w:r>
        <w:rPr>
          <w:rFonts w:hint="eastAsia" w:ascii="宋体" w:hAnsi="宋体" w:cs="TimesNewRomanPSMT"/>
          <w:color w:val="auto"/>
          <w:kern w:val="0"/>
          <w:szCs w:val="21"/>
          <w:u w:val="none"/>
          <w:lang w:val="en-US" w:eastAsia="zh-CN"/>
        </w:rPr>
        <w:t>一个月内</w:t>
      </w:r>
      <w:r>
        <w:rPr>
          <w:rFonts w:hint="eastAsia" w:ascii="宋体" w:hAnsi="宋体" w:cs="TimesNewRomanPSMT"/>
          <w:color w:val="auto"/>
          <w:kern w:val="0"/>
          <w:szCs w:val="21"/>
          <w:u w:val="none"/>
        </w:rPr>
        <w:t>付清</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无息</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2、</w:t>
      </w:r>
      <w:r>
        <w:rPr>
          <w:rFonts w:hint="eastAsia" w:ascii="宋体" w:hAnsi="宋体" w:cs="TimesNewRomanPSMT"/>
          <w:b/>
          <w:bCs/>
          <w:color w:val="auto"/>
          <w:kern w:val="0"/>
          <w:szCs w:val="21"/>
          <w:u w:val="none"/>
          <w:lang w:val="en-US" w:eastAsia="zh-CN"/>
        </w:rPr>
        <w:t>旧馆院区：</w:t>
      </w:r>
      <w:r>
        <w:rPr>
          <w:rFonts w:hint="eastAsia" w:ascii="宋体" w:hAnsi="宋体" w:cs="TimesNewRomanPSMT"/>
          <w:color w:val="auto"/>
          <w:kern w:val="0"/>
          <w:szCs w:val="21"/>
          <w:u w:val="none"/>
        </w:rPr>
        <w:t>工程开工前支付合同价的</w:t>
      </w:r>
      <w:r>
        <w:rPr>
          <w:rFonts w:hint="eastAsia" w:ascii="宋体" w:hAnsi="宋体" w:cs="TimesNewRomanPSMT"/>
          <w:color w:val="auto"/>
          <w:kern w:val="0"/>
          <w:szCs w:val="21"/>
          <w:u w:val="none"/>
          <w:lang w:val="en-US" w:eastAsia="zh-CN"/>
        </w:rPr>
        <w:t>20</w:t>
      </w:r>
      <w:r>
        <w:rPr>
          <w:rFonts w:hint="eastAsia" w:ascii="宋体" w:hAnsi="宋体" w:cs="TimesNewRomanPSMT"/>
          <w:color w:val="auto"/>
          <w:kern w:val="0"/>
          <w:szCs w:val="21"/>
          <w:u w:val="none"/>
        </w:rPr>
        <w:t>%</w:t>
      </w:r>
      <w:r>
        <w:rPr>
          <w:rFonts w:hint="eastAsia" w:ascii="宋体" w:hAnsi="宋体" w:cs="TimesNewRomanPSMT"/>
          <w:color w:val="auto"/>
          <w:kern w:val="0"/>
          <w:szCs w:val="21"/>
          <w:u w:val="none"/>
          <w:lang w:val="en-US" w:eastAsia="zh-CN"/>
        </w:rPr>
        <w:t>为</w:t>
      </w:r>
      <w:r>
        <w:rPr>
          <w:rFonts w:hint="eastAsia" w:ascii="宋体" w:hAnsi="宋体" w:cs="TimesNewRomanPSMT"/>
          <w:color w:val="auto"/>
          <w:kern w:val="0"/>
          <w:szCs w:val="21"/>
          <w:u w:val="none"/>
        </w:rPr>
        <w:t>预付款，工程完工凭竣工验收证书、项目移交证书及完成送审结算资料后支付至实际完成工程量</w:t>
      </w:r>
      <w:r>
        <w:rPr>
          <w:rFonts w:hint="eastAsia" w:ascii="宋体" w:hAnsi="宋体" w:cs="TimesNewRomanPSMT"/>
          <w:color w:val="auto"/>
          <w:kern w:val="0"/>
          <w:szCs w:val="21"/>
          <w:u w:val="none"/>
          <w:lang w:val="en-US" w:eastAsia="zh-CN"/>
        </w:rPr>
        <w:t>的60</w:t>
      </w:r>
      <w:r>
        <w:rPr>
          <w:rFonts w:hint="eastAsia" w:ascii="宋体" w:hAnsi="宋体" w:cs="TimesNewRomanPSMT"/>
          <w:color w:val="auto"/>
          <w:kern w:val="0"/>
          <w:szCs w:val="21"/>
          <w:u w:val="none"/>
        </w:rPr>
        <w:t>%，审计完成支付至审计价下浮后价格的95%，尾款质保期满后</w:t>
      </w:r>
      <w:r>
        <w:rPr>
          <w:rFonts w:hint="eastAsia" w:ascii="宋体" w:hAnsi="宋体" w:cs="TimesNewRomanPSMT"/>
          <w:color w:val="auto"/>
          <w:kern w:val="0"/>
          <w:szCs w:val="21"/>
          <w:u w:val="none"/>
          <w:lang w:val="en-US" w:eastAsia="zh-CN"/>
        </w:rPr>
        <w:t>一个月内</w:t>
      </w:r>
      <w:r>
        <w:rPr>
          <w:rFonts w:hint="eastAsia" w:ascii="宋体" w:hAnsi="宋体" w:cs="TimesNewRomanPSMT"/>
          <w:color w:val="auto"/>
          <w:kern w:val="0"/>
          <w:szCs w:val="21"/>
          <w:u w:val="none"/>
        </w:rPr>
        <w:t>付清</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无息</w:t>
      </w:r>
      <w:r>
        <w:rPr>
          <w:rFonts w:hint="eastAsia" w:ascii="宋体" w:hAnsi="宋体" w:cs="TimesNewRomanPSMT"/>
          <w:color w:val="auto"/>
          <w:kern w:val="0"/>
          <w:szCs w:val="21"/>
          <w:u w:val="none"/>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八、《施工组织设计》</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九、《重难点关键工程的施工方案》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十、《质量安全进度保障方案》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十一、《信誉及业绩评价》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十二、《投标人认为需要提交的其它资料》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D52E6"/>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01B7"/>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A16E5B"/>
    <w:rsid w:val="02BA3F8E"/>
    <w:rsid w:val="02D15D88"/>
    <w:rsid w:val="02D405EB"/>
    <w:rsid w:val="02E749BB"/>
    <w:rsid w:val="032D0193"/>
    <w:rsid w:val="0367677F"/>
    <w:rsid w:val="03676E56"/>
    <w:rsid w:val="03A00125"/>
    <w:rsid w:val="03A94B82"/>
    <w:rsid w:val="03D11D4A"/>
    <w:rsid w:val="03D97231"/>
    <w:rsid w:val="03E93802"/>
    <w:rsid w:val="043A0533"/>
    <w:rsid w:val="04516A79"/>
    <w:rsid w:val="04573C41"/>
    <w:rsid w:val="0462666F"/>
    <w:rsid w:val="046F6042"/>
    <w:rsid w:val="047A724B"/>
    <w:rsid w:val="04997A93"/>
    <w:rsid w:val="04A27AD6"/>
    <w:rsid w:val="04BC175B"/>
    <w:rsid w:val="04DA4E56"/>
    <w:rsid w:val="04EB7E87"/>
    <w:rsid w:val="05124135"/>
    <w:rsid w:val="051E0E9A"/>
    <w:rsid w:val="052D6729"/>
    <w:rsid w:val="05361AC6"/>
    <w:rsid w:val="05504736"/>
    <w:rsid w:val="055B5E8C"/>
    <w:rsid w:val="05846E99"/>
    <w:rsid w:val="059841B5"/>
    <w:rsid w:val="05BF6198"/>
    <w:rsid w:val="05F7114B"/>
    <w:rsid w:val="05F717DB"/>
    <w:rsid w:val="063614FF"/>
    <w:rsid w:val="064233C9"/>
    <w:rsid w:val="06A905A2"/>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352B6"/>
    <w:rsid w:val="08D46119"/>
    <w:rsid w:val="09121956"/>
    <w:rsid w:val="091309E4"/>
    <w:rsid w:val="09361A12"/>
    <w:rsid w:val="09374B35"/>
    <w:rsid w:val="093C44A0"/>
    <w:rsid w:val="09451A80"/>
    <w:rsid w:val="099F3E40"/>
    <w:rsid w:val="09B54D47"/>
    <w:rsid w:val="09B745A5"/>
    <w:rsid w:val="09CF5737"/>
    <w:rsid w:val="0A2441B5"/>
    <w:rsid w:val="0A5A5EBE"/>
    <w:rsid w:val="0A6B27F2"/>
    <w:rsid w:val="0A86042B"/>
    <w:rsid w:val="0AAC6BE4"/>
    <w:rsid w:val="0AB32181"/>
    <w:rsid w:val="0AB61377"/>
    <w:rsid w:val="0AD4553E"/>
    <w:rsid w:val="0ADE2021"/>
    <w:rsid w:val="0AE66846"/>
    <w:rsid w:val="0B056ACF"/>
    <w:rsid w:val="0B0E7656"/>
    <w:rsid w:val="0B341A54"/>
    <w:rsid w:val="0B3D39AE"/>
    <w:rsid w:val="0B4A311D"/>
    <w:rsid w:val="0B5C340D"/>
    <w:rsid w:val="0B7C0129"/>
    <w:rsid w:val="0BA056F7"/>
    <w:rsid w:val="0BAF2250"/>
    <w:rsid w:val="0BD7201F"/>
    <w:rsid w:val="0C090849"/>
    <w:rsid w:val="0C0F70F9"/>
    <w:rsid w:val="0C3B53E1"/>
    <w:rsid w:val="0C715A9F"/>
    <w:rsid w:val="0C8278CB"/>
    <w:rsid w:val="0C903042"/>
    <w:rsid w:val="0CA72033"/>
    <w:rsid w:val="0CB57E44"/>
    <w:rsid w:val="0CBB11BF"/>
    <w:rsid w:val="0CF94A70"/>
    <w:rsid w:val="0D00419D"/>
    <w:rsid w:val="0D012414"/>
    <w:rsid w:val="0D060ACA"/>
    <w:rsid w:val="0D067D95"/>
    <w:rsid w:val="0D1E7589"/>
    <w:rsid w:val="0D2802F9"/>
    <w:rsid w:val="0D2C7836"/>
    <w:rsid w:val="0D2C79B1"/>
    <w:rsid w:val="0D3764E2"/>
    <w:rsid w:val="0D395ADB"/>
    <w:rsid w:val="0D732767"/>
    <w:rsid w:val="0DA10CD9"/>
    <w:rsid w:val="0DAA3778"/>
    <w:rsid w:val="0DC937C0"/>
    <w:rsid w:val="0DD46DDA"/>
    <w:rsid w:val="0DDE73FA"/>
    <w:rsid w:val="0DF17868"/>
    <w:rsid w:val="0E145894"/>
    <w:rsid w:val="0E35686A"/>
    <w:rsid w:val="0E377D9A"/>
    <w:rsid w:val="0E4802A5"/>
    <w:rsid w:val="0E53031A"/>
    <w:rsid w:val="0E5E17BA"/>
    <w:rsid w:val="0E703A00"/>
    <w:rsid w:val="0E87741A"/>
    <w:rsid w:val="0EB964D6"/>
    <w:rsid w:val="0ED657C4"/>
    <w:rsid w:val="0ED9012F"/>
    <w:rsid w:val="0EE11F93"/>
    <w:rsid w:val="0EED547D"/>
    <w:rsid w:val="0F062706"/>
    <w:rsid w:val="0F07103E"/>
    <w:rsid w:val="0F2E3A4B"/>
    <w:rsid w:val="0FA00107"/>
    <w:rsid w:val="0FAB538A"/>
    <w:rsid w:val="0FAE4BA9"/>
    <w:rsid w:val="0FDA2C64"/>
    <w:rsid w:val="0FE86D87"/>
    <w:rsid w:val="100F0015"/>
    <w:rsid w:val="10163297"/>
    <w:rsid w:val="105F1E24"/>
    <w:rsid w:val="10B412E9"/>
    <w:rsid w:val="10C20877"/>
    <w:rsid w:val="10C20BDE"/>
    <w:rsid w:val="10CB7B87"/>
    <w:rsid w:val="10EE5A6A"/>
    <w:rsid w:val="11016360"/>
    <w:rsid w:val="11151C5F"/>
    <w:rsid w:val="11342AE3"/>
    <w:rsid w:val="113B73CF"/>
    <w:rsid w:val="11547BE0"/>
    <w:rsid w:val="115E2150"/>
    <w:rsid w:val="11A6405B"/>
    <w:rsid w:val="11C529F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75A7D"/>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E76070"/>
    <w:rsid w:val="17FC683D"/>
    <w:rsid w:val="18172F94"/>
    <w:rsid w:val="18367CDA"/>
    <w:rsid w:val="186C5741"/>
    <w:rsid w:val="187B2D1C"/>
    <w:rsid w:val="18A373BF"/>
    <w:rsid w:val="18E75295"/>
    <w:rsid w:val="18F2566E"/>
    <w:rsid w:val="18F5009D"/>
    <w:rsid w:val="191C650D"/>
    <w:rsid w:val="196040B6"/>
    <w:rsid w:val="19820BA0"/>
    <w:rsid w:val="19960EC8"/>
    <w:rsid w:val="19C26E47"/>
    <w:rsid w:val="1A05542B"/>
    <w:rsid w:val="1A296A52"/>
    <w:rsid w:val="1A327363"/>
    <w:rsid w:val="1A377E4D"/>
    <w:rsid w:val="1A417455"/>
    <w:rsid w:val="1A484EF8"/>
    <w:rsid w:val="1A55578A"/>
    <w:rsid w:val="1A761E92"/>
    <w:rsid w:val="1A7B75EC"/>
    <w:rsid w:val="1A8643C5"/>
    <w:rsid w:val="1A8804E1"/>
    <w:rsid w:val="1A9939F0"/>
    <w:rsid w:val="1AA8484B"/>
    <w:rsid w:val="1ABE2171"/>
    <w:rsid w:val="1ACF5074"/>
    <w:rsid w:val="1AE920DA"/>
    <w:rsid w:val="1AFF2799"/>
    <w:rsid w:val="1B001AC7"/>
    <w:rsid w:val="1B102A59"/>
    <w:rsid w:val="1B13565A"/>
    <w:rsid w:val="1B141717"/>
    <w:rsid w:val="1B195CB1"/>
    <w:rsid w:val="1B5A6839"/>
    <w:rsid w:val="1B6A60FA"/>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CE91E92"/>
    <w:rsid w:val="1D2E3157"/>
    <w:rsid w:val="1D39497B"/>
    <w:rsid w:val="1D596426"/>
    <w:rsid w:val="1D8B208F"/>
    <w:rsid w:val="1D8E30F7"/>
    <w:rsid w:val="1D9E02DC"/>
    <w:rsid w:val="1DAB0A38"/>
    <w:rsid w:val="1E4104FD"/>
    <w:rsid w:val="1E5D4927"/>
    <w:rsid w:val="1E851020"/>
    <w:rsid w:val="1EF403AD"/>
    <w:rsid w:val="1EFD48B8"/>
    <w:rsid w:val="1F0A411A"/>
    <w:rsid w:val="1F207B44"/>
    <w:rsid w:val="1F2B3856"/>
    <w:rsid w:val="1F525CE0"/>
    <w:rsid w:val="1F745F7B"/>
    <w:rsid w:val="1F97531C"/>
    <w:rsid w:val="1FA03DAE"/>
    <w:rsid w:val="1FAA3C18"/>
    <w:rsid w:val="1FB042F7"/>
    <w:rsid w:val="1FED51FB"/>
    <w:rsid w:val="1FF15AA8"/>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506D3B"/>
    <w:rsid w:val="25BB1B2D"/>
    <w:rsid w:val="25C11A13"/>
    <w:rsid w:val="25C26B32"/>
    <w:rsid w:val="25D87FB3"/>
    <w:rsid w:val="25DE77BD"/>
    <w:rsid w:val="25EC2C8E"/>
    <w:rsid w:val="2648468A"/>
    <w:rsid w:val="264A1A74"/>
    <w:rsid w:val="26940688"/>
    <w:rsid w:val="270216C1"/>
    <w:rsid w:val="27225448"/>
    <w:rsid w:val="27266761"/>
    <w:rsid w:val="272C02FD"/>
    <w:rsid w:val="2746156A"/>
    <w:rsid w:val="2751016E"/>
    <w:rsid w:val="2758714A"/>
    <w:rsid w:val="278D5A4A"/>
    <w:rsid w:val="27936D0C"/>
    <w:rsid w:val="27B830E8"/>
    <w:rsid w:val="27E155EC"/>
    <w:rsid w:val="280276BA"/>
    <w:rsid w:val="280B7FEB"/>
    <w:rsid w:val="282E04AF"/>
    <w:rsid w:val="28450F6C"/>
    <w:rsid w:val="284C16B1"/>
    <w:rsid w:val="28577024"/>
    <w:rsid w:val="286A3F94"/>
    <w:rsid w:val="28A66FD2"/>
    <w:rsid w:val="28F60FCD"/>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0F25F6B"/>
    <w:rsid w:val="311A0F54"/>
    <w:rsid w:val="315111F1"/>
    <w:rsid w:val="316A42B7"/>
    <w:rsid w:val="316C2015"/>
    <w:rsid w:val="317B512E"/>
    <w:rsid w:val="31DD28EC"/>
    <w:rsid w:val="31F34B0C"/>
    <w:rsid w:val="31F74D74"/>
    <w:rsid w:val="32036508"/>
    <w:rsid w:val="321513CB"/>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CD502C"/>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30BF6"/>
    <w:rsid w:val="35A81BAD"/>
    <w:rsid w:val="35A84571"/>
    <w:rsid w:val="360C2571"/>
    <w:rsid w:val="360D6341"/>
    <w:rsid w:val="36621334"/>
    <w:rsid w:val="36AA2F1D"/>
    <w:rsid w:val="36C23B26"/>
    <w:rsid w:val="36F32FEF"/>
    <w:rsid w:val="36F9389F"/>
    <w:rsid w:val="37727DA2"/>
    <w:rsid w:val="37BC4D26"/>
    <w:rsid w:val="37C2711A"/>
    <w:rsid w:val="37C52541"/>
    <w:rsid w:val="3814321D"/>
    <w:rsid w:val="3822589D"/>
    <w:rsid w:val="38294778"/>
    <w:rsid w:val="383B7004"/>
    <w:rsid w:val="38730D8C"/>
    <w:rsid w:val="38761F63"/>
    <w:rsid w:val="388279D2"/>
    <w:rsid w:val="388A25D9"/>
    <w:rsid w:val="389E6F8B"/>
    <w:rsid w:val="38A05EBA"/>
    <w:rsid w:val="38E73337"/>
    <w:rsid w:val="39243700"/>
    <w:rsid w:val="39371CF5"/>
    <w:rsid w:val="394E7DD5"/>
    <w:rsid w:val="396A5DF5"/>
    <w:rsid w:val="396F20BC"/>
    <w:rsid w:val="39734A06"/>
    <w:rsid w:val="39993D09"/>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B97B26"/>
    <w:rsid w:val="3CEC1361"/>
    <w:rsid w:val="3CFF508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3FFF47B3"/>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138EF"/>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64FBE"/>
    <w:rsid w:val="450A0BF0"/>
    <w:rsid w:val="453D438D"/>
    <w:rsid w:val="45657083"/>
    <w:rsid w:val="456617F3"/>
    <w:rsid w:val="457A0E7B"/>
    <w:rsid w:val="45972A9B"/>
    <w:rsid w:val="45B10D60"/>
    <w:rsid w:val="45CC74A1"/>
    <w:rsid w:val="45FF67F1"/>
    <w:rsid w:val="46001285"/>
    <w:rsid w:val="46333FC8"/>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4E168E"/>
    <w:rsid w:val="48613C38"/>
    <w:rsid w:val="48655CE8"/>
    <w:rsid w:val="48C30900"/>
    <w:rsid w:val="48C52312"/>
    <w:rsid w:val="48DF369C"/>
    <w:rsid w:val="491C6F07"/>
    <w:rsid w:val="494B6911"/>
    <w:rsid w:val="49761856"/>
    <w:rsid w:val="49940639"/>
    <w:rsid w:val="49AB468B"/>
    <w:rsid w:val="49B22D26"/>
    <w:rsid w:val="4A292EB7"/>
    <w:rsid w:val="4A370ED7"/>
    <w:rsid w:val="4A600199"/>
    <w:rsid w:val="4AD61D8B"/>
    <w:rsid w:val="4AEC002A"/>
    <w:rsid w:val="4B550A11"/>
    <w:rsid w:val="4B5C5CDE"/>
    <w:rsid w:val="4B6978CC"/>
    <w:rsid w:val="4B9755FF"/>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B64BD7"/>
    <w:rsid w:val="4EC206EE"/>
    <w:rsid w:val="4ED652C6"/>
    <w:rsid w:val="4EFB7579"/>
    <w:rsid w:val="4F0931EA"/>
    <w:rsid w:val="4F26273B"/>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77467D"/>
    <w:rsid w:val="528A7AE7"/>
    <w:rsid w:val="529A2FFC"/>
    <w:rsid w:val="529C2335"/>
    <w:rsid w:val="52F04997"/>
    <w:rsid w:val="52FF66C1"/>
    <w:rsid w:val="53832185"/>
    <w:rsid w:val="53920CEE"/>
    <w:rsid w:val="53CC50AE"/>
    <w:rsid w:val="53FC1CCB"/>
    <w:rsid w:val="53FC752F"/>
    <w:rsid w:val="541154AE"/>
    <w:rsid w:val="54274D34"/>
    <w:rsid w:val="543812D4"/>
    <w:rsid w:val="543F749E"/>
    <w:rsid w:val="544B5DC1"/>
    <w:rsid w:val="54504FDD"/>
    <w:rsid w:val="54904D93"/>
    <w:rsid w:val="54AC13C7"/>
    <w:rsid w:val="54AF3E2F"/>
    <w:rsid w:val="54B81E43"/>
    <w:rsid w:val="54E97E61"/>
    <w:rsid w:val="555313D1"/>
    <w:rsid w:val="55662A4C"/>
    <w:rsid w:val="55734432"/>
    <w:rsid w:val="55DF2DC3"/>
    <w:rsid w:val="55F33201"/>
    <w:rsid w:val="560F30B7"/>
    <w:rsid w:val="56207147"/>
    <w:rsid w:val="563135EA"/>
    <w:rsid w:val="563E6EEB"/>
    <w:rsid w:val="56737795"/>
    <w:rsid w:val="56912411"/>
    <w:rsid w:val="569C2904"/>
    <w:rsid w:val="56A2724A"/>
    <w:rsid w:val="56AB1218"/>
    <w:rsid w:val="56AE6979"/>
    <w:rsid w:val="56BC578B"/>
    <w:rsid w:val="56E04310"/>
    <w:rsid w:val="570A03DE"/>
    <w:rsid w:val="57255C57"/>
    <w:rsid w:val="57272949"/>
    <w:rsid w:val="573279C6"/>
    <w:rsid w:val="578F351C"/>
    <w:rsid w:val="57C12963"/>
    <w:rsid w:val="57DC33A1"/>
    <w:rsid w:val="58064939"/>
    <w:rsid w:val="58430DCC"/>
    <w:rsid w:val="58513B77"/>
    <w:rsid w:val="586303D1"/>
    <w:rsid w:val="586A6EB3"/>
    <w:rsid w:val="587040B4"/>
    <w:rsid w:val="587126BA"/>
    <w:rsid w:val="588501DB"/>
    <w:rsid w:val="58CF09EC"/>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051866"/>
    <w:rsid w:val="5B170EC1"/>
    <w:rsid w:val="5B1E125F"/>
    <w:rsid w:val="5B523BA8"/>
    <w:rsid w:val="5B5C3848"/>
    <w:rsid w:val="5B617A31"/>
    <w:rsid w:val="5B9073F7"/>
    <w:rsid w:val="5B994905"/>
    <w:rsid w:val="5BAA245B"/>
    <w:rsid w:val="5C084785"/>
    <w:rsid w:val="5C0A126A"/>
    <w:rsid w:val="5C273957"/>
    <w:rsid w:val="5C2C1905"/>
    <w:rsid w:val="5C756A96"/>
    <w:rsid w:val="5C7B414C"/>
    <w:rsid w:val="5C8B657B"/>
    <w:rsid w:val="5CDA409C"/>
    <w:rsid w:val="5CEE7211"/>
    <w:rsid w:val="5CF46F69"/>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7E5377"/>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474BA2"/>
    <w:rsid w:val="645D295C"/>
    <w:rsid w:val="64626C3E"/>
    <w:rsid w:val="64C915A1"/>
    <w:rsid w:val="64DA205C"/>
    <w:rsid w:val="650049A6"/>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D45A6F"/>
    <w:rsid w:val="66EE52A3"/>
    <w:rsid w:val="66FE6CC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500F88"/>
    <w:rsid w:val="69DF144F"/>
    <w:rsid w:val="6A0D0E38"/>
    <w:rsid w:val="6A5D01A4"/>
    <w:rsid w:val="6A95793E"/>
    <w:rsid w:val="6AA00E50"/>
    <w:rsid w:val="6ABA4B0F"/>
    <w:rsid w:val="6ACB20FD"/>
    <w:rsid w:val="6B2B2B84"/>
    <w:rsid w:val="6B6E1D88"/>
    <w:rsid w:val="6B963D85"/>
    <w:rsid w:val="6BC24DC5"/>
    <w:rsid w:val="6C736A36"/>
    <w:rsid w:val="6C75640B"/>
    <w:rsid w:val="6C7B2A22"/>
    <w:rsid w:val="6CDD11CD"/>
    <w:rsid w:val="6CE05267"/>
    <w:rsid w:val="6CE40271"/>
    <w:rsid w:val="6CEA21C3"/>
    <w:rsid w:val="6CF505AC"/>
    <w:rsid w:val="6D556F64"/>
    <w:rsid w:val="6D9F74C0"/>
    <w:rsid w:val="6DA22A9E"/>
    <w:rsid w:val="6DBE3B46"/>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471BB9"/>
    <w:rsid w:val="71680B0F"/>
    <w:rsid w:val="71854B70"/>
    <w:rsid w:val="71EF104F"/>
    <w:rsid w:val="71F95237"/>
    <w:rsid w:val="722D514D"/>
    <w:rsid w:val="725337DC"/>
    <w:rsid w:val="725D51C5"/>
    <w:rsid w:val="725E3D3D"/>
    <w:rsid w:val="725F4D5A"/>
    <w:rsid w:val="72CF0E9B"/>
    <w:rsid w:val="72FF072E"/>
    <w:rsid w:val="73045661"/>
    <w:rsid w:val="73353A6C"/>
    <w:rsid w:val="733A35E5"/>
    <w:rsid w:val="7353025C"/>
    <w:rsid w:val="73557AEB"/>
    <w:rsid w:val="737F302F"/>
    <w:rsid w:val="73924D5F"/>
    <w:rsid w:val="739F6EDB"/>
    <w:rsid w:val="73E406F4"/>
    <w:rsid w:val="73F522EE"/>
    <w:rsid w:val="74271298"/>
    <w:rsid w:val="74766500"/>
    <w:rsid w:val="74845D7A"/>
    <w:rsid w:val="748962D3"/>
    <w:rsid w:val="74C817E9"/>
    <w:rsid w:val="74D13C2A"/>
    <w:rsid w:val="74DD260E"/>
    <w:rsid w:val="75322E1E"/>
    <w:rsid w:val="754E66A1"/>
    <w:rsid w:val="75BF0392"/>
    <w:rsid w:val="75F25DC7"/>
    <w:rsid w:val="75FA5640"/>
    <w:rsid w:val="75FD2911"/>
    <w:rsid w:val="761F46F4"/>
    <w:rsid w:val="764C4219"/>
    <w:rsid w:val="764E771F"/>
    <w:rsid w:val="76935F53"/>
    <w:rsid w:val="76C0056C"/>
    <w:rsid w:val="76E44B48"/>
    <w:rsid w:val="76F43E80"/>
    <w:rsid w:val="76FD1966"/>
    <w:rsid w:val="77485F01"/>
    <w:rsid w:val="774A57ED"/>
    <w:rsid w:val="77620D40"/>
    <w:rsid w:val="77737FCB"/>
    <w:rsid w:val="77763557"/>
    <w:rsid w:val="77814BC8"/>
    <w:rsid w:val="779F3D83"/>
    <w:rsid w:val="77AF3E74"/>
    <w:rsid w:val="77C701A9"/>
    <w:rsid w:val="77D5581E"/>
    <w:rsid w:val="77E93077"/>
    <w:rsid w:val="781D6991"/>
    <w:rsid w:val="783E1BEC"/>
    <w:rsid w:val="784E71DF"/>
    <w:rsid w:val="78540D7D"/>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35112"/>
    <w:rsid w:val="7BF6377E"/>
    <w:rsid w:val="7C094260"/>
    <w:rsid w:val="7C1266C5"/>
    <w:rsid w:val="7C1B48DE"/>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DFC77ED"/>
    <w:rsid w:val="7E1259A1"/>
    <w:rsid w:val="7E334C61"/>
    <w:rsid w:val="7E4328CE"/>
    <w:rsid w:val="7ECF6A67"/>
    <w:rsid w:val="7EEC1F1A"/>
    <w:rsid w:val="7EF017CD"/>
    <w:rsid w:val="7EF121CF"/>
    <w:rsid w:val="7F1F3F0B"/>
    <w:rsid w:val="7F3A4641"/>
    <w:rsid w:val="7F4F4E90"/>
    <w:rsid w:val="7F535D87"/>
    <w:rsid w:val="7F5C6627"/>
    <w:rsid w:val="7F6C4CBA"/>
    <w:rsid w:val="7FA018BD"/>
    <w:rsid w:val="7FA51C53"/>
    <w:rsid w:val="7FBD6439"/>
    <w:rsid w:val="7FBF5BEF"/>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1</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2022-01-18T05:51:00Z</cp:lastPrinted>
  <dcterms:modified xsi:type="dcterms:W3CDTF">2022-01-19T07:14:52Z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