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湖州南浔城投中心实验室装修劳务分包工程</w:t>
      </w:r>
    </w:p>
    <w:p>
      <w:pPr>
        <w:pStyle w:val="4"/>
        <w:rPr>
          <w:rFonts w:hint="eastAsia" w:asciiTheme="majorEastAsia" w:hAnsiTheme="majorEastAsia" w:eastAsiaTheme="majorEastAsia" w:cstheme="majorEastAsia"/>
          <w:b/>
          <w:color w:val="000000"/>
          <w:sz w:val="48"/>
          <w:szCs w:val="48"/>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4"/>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keepNext w:val="0"/>
        <w:keepLines w:val="0"/>
        <w:pageBreakBefore w:val="0"/>
        <w:widowControl w:val="0"/>
        <w:kinsoku/>
        <w:wordWrap/>
        <w:overflowPunct/>
        <w:topLinePunct w:val="0"/>
        <w:bidi w:val="0"/>
        <w:adjustRightInd w:val="0"/>
        <w:snapToGrid/>
        <w:spacing w:line="44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湖州南浔城投中心实验室装修劳务分包工程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FF0000"/>
          <w:kern w:val="0"/>
          <w:sz w:val="21"/>
          <w:szCs w:val="21"/>
          <w:u w:val="none"/>
          <w:lang w:val="en-US" w:eastAsia="zh-CN" w:bidi="ar-SA"/>
        </w:rPr>
        <w:t>中心实验室</w:t>
      </w:r>
      <w:r>
        <w:rPr>
          <w:rFonts w:hint="eastAsia" w:ascii="宋体" w:hAnsi="宋体" w:cs="宋体"/>
          <w:color w:val="FF0000"/>
          <w:kern w:val="0"/>
          <w:sz w:val="21"/>
          <w:szCs w:val="21"/>
          <w:u w:val="none"/>
          <w:lang w:val="en-US" w:eastAsia="zh-CN"/>
        </w:rPr>
        <w:t>总面积2000m2，其中1000m2重新装修，1000m2改造装修</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0000FF"/>
          <w:kern w:val="0"/>
          <w:sz w:val="21"/>
          <w:szCs w:val="21"/>
          <w:u w:val="none"/>
          <w:lang w:val="en-US" w:eastAsia="zh-CN" w:bidi="ar-SA"/>
        </w:rPr>
        <w:t>图纸范围内的实验室室内装修及改造、水电安装、暖通空调、部分智能化及相关设备设施等，</w:t>
      </w:r>
      <w:r>
        <w:rPr>
          <w:rFonts w:hint="eastAsia" w:cs="宋体"/>
          <w:b w:val="0"/>
          <w:bCs w:val="0"/>
          <w:color w:val="0000FF"/>
          <w:kern w:val="0"/>
          <w:sz w:val="21"/>
          <w:szCs w:val="21"/>
          <w:u w:val="none"/>
          <w:lang w:val="en-US" w:eastAsia="zh-CN"/>
        </w:rPr>
        <w:t>具体的</w:t>
      </w:r>
      <w:r>
        <w:rPr>
          <w:rFonts w:hint="eastAsia" w:ascii="宋体" w:hAnsi="宋体" w:eastAsia="宋体" w:cs="宋体"/>
          <w:b w:val="0"/>
          <w:bCs w:val="0"/>
          <w:color w:val="0000FF"/>
          <w:kern w:val="0"/>
          <w:sz w:val="21"/>
          <w:szCs w:val="21"/>
          <w:u w:val="none"/>
          <w:lang w:val="en-US" w:eastAsia="zh-CN" w:bidi="ar-SA"/>
        </w:rPr>
        <w:t>施工范围</w:t>
      </w:r>
      <w:r>
        <w:rPr>
          <w:rFonts w:hint="eastAsia" w:cs="宋体"/>
          <w:b w:val="0"/>
          <w:bCs w:val="0"/>
          <w:color w:val="0000FF"/>
          <w:kern w:val="0"/>
          <w:sz w:val="21"/>
          <w:szCs w:val="21"/>
          <w:u w:val="none"/>
          <w:lang w:val="en-US" w:eastAsia="zh-CN" w:bidi="ar-SA"/>
        </w:rPr>
        <w:t>和工作内容</w:t>
      </w:r>
      <w:r>
        <w:rPr>
          <w:rFonts w:hint="eastAsia" w:ascii="宋体" w:hAnsi="宋体" w:eastAsia="宋体" w:cs="宋体"/>
          <w:b w:val="0"/>
          <w:bCs w:val="0"/>
          <w:color w:val="0000FF"/>
          <w:kern w:val="0"/>
          <w:sz w:val="21"/>
          <w:szCs w:val="21"/>
          <w:u w:val="none"/>
          <w:lang w:val="en-US" w:eastAsia="zh-CN" w:bidi="ar-SA"/>
        </w:rPr>
        <w:t>以</w:t>
      </w:r>
      <w:r>
        <w:rPr>
          <w:rFonts w:hint="eastAsia" w:ascii="宋体" w:hAnsi="宋体" w:cs="宋体"/>
          <w:b w:val="0"/>
          <w:bCs w:val="0"/>
          <w:color w:val="0000FF"/>
          <w:kern w:val="0"/>
          <w:sz w:val="21"/>
          <w:szCs w:val="21"/>
          <w:u w:val="none"/>
          <w:lang w:val="en-US" w:eastAsia="zh-CN" w:bidi="ar-SA"/>
        </w:rPr>
        <w:t>图纸和</w:t>
      </w:r>
      <w:r>
        <w:rPr>
          <w:rFonts w:hint="eastAsia" w:cs="宋体"/>
          <w:b w:val="0"/>
          <w:bCs w:val="0"/>
          <w:color w:val="0000FF"/>
          <w:kern w:val="0"/>
          <w:sz w:val="21"/>
          <w:szCs w:val="21"/>
          <w:u w:val="none"/>
          <w:lang w:val="en-US" w:eastAsia="zh-CN" w:bidi="ar-SA"/>
        </w:rPr>
        <w:t>招标人</w:t>
      </w:r>
      <w:r>
        <w:rPr>
          <w:rFonts w:hint="eastAsia" w:ascii="宋体" w:hAnsi="宋体" w:eastAsia="宋体" w:cs="宋体"/>
          <w:b w:val="0"/>
          <w:bCs w:val="0"/>
          <w:color w:val="0000FF"/>
          <w:kern w:val="0"/>
          <w:sz w:val="21"/>
          <w:szCs w:val="21"/>
          <w:u w:val="none"/>
          <w:lang w:val="en-US" w:eastAsia="zh-CN" w:bidi="ar-SA"/>
        </w:rPr>
        <w:t>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。【材料清单（第四章4）中的材料由招标单位提供】</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湖州南浔城投中心实验室装修劳务分包工程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0000FF"/>
          <w:kern w:val="0"/>
          <w:sz w:val="21"/>
          <w:szCs w:val="21"/>
          <w:u w:val="none"/>
          <w:lang w:val="en-US" w:eastAsia="zh-CN" w:bidi="ar-SA"/>
        </w:rPr>
        <w:t>图纸范围内的实验室室内装修及改造、水电安装、暖通空调、部分智能化及相关设备设施等，</w:t>
      </w:r>
      <w:r>
        <w:rPr>
          <w:rFonts w:hint="eastAsia" w:cs="宋体"/>
          <w:b w:val="0"/>
          <w:bCs w:val="0"/>
          <w:color w:val="0000FF"/>
          <w:kern w:val="0"/>
          <w:sz w:val="21"/>
          <w:szCs w:val="21"/>
          <w:u w:val="none"/>
          <w:lang w:val="en-US" w:eastAsia="zh-CN"/>
        </w:rPr>
        <w:t>具体的</w:t>
      </w:r>
      <w:r>
        <w:rPr>
          <w:rFonts w:hint="eastAsia" w:ascii="宋体" w:hAnsi="宋体" w:eastAsia="宋体" w:cs="宋体"/>
          <w:b w:val="0"/>
          <w:bCs w:val="0"/>
          <w:color w:val="0000FF"/>
          <w:kern w:val="0"/>
          <w:sz w:val="21"/>
          <w:szCs w:val="21"/>
          <w:u w:val="none"/>
          <w:lang w:val="en-US" w:eastAsia="zh-CN" w:bidi="ar-SA"/>
        </w:rPr>
        <w:t>施工范围</w:t>
      </w:r>
      <w:r>
        <w:rPr>
          <w:rFonts w:hint="eastAsia" w:cs="宋体"/>
          <w:b w:val="0"/>
          <w:bCs w:val="0"/>
          <w:color w:val="0000FF"/>
          <w:kern w:val="0"/>
          <w:sz w:val="21"/>
          <w:szCs w:val="21"/>
          <w:u w:val="none"/>
          <w:lang w:val="en-US" w:eastAsia="zh-CN" w:bidi="ar-SA"/>
        </w:rPr>
        <w:t>和工作内容</w:t>
      </w:r>
      <w:r>
        <w:rPr>
          <w:rFonts w:hint="eastAsia" w:ascii="宋体" w:hAnsi="宋体" w:eastAsia="宋体" w:cs="宋体"/>
          <w:b w:val="0"/>
          <w:bCs w:val="0"/>
          <w:color w:val="0000FF"/>
          <w:kern w:val="0"/>
          <w:sz w:val="21"/>
          <w:szCs w:val="21"/>
          <w:u w:val="none"/>
          <w:lang w:val="en-US" w:eastAsia="zh-CN" w:bidi="ar-SA"/>
        </w:rPr>
        <w:t>以</w:t>
      </w:r>
      <w:r>
        <w:rPr>
          <w:rFonts w:hint="eastAsia" w:ascii="宋体" w:hAnsi="宋体" w:cs="宋体"/>
          <w:b w:val="0"/>
          <w:bCs w:val="0"/>
          <w:color w:val="0000FF"/>
          <w:kern w:val="0"/>
          <w:sz w:val="21"/>
          <w:szCs w:val="21"/>
          <w:u w:val="none"/>
          <w:lang w:val="en-US" w:eastAsia="zh-CN" w:bidi="ar-SA"/>
        </w:rPr>
        <w:t>图纸和</w:t>
      </w:r>
      <w:r>
        <w:rPr>
          <w:rFonts w:hint="eastAsia" w:cs="宋体"/>
          <w:b w:val="0"/>
          <w:bCs w:val="0"/>
          <w:color w:val="0000FF"/>
          <w:kern w:val="0"/>
          <w:sz w:val="21"/>
          <w:szCs w:val="21"/>
          <w:u w:val="none"/>
          <w:lang w:val="en-US" w:eastAsia="zh-CN" w:bidi="ar-SA"/>
        </w:rPr>
        <w:t>招标人</w:t>
      </w:r>
      <w:r>
        <w:rPr>
          <w:rFonts w:hint="eastAsia" w:ascii="宋体" w:hAnsi="宋体" w:eastAsia="宋体" w:cs="宋体"/>
          <w:b w:val="0"/>
          <w:bCs w:val="0"/>
          <w:color w:val="0000FF"/>
          <w:kern w:val="0"/>
          <w:sz w:val="21"/>
          <w:szCs w:val="21"/>
          <w:u w:val="none"/>
          <w:lang w:val="en-US" w:eastAsia="zh-CN" w:bidi="ar-SA"/>
        </w:rPr>
        <w:t>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。【材料清单</w:t>
      </w:r>
      <w:bookmarkStart w:id="45" w:name="_GoBack"/>
      <w:bookmarkEnd w:id="45"/>
      <w:r>
        <w:rPr>
          <w:rFonts w:hint="eastAsia" w:cs="宋体"/>
          <w:b w:val="0"/>
          <w:bCs w:val="0"/>
          <w:color w:val="0000FF"/>
          <w:kern w:val="0"/>
          <w:sz w:val="21"/>
          <w:szCs w:val="21"/>
          <w:u w:val="none"/>
          <w:lang w:val="en-US" w:eastAsia="zh-CN" w:bidi="ar-SA"/>
        </w:rPr>
        <w:t>（第四章4）中的材料由招标单位提供】</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湖州市南浔区浔练公路</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房建劳务资质分包库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2022年2月11日至2022年2月15日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14</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暂估价200万元，其中劳务暂估价40万元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湖州南浔城投中心实验室装修劳务分包工程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cs="宋体"/>
                <w:b w:val="0"/>
                <w:bCs w:val="0"/>
                <w:color w:val="0000FF"/>
                <w:kern w:val="0"/>
                <w:sz w:val="21"/>
                <w:szCs w:val="21"/>
                <w:u w:val="none"/>
                <w:lang w:val="en-US" w:eastAsia="zh-CN" w:bidi="ar-SA"/>
              </w:rPr>
              <w:t>图纸范围内的实验室室内装修及改造、水电安装、暖通空调、部分智能化及相关设备设施等，</w:t>
            </w:r>
            <w:r>
              <w:rPr>
                <w:rFonts w:hint="eastAsia" w:cs="宋体"/>
                <w:b w:val="0"/>
                <w:bCs w:val="0"/>
                <w:color w:val="0000FF"/>
                <w:kern w:val="0"/>
                <w:sz w:val="21"/>
                <w:szCs w:val="21"/>
                <w:u w:val="none"/>
                <w:lang w:val="en-US" w:eastAsia="zh-CN"/>
              </w:rPr>
              <w:t>具体的</w:t>
            </w:r>
            <w:r>
              <w:rPr>
                <w:rFonts w:hint="eastAsia" w:ascii="宋体" w:hAnsi="宋体" w:eastAsia="宋体" w:cs="宋体"/>
                <w:b w:val="0"/>
                <w:bCs w:val="0"/>
                <w:color w:val="0000FF"/>
                <w:kern w:val="0"/>
                <w:sz w:val="21"/>
                <w:szCs w:val="21"/>
                <w:u w:val="none"/>
                <w:lang w:val="en-US" w:eastAsia="zh-CN" w:bidi="ar-SA"/>
              </w:rPr>
              <w:t>施工范围</w:t>
            </w:r>
            <w:r>
              <w:rPr>
                <w:rFonts w:hint="eastAsia" w:cs="宋体"/>
                <w:b w:val="0"/>
                <w:bCs w:val="0"/>
                <w:color w:val="0000FF"/>
                <w:kern w:val="0"/>
                <w:sz w:val="21"/>
                <w:szCs w:val="21"/>
                <w:u w:val="none"/>
                <w:lang w:val="en-US" w:eastAsia="zh-CN" w:bidi="ar-SA"/>
              </w:rPr>
              <w:t>和工作内容</w:t>
            </w:r>
            <w:r>
              <w:rPr>
                <w:rFonts w:hint="eastAsia" w:ascii="宋体" w:hAnsi="宋体" w:eastAsia="宋体" w:cs="宋体"/>
                <w:b w:val="0"/>
                <w:bCs w:val="0"/>
                <w:color w:val="0000FF"/>
                <w:kern w:val="0"/>
                <w:sz w:val="21"/>
                <w:szCs w:val="21"/>
                <w:u w:val="none"/>
                <w:lang w:val="en-US" w:eastAsia="zh-CN" w:bidi="ar-SA"/>
              </w:rPr>
              <w:t>以</w:t>
            </w:r>
            <w:r>
              <w:rPr>
                <w:rFonts w:hint="eastAsia" w:ascii="宋体" w:hAnsi="宋体" w:cs="宋体"/>
                <w:b w:val="0"/>
                <w:bCs w:val="0"/>
                <w:color w:val="0000FF"/>
                <w:kern w:val="0"/>
                <w:sz w:val="21"/>
                <w:szCs w:val="21"/>
                <w:u w:val="none"/>
                <w:lang w:val="en-US" w:eastAsia="zh-CN" w:bidi="ar-SA"/>
              </w:rPr>
              <w:t>图纸和</w:t>
            </w:r>
            <w:r>
              <w:rPr>
                <w:rFonts w:hint="eastAsia" w:cs="宋体"/>
                <w:b w:val="0"/>
                <w:bCs w:val="0"/>
                <w:color w:val="0000FF"/>
                <w:kern w:val="0"/>
                <w:sz w:val="21"/>
                <w:szCs w:val="21"/>
                <w:u w:val="none"/>
                <w:lang w:val="en-US" w:eastAsia="zh-CN" w:bidi="ar-SA"/>
              </w:rPr>
              <w:t>招标人</w:t>
            </w:r>
            <w:r>
              <w:rPr>
                <w:rFonts w:hint="eastAsia" w:ascii="宋体" w:hAnsi="宋体" w:eastAsia="宋体" w:cs="宋体"/>
                <w:b w:val="0"/>
                <w:bCs w:val="0"/>
                <w:color w:val="0000FF"/>
                <w:kern w:val="0"/>
                <w:sz w:val="21"/>
                <w:szCs w:val="21"/>
                <w:u w:val="none"/>
                <w:lang w:val="en-US" w:eastAsia="zh-CN" w:bidi="ar-SA"/>
              </w:rPr>
              <w:t>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。【选材清单（第四章4）中的材料由招标单位提供】</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30日历天且一层装修在2022年3月15日前完工</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w:t>
      </w:r>
      <w:r>
        <w:rPr>
          <w:rFonts w:hint="eastAsia" w:ascii="宋体" w:hAnsi="宋体" w:cs="仿宋_GB2312"/>
          <w:kern w:val="0"/>
          <w:sz w:val="21"/>
          <w:szCs w:val="21"/>
          <w:lang w:eastAsia="zh-CN"/>
        </w:rPr>
        <w:t>、</w:t>
      </w:r>
      <w:r>
        <w:rPr>
          <w:rFonts w:hint="eastAsia" w:ascii="宋体" w:hAnsi="宋体" w:cs="仿宋_GB2312"/>
          <w:kern w:val="0"/>
          <w:sz w:val="21"/>
          <w:szCs w:val="21"/>
        </w:rPr>
        <w:t>《法人授权委托书》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承诺函》、《分包项目管理人员表》、《项目管理组织机构》、《施工组织设计》、《重难点关键工程的施工方案》、《质量安全进度保障方案》、《信誉及业绩评价》、《投标人认为需要提交的其它资料》</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综合评分</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246996962"/>
      <w:bookmarkStart w:id="4" w:name="_Toc247085733"/>
      <w:bookmarkStart w:id="5" w:name="_Toc179632593"/>
      <w:bookmarkStart w:id="6" w:name="_Toc144974543"/>
      <w:bookmarkStart w:id="7" w:name="_Toc152045575"/>
      <w:bookmarkStart w:id="8" w:name="_Toc246996219"/>
      <w:bookmarkStart w:id="9" w:name="_Toc152042351"/>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7085734"/>
      <w:bookmarkStart w:id="12" w:name="_Toc152042352"/>
      <w:bookmarkStart w:id="13" w:name="_Toc179632594"/>
      <w:bookmarkStart w:id="14" w:name="_Toc144974544"/>
      <w:bookmarkStart w:id="15" w:name="_Toc152045576"/>
      <w:bookmarkStart w:id="16" w:name="_Toc246996963"/>
      <w:bookmarkStart w:id="17" w:name="_Toc246996220"/>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96602464"/>
      <w:bookmarkStart w:id="20" w:name="_Toc246996964"/>
      <w:bookmarkStart w:id="21" w:name="_Toc152045577"/>
      <w:bookmarkStart w:id="22" w:name="_Toc246996221"/>
      <w:bookmarkStart w:id="23" w:name="_Toc179632595"/>
      <w:bookmarkStart w:id="24" w:name="_Toc152042353"/>
      <w:bookmarkStart w:id="25" w:name="_Toc144974545"/>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2354"/>
      <w:bookmarkStart w:id="28" w:name="_Toc247085736"/>
      <w:bookmarkStart w:id="29" w:name="_Toc152045578"/>
      <w:bookmarkStart w:id="30" w:name="_Toc246996965"/>
      <w:bookmarkStart w:id="31" w:name="_Toc296602465"/>
      <w:bookmarkStart w:id="32" w:name="_Toc246996222"/>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96602466"/>
      <w:bookmarkStart w:id="38" w:name="_Toc152042356"/>
      <w:bookmarkStart w:id="39" w:name="_Toc246996966"/>
      <w:bookmarkStart w:id="40" w:name="_Toc152045579"/>
      <w:bookmarkStart w:id="41" w:name="_Toc247085737"/>
      <w:bookmarkStart w:id="42" w:name="_Toc246996223"/>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pStyle w:val="2"/>
        <w:rPr>
          <w:rFonts w:hint="eastAsia"/>
        </w:rPr>
      </w:pPr>
    </w:p>
    <w:tbl>
      <w:tblPr>
        <w:tblStyle w:val="14"/>
        <w:tblpPr w:leftFromText="180" w:rightFromText="180" w:vertAnchor="text" w:horzAnchor="margin" w:tblpX="205"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r>
              <w:rPr>
                <w:rFonts w:hint="eastAsia" w:ascii="宋体" w:hAnsi="宋体" w:cs="宋体"/>
                <w:color w:val="000000"/>
                <w:sz w:val="21"/>
                <w:szCs w:val="21"/>
                <w:lang w:val="zh-CN"/>
              </w:rPr>
              <w:t>（</w:t>
            </w:r>
            <w:r>
              <w:rPr>
                <w:rFonts w:hint="eastAsia" w:ascii="宋体" w:hAnsi="宋体" w:cs="宋体"/>
                <w:color w:val="000000"/>
                <w:sz w:val="21"/>
                <w:szCs w:val="21"/>
                <w:lang w:val="en-US" w:eastAsia="zh-CN"/>
              </w:rPr>
              <w:t>评分过程中采用四舍五入法，并保留两位小数）</w:t>
            </w:r>
            <w:r>
              <w:rPr>
                <w:rFonts w:hint="eastAsia" w:ascii="宋体" w:hAnsi="宋体" w:eastAsia="宋体" w:cs="宋体"/>
                <w:color w:val="000000"/>
                <w:sz w:val="21"/>
                <w:szCs w:val="21"/>
                <w:lang w:val="zh-CN"/>
              </w:rPr>
              <w:t>：</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w:t>
            </w:r>
            <w:r>
              <w:rPr>
                <w:rFonts w:hint="eastAsia" w:ascii="宋体" w:hAnsi="宋体" w:cs="宋体"/>
                <w:color w:val="000000"/>
                <w:sz w:val="21"/>
                <w:szCs w:val="21"/>
                <w:lang w:val="en-US" w:eastAsia="zh-CN"/>
              </w:rPr>
              <w:t>0.05</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0.08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80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000000"/>
                <w:sz w:val="21"/>
                <w:szCs w:val="21"/>
                <w:lang w:val="zh-CN"/>
              </w:rPr>
              <w:t>视方案优劣打分，一般的得1-1.9分，较好的得2-4分，好的得4.1-5分</w:t>
            </w:r>
            <w:r>
              <w:rPr>
                <w:rFonts w:hint="eastAsia" w:ascii="宋体" w:hAnsi="宋体" w:eastAsia="宋体" w:cs="宋体"/>
                <w:color w:val="000000"/>
                <w:sz w:val="21"/>
                <w:szCs w:val="21"/>
                <w:lang w:val="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default"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8</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000000"/>
                <w:sz w:val="21"/>
                <w:szCs w:val="21"/>
                <w:lang w:val="en-US" w:eastAsia="zh-CN"/>
              </w:rPr>
              <w:t>未</w:t>
            </w:r>
            <w:r>
              <w:rPr>
                <w:rFonts w:hint="eastAsia" w:ascii="宋体" w:hAnsi="宋体" w:cs="宋体"/>
                <w:color w:val="auto"/>
                <w:szCs w:val="21"/>
              </w:rPr>
              <w:t>提供不得分</w:t>
            </w:r>
            <w:r>
              <w:rPr>
                <w:rFonts w:hint="eastAsia" w:ascii="宋体" w:hAnsi="宋体" w:cs="宋体"/>
                <w:color w:val="auto"/>
                <w:szCs w:val="21"/>
                <w:lang w:eastAsia="zh-CN"/>
              </w:rPr>
              <w:t>。</w:t>
            </w:r>
          </w:p>
        </w:tc>
      </w:tr>
    </w:tbl>
    <w:p>
      <w:pPr>
        <w:pStyle w:val="4"/>
        <w:ind w:left="0" w:leftChars="0" w:firstLine="0" w:firstLineChars="0"/>
        <w:rPr>
          <w:rFonts w:hint="eastAsia"/>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p>
    <w:p>
      <w:pPr>
        <w:autoSpaceDE w:val="0"/>
        <w:autoSpaceDN w:val="0"/>
        <w:adjustRightInd w:val="0"/>
        <w:jc w:val="left"/>
        <w:rPr>
          <w:rFonts w:hint="eastAsia" w:ascii="宋体" w:hAnsi="宋体" w:eastAsia="宋体" w:cs="宋体"/>
          <w:b w:val="0"/>
          <w:bCs/>
          <w:kern w:val="0"/>
          <w:sz w:val="21"/>
          <w:szCs w:val="21"/>
          <w:lang w:val="en-US" w:eastAsia="zh-CN"/>
        </w:rPr>
      </w:pPr>
    </w:p>
    <w:p>
      <w:pPr>
        <w:autoSpaceDE w:val="0"/>
        <w:autoSpaceDN w:val="0"/>
        <w:adjustRightInd w:val="0"/>
        <w:jc w:val="left"/>
        <w:rPr>
          <w:rFonts w:hint="eastAsia" w:ascii="宋体" w:hAnsi="宋体" w:eastAsia="宋体" w:cs="宋体"/>
          <w:b w:val="0"/>
          <w:bCs/>
          <w:kern w:val="0"/>
          <w:sz w:val="21"/>
          <w:szCs w:val="21"/>
          <w:lang w:val="en-US" w:eastAsia="zh-CN"/>
        </w:rPr>
      </w:pPr>
    </w:p>
    <w:p>
      <w:pPr>
        <w:autoSpaceDE w:val="0"/>
        <w:autoSpaceDN w:val="0"/>
        <w:adjustRightInd w:val="0"/>
        <w:jc w:val="left"/>
        <w:rPr>
          <w:rFonts w:hint="eastAsia" w:ascii="宋体" w:hAnsi="宋体" w:eastAsia="宋体" w:cs="宋体"/>
          <w:b w:val="0"/>
          <w:bCs/>
          <w:kern w:val="0"/>
          <w:sz w:val="21"/>
          <w:szCs w:val="21"/>
          <w:lang w:val="en-US" w:eastAsia="zh-CN"/>
        </w:rPr>
      </w:pPr>
    </w:p>
    <w:p>
      <w:pPr>
        <w:autoSpaceDE w:val="0"/>
        <w:autoSpaceDN w:val="0"/>
        <w:adjustRightInd w:val="0"/>
        <w:jc w:val="both"/>
        <w:rPr>
          <w:rFonts w:hint="eastAsia" w:ascii="宋体" w:hAnsi="宋体" w:cs="TimesNewRomanPSMT"/>
          <w:b/>
          <w:kern w:val="0"/>
          <w:szCs w:val="21"/>
        </w:rPr>
      </w:pPr>
    </w:p>
    <w:p>
      <w:pPr>
        <w:pStyle w:val="2"/>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木工板、塑胶地板、地砖、墙砖、铝扣板、纸面石膏板、洁净天花板、乳胶漆、空调、电线电缆、开关插座、LED灯具、给水管、铝合金型材、门禁、监控、玻璃胶、填缝胶</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中标人在与招标人签订分包合同的同时必须与招标人</w:t>
      </w:r>
      <w:r>
        <w:rPr>
          <w:rFonts w:hint="eastAsia" w:ascii="宋体" w:hAnsi="宋体"/>
          <w:b w:val="0"/>
          <w:bCs/>
          <w:color w:val="auto"/>
          <w:szCs w:val="21"/>
          <w:u w:val="none"/>
        </w:rPr>
        <w:t>及业主</w:t>
      </w:r>
      <w:r>
        <w:rPr>
          <w:rFonts w:hint="eastAsia" w:ascii="宋体" w:hAnsi="宋体" w:cs="宋体"/>
          <w:b w:val="0"/>
          <w:bCs/>
          <w:color w:val="auto"/>
          <w:szCs w:val="21"/>
          <w:u w:val="none"/>
        </w:rPr>
        <w:t>签订《工程建设廉政合同》。招标人将在本项目实施过程中全面开展“廉政文化进工程”活动，中标人须按照招标人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pStyle w:val="4"/>
      </w:pPr>
    </w:p>
    <w:p>
      <w:pPr>
        <w:autoSpaceDE w:val="0"/>
        <w:autoSpaceDN w:val="0"/>
        <w:adjustRightInd w:val="0"/>
        <w:jc w:val="left"/>
        <w:rPr>
          <w:rFonts w:hint="default"/>
          <w:sz w:val="32"/>
          <w:szCs w:val="40"/>
          <w:lang w:val="en-US" w:eastAsia="zh-CN"/>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lang w:val="en-US" w:eastAsia="zh-CN"/>
        </w:rPr>
        <w:t>材料清单</w:t>
      </w:r>
    </w:p>
    <w:tbl>
      <w:tblPr>
        <w:tblStyle w:val="14"/>
        <w:tblW w:w="855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6"/>
        <w:gridCol w:w="5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5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莫干山、千年舟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保丽、韩华、扬子地板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地砖、墙砖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冠珠、宏宇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铝扣板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法狮龙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纸面石膏板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拉法基、龙牌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洁净天花板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拉法基、龙牌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三棵树、嘉宝莉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杭州中策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飞利浦、欧普、雷士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伟星管道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九牧、恒洁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铝合金型材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栋梁、凤铝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玻璃胶、填缝胶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千里马</w:t>
            </w:r>
          </w:p>
        </w:tc>
      </w:tr>
    </w:tbl>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val="0"/>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val="0"/>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八、《施工组织设计》</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九、《重难点关键工程的施工方案》</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十、《质量安全进度保障方案》</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十一、《信誉及业绩评价》</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十二、《投标人认为需要提交的其它资料》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7F3F3B"/>
    <w:rsid w:val="02A16E5B"/>
    <w:rsid w:val="02A77FF8"/>
    <w:rsid w:val="02D15D88"/>
    <w:rsid w:val="02D405EB"/>
    <w:rsid w:val="02E749BB"/>
    <w:rsid w:val="032D0193"/>
    <w:rsid w:val="0367677F"/>
    <w:rsid w:val="03676E56"/>
    <w:rsid w:val="03A00125"/>
    <w:rsid w:val="03A94B82"/>
    <w:rsid w:val="03D11D4A"/>
    <w:rsid w:val="03E93802"/>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B4790"/>
    <w:rsid w:val="16CD3F39"/>
    <w:rsid w:val="17193619"/>
    <w:rsid w:val="172B78C9"/>
    <w:rsid w:val="174C7528"/>
    <w:rsid w:val="1766153D"/>
    <w:rsid w:val="177D0DF0"/>
    <w:rsid w:val="178D7750"/>
    <w:rsid w:val="17A76437"/>
    <w:rsid w:val="17D46A92"/>
    <w:rsid w:val="17E76070"/>
    <w:rsid w:val="17FC683D"/>
    <w:rsid w:val="18367CDA"/>
    <w:rsid w:val="187B2D1C"/>
    <w:rsid w:val="18A373BF"/>
    <w:rsid w:val="18E75295"/>
    <w:rsid w:val="18F2566E"/>
    <w:rsid w:val="18F5009D"/>
    <w:rsid w:val="191C650D"/>
    <w:rsid w:val="196040B6"/>
    <w:rsid w:val="19820BA0"/>
    <w:rsid w:val="19960EC8"/>
    <w:rsid w:val="19C26E47"/>
    <w:rsid w:val="1A296A52"/>
    <w:rsid w:val="1A2B16AE"/>
    <w:rsid w:val="1A327363"/>
    <w:rsid w:val="1A377E4D"/>
    <w:rsid w:val="1A417455"/>
    <w:rsid w:val="1A484EF8"/>
    <w:rsid w:val="1A55578A"/>
    <w:rsid w:val="1A761E92"/>
    <w:rsid w:val="1A7B75EC"/>
    <w:rsid w:val="1A8643C5"/>
    <w:rsid w:val="1A8804E1"/>
    <w:rsid w:val="1A9939F0"/>
    <w:rsid w:val="1ABE2171"/>
    <w:rsid w:val="1ACF5074"/>
    <w:rsid w:val="1AD6703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897400"/>
    <w:rsid w:val="1C97489E"/>
    <w:rsid w:val="1C9F69B8"/>
    <w:rsid w:val="1CB2284B"/>
    <w:rsid w:val="1CD33F04"/>
    <w:rsid w:val="1CD70817"/>
    <w:rsid w:val="1CDA4153"/>
    <w:rsid w:val="1D23177F"/>
    <w:rsid w:val="1D2E3157"/>
    <w:rsid w:val="1D39497B"/>
    <w:rsid w:val="1D8B208F"/>
    <w:rsid w:val="1D8E30F7"/>
    <w:rsid w:val="1DAB0A38"/>
    <w:rsid w:val="1E4104FD"/>
    <w:rsid w:val="1E5D4927"/>
    <w:rsid w:val="1E851020"/>
    <w:rsid w:val="1EA67FE3"/>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7A34D9"/>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6AD1590"/>
    <w:rsid w:val="270216C1"/>
    <w:rsid w:val="270A253F"/>
    <w:rsid w:val="27225448"/>
    <w:rsid w:val="27266761"/>
    <w:rsid w:val="272C02FD"/>
    <w:rsid w:val="2746156A"/>
    <w:rsid w:val="2758714A"/>
    <w:rsid w:val="278155D4"/>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203915"/>
    <w:rsid w:val="2A502BDE"/>
    <w:rsid w:val="2A610E88"/>
    <w:rsid w:val="2A7F1C4E"/>
    <w:rsid w:val="2AA236A8"/>
    <w:rsid w:val="2AD540D4"/>
    <w:rsid w:val="2AF75B1C"/>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24EB1"/>
    <w:rsid w:val="33352B46"/>
    <w:rsid w:val="334A7AE4"/>
    <w:rsid w:val="336A45BE"/>
    <w:rsid w:val="33866163"/>
    <w:rsid w:val="33AD4398"/>
    <w:rsid w:val="33CB03EB"/>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4C58DE"/>
    <w:rsid w:val="35521411"/>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BF43B6"/>
    <w:rsid w:val="3FCD4482"/>
    <w:rsid w:val="3FD203D8"/>
    <w:rsid w:val="3FDA2369"/>
    <w:rsid w:val="3FF85F20"/>
    <w:rsid w:val="40212731"/>
    <w:rsid w:val="402772FD"/>
    <w:rsid w:val="402C30CE"/>
    <w:rsid w:val="402E1A6D"/>
    <w:rsid w:val="405D63F2"/>
    <w:rsid w:val="406A0379"/>
    <w:rsid w:val="40D5764A"/>
    <w:rsid w:val="4105475D"/>
    <w:rsid w:val="41231EC9"/>
    <w:rsid w:val="412A5293"/>
    <w:rsid w:val="415507E6"/>
    <w:rsid w:val="41627A30"/>
    <w:rsid w:val="417B10C7"/>
    <w:rsid w:val="41D41CA2"/>
    <w:rsid w:val="41EA4FEF"/>
    <w:rsid w:val="41F7337B"/>
    <w:rsid w:val="42053F69"/>
    <w:rsid w:val="421D24CE"/>
    <w:rsid w:val="423C377E"/>
    <w:rsid w:val="425F571A"/>
    <w:rsid w:val="427D3DDB"/>
    <w:rsid w:val="42D36CA9"/>
    <w:rsid w:val="436F71BF"/>
    <w:rsid w:val="437012D3"/>
    <w:rsid w:val="437A2EB2"/>
    <w:rsid w:val="439F66B3"/>
    <w:rsid w:val="43B95527"/>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77467D"/>
    <w:rsid w:val="528A7AE7"/>
    <w:rsid w:val="529A2FFC"/>
    <w:rsid w:val="529C2335"/>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DF2DC3"/>
    <w:rsid w:val="55F33201"/>
    <w:rsid w:val="560A6F8A"/>
    <w:rsid w:val="560F30B7"/>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2A5777"/>
    <w:rsid w:val="5C2C1905"/>
    <w:rsid w:val="5C756A96"/>
    <w:rsid w:val="5C7B414C"/>
    <w:rsid w:val="5C8B657B"/>
    <w:rsid w:val="5CDA409C"/>
    <w:rsid w:val="5CEE7211"/>
    <w:rsid w:val="5CF76BF4"/>
    <w:rsid w:val="5D2C444A"/>
    <w:rsid w:val="5D320FCB"/>
    <w:rsid w:val="5D4B0393"/>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110B"/>
    <w:rsid w:val="5F3D4E03"/>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376E70"/>
    <w:rsid w:val="64474BA2"/>
    <w:rsid w:val="645D295C"/>
    <w:rsid w:val="64626C3E"/>
    <w:rsid w:val="64DA205C"/>
    <w:rsid w:val="64E36D63"/>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73559"/>
    <w:rsid w:val="67E51BE8"/>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9288E"/>
    <w:rsid w:val="6ABA4B0F"/>
    <w:rsid w:val="6B2B2B84"/>
    <w:rsid w:val="6B6E1D88"/>
    <w:rsid w:val="6B7A6E83"/>
    <w:rsid w:val="6B963D85"/>
    <w:rsid w:val="6C050995"/>
    <w:rsid w:val="6C736A36"/>
    <w:rsid w:val="6C75640B"/>
    <w:rsid w:val="6C7B2A22"/>
    <w:rsid w:val="6CDD11CD"/>
    <w:rsid w:val="6CE05267"/>
    <w:rsid w:val="6CE40271"/>
    <w:rsid w:val="6CEA21C3"/>
    <w:rsid w:val="6D4D2E72"/>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A09EB"/>
    <w:rsid w:val="6F2A0302"/>
    <w:rsid w:val="6F3F7EE1"/>
    <w:rsid w:val="6F881053"/>
    <w:rsid w:val="6F9C2F56"/>
    <w:rsid w:val="6FB56789"/>
    <w:rsid w:val="6FC4529C"/>
    <w:rsid w:val="6FE724EF"/>
    <w:rsid w:val="703D584F"/>
    <w:rsid w:val="70414786"/>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DE6B6B"/>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1</TotalTime>
  <ScaleCrop>false</ScaleCrop>
  <LinksUpToDate>false</LinksUpToDate>
  <CharactersWithSpaces>11364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2022-02-10T02:14:00Z</cp:lastPrinted>
  <dcterms:modified xsi:type="dcterms:W3CDTF">2022-02-10T06:20:23Z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