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11"/>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南浔区医疗集团善琏、旧馆卫生院室外配套劳务分包工程</w:t>
      </w:r>
    </w:p>
    <w:p>
      <w:pPr>
        <w:pStyle w:val="12"/>
        <w:rPr>
          <w:rFonts w:hint="eastAsia"/>
          <w:lang w:val="en-US" w:eastAsia="zh-CN"/>
        </w:rPr>
      </w:pPr>
    </w:p>
    <w:p>
      <w:pPr>
        <w:rPr>
          <w:rFonts w:hint="eastAsia"/>
          <w:lang w:val="en-US" w:eastAsia="zh-CN"/>
        </w:rPr>
      </w:pPr>
    </w:p>
    <w:p>
      <w:pPr>
        <w:pStyle w:val="11"/>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1"/>
      </w:pPr>
    </w:p>
    <w:p>
      <w:pPr>
        <w:pStyle w:val="11"/>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11"/>
        <w:ind w:left="0" w:leftChars="0" w:firstLine="0" w:firstLineChars="0"/>
        <w:jc w:val="both"/>
      </w:pPr>
    </w:p>
    <w:p>
      <w:pPr>
        <w:pStyle w:val="12"/>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 xml:space="preserve">月 </w:t>
      </w:r>
    </w:p>
    <w:p>
      <w:pPr>
        <w:pStyle w:val="12"/>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1"/>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南浔区医疗集团善琏、旧馆卫生院室外配套劳务分包工程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南浔区医疗集团善琏、旧馆卫生院室外配套工程，善琏院区、旧馆院区门头、道路、排水、绿化、景观等</w:t>
      </w:r>
      <w:r>
        <w:rPr>
          <w:rFonts w:hint="eastAsia" w:ascii="宋体" w:hAnsi="宋体"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图纸范围内的南浔区医疗集团旧馆、善琏院区的入口、道路、绿化、景观、非机动车棚、停车位、围墙、给排水、亮化等，所有施工范围以图纸和招标人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南浔区医疗集团善琏、旧馆卫生院室外配套劳务分包工程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eastAsia="宋体" w:cs="宋体"/>
          <w:b w:val="0"/>
          <w:bCs w:val="0"/>
          <w:color w:val="FF0000"/>
          <w:kern w:val="0"/>
          <w:sz w:val="21"/>
          <w:szCs w:val="21"/>
          <w:u w:val="none"/>
          <w:lang w:val="en-US" w:eastAsia="zh-CN" w:bidi="ar-SA"/>
        </w:rPr>
        <w:t>图纸范围内的南浔区医疗集团旧馆、善琏院区的入口、道路、绿化、景观、非机动车棚、停车位、围墙、给排水、亮化等，所有施工范围以图纸和招标人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b/>
          <w:bCs/>
          <w:color w:val="0000FF"/>
          <w:spacing w:val="-1"/>
          <w:u w:val="none"/>
          <w:lang w:val="en-US" w:eastAsia="zh-CN"/>
        </w:rPr>
        <w:t>市政绿化劳务分包库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2022年4月24日至2022年4月27日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w:t>
      </w:r>
      <w:r>
        <w:rPr>
          <w:rFonts w:hint="eastAsia" w:ascii="宋体" w:hAnsi="宋体" w:cs="仿宋_GB2312"/>
          <w:kern w:val="0"/>
          <w:sz w:val="21"/>
          <w:szCs w:val="21"/>
          <w:lang w:val="en-US" w:eastAsia="zh-CN"/>
        </w:rPr>
        <w:t>二楼开标室</w:t>
      </w:r>
      <w:r>
        <w:rPr>
          <w:rFonts w:hint="eastAsia" w:ascii="宋体" w:hAnsi="宋体" w:cs="仿宋_GB2312"/>
          <w:kern w:val="0"/>
          <w:sz w:val="21"/>
          <w:szCs w:val="21"/>
        </w:rPr>
        <w:t>，投标文件采取书递交的形式，装订密封。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暂估价360万元，其中善琏院区94万元，旧馆院区266万元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5.3投标时所附文件包括：</w:t>
      </w:r>
      <w:r>
        <w:rPr>
          <w:rFonts w:hint="eastAsia" w:ascii="宋体" w:hAnsi="宋体" w:cs="TimesNewRomanPSMT"/>
          <w:kern w:val="0"/>
          <w:sz w:val="21"/>
          <w:szCs w:val="21"/>
          <w:lang w:val="en-US" w:eastAsia="zh-CN"/>
        </w:rPr>
        <w:t>《索引表》、</w:t>
      </w:r>
      <w:r>
        <w:rPr>
          <w:rFonts w:hint="eastAsia" w:ascii="宋体" w:hAnsi="宋体" w:cs="TimesNewRomanPSMT"/>
          <w:kern w:val="0"/>
          <w:sz w:val="21"/>
          <w:szCs w:val="21"/>
        </w:rPr>
        <w:t>《投标函》</w:t>
      </w:r>
      <w:r>
        <w:rPr>
          <w:rFonts w:hint="eastAsia" w:ascii="宋体" w:hAnsi="宋体" w:cs="TimesNewRomanPSMT"/>
          <w:kern w:val="0"/>
          <w:sz w:val="21"/>
          <w:szCs w:val="21"/>
          <w:lang w:eastAsia="zh-CN"/>
        </w:rPr>
        <w:t>、</w:t>
      </w:r>
      <w:r>
        <w:rPr>
          <w:rFonts w:hint="eastAsia" w:ascii="宋体" w:hAnsi="宋体" w:cs="TimesNewRomanPSMT"/>
          <w:kern w:val="0"/>
          <w:sz w:val="21"/>
          <w:szCs w:val="21"/>
        </w:rPr>
        <w:t>《法人授权委托书》</w:t>
      </w:r>
      <w:r>
        <w:rPr>
          <w:rFonts w:hint="eastAsia" w:ascii="宋体" w:hAnsi="宋体" w:cs="TimesNewRomanPSMT"/>
          <w:kern w:val="0"/>
          <w:sz w:val="21"/>
          <w:szCs w:val="21"/>
          <w:lang w:eastAsia="zh-CN"/>
        </w:rPr>
        <w:t>、《</w:t>
      </w:r>
      <w:r>
        <w:rPr>
          <w:rFonts w:hint="eastAsia" w:ascii="宋体" w:hAnsi="宋体" w:cs="TimesNewRomanPSMT"/>
          <w:kern w:val="0"/>
          <w:sz w:val="21"/>
          <w:szCs w:val="21"/>
          <w:lang w:val="en-US" w:eastAsia="zh-CN"/>
        </w:rPr>
        <w:t>营业执照</w:t>
      </w:r>
      <w:r>
        <w:rPr>
          <w:rFonts w:hint="eastAsia" w:ascii="宋体" w:hAnsi="宋体" w:cs="TimesNewRomanPSMT"/>
          <w:kern w:val="0"/>
          <w:sz w:val="21"/>
          <w:szCs w:val="21"/>
          <w:lang w:eastAsia="zh-CN"/>
        </w:rPr>
        <w:t>》、</w:t>
      </w:r>
      <w:r>
        <w:rPr>
          <w:rFonts w:hint="eastAsia" w:ascii="宋体" w:hAnsi="宋体" w:cs="TimesNewRomanPSMT"/>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TimesNewRomanPSMT"/>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11"/>
        <w:rPr>
          <w:rFonts w:hint="default"/>
          <w:lang w:val="en-US" w:eastAsia="zh-CN"/>
        </w:rPr>
      </w:pPr>
    </w:p>
    <w:p>
      <w:pPr>
        <w:pStyle w:val="12"/>
        <w:rPr>
          <w:rFonts w:hint="default"/>
          <w:lang w:val="en-US" w:eastAsia="zh-CN"/>
        </w:rPr>
      </w:pPr>
    </w:p>
    <w:p>
      <w:pPr>
        <w:pStyle w:val="12"/>
        <w:rPr>
          <w:rFonts w:hint="default"/>
          <w:lang w:val="en-US" w:eastAsia="zh-CN"/>
        </w:rPr>
      </w:pPr>
    </w:p>
    <w:p>
      <w:pPr>
        <w:rPr>
          <w:rFonts w:hint="default"/>
          <w:lang w:val="en-US" w:eastAsia="zh-CN"/>
        </w:rPr>
      </w:pPr>
    </w:p>
    <w:p>
      <w:pPr>
        <w:pStyle w:val="11"/>
        <w:rPr>
          <w:rFonts w:hint="default"/>
          <w:lang w:val="en-US" w:eastAsia="zh-CN"/>
        </w:rPr>
      </w:pPr>
    </w:p>
    <w:p>
      <w:pPr>
        <w:pStyle w:val="12"/>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南浔区医疗集团善琏、旧馆卫生院室外配套劳务分包工程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textAlignment w:val="auto"/>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图纸范围内的南浔区医疗集团旧馆、善琏院区的入口、道路、绿化、景观、非机动车棚、停车位、围墙、给排水、亮化等，所有施工范围以图纸和招标人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善琏院区：45日历天；旧馆院区：45日历天，且配合现场实际施工情况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color w:val="FF0000"/>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9"/>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Cs w:val="21"/>
          <w:lang w:val="en-US" w:eastAsia="zh-CN"/>
        </w:rPr>
        <w:t>《索引表》、</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lang w:eastAsia="zh-CN"/>
        </w:rPr>
      </w:pPr>
      <w:r>
        <w:rPr>
          <w:rFonts w:ascii="宋体" w:hAnsi="宋体" w:cs="TimesNewRomanPSMT"/>
          <w:kern w:val="0"/>
          <w:szCs w:val="21"/>
        </w:rPr>
        <w:t xml:space="preserve">7.3 </w:t>
      </w:r>
      <w:r>
        <w:rPr>
          <w:rFonts w:hint="eastAsia" w:ascii="宋体" w:hAnsi="宋体" w:cs="黑体"/>
          <w:kern w:val="0"/>
          <w:szCs w:val="21"/>
        </w:rPr>
        <w:t>履约担保</w:t>
      </w:r>
      <w:r>
        <w:rPr>
          <w:rFonts w:hint="eastAsia" w:ascii="宋体" w:hAnsi="宋体" w:cs="黑体"/>
          <w:kern w:val="0"/>
          <w:szCs w:val="21"/>
          <w:lang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11"/>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2351"/>
      <w:bookmarkStart w:id="3" w:name="_Toc296590983"/>
      <w:bookmarkStart w:id="4" w:name="_Toc296602462"/>
      <w:bookmarkStart w:id="5" w:name="_Toc152045575"/>
      <w:bookmarkStart w:id="6" w:name="_Toc179632593"/>
      <w:bookmarkStart w:id="7" w:name="_Toc144974543"/>
      <w:bookmarkStart w:id="8" w:name="_Toc247085733"/>
      <w:bookmarkStart w:id="9" w:name="_Toc246996219"/>
      <w:bookmarkStart w:id="10" w:name="_Toc2469969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6996220"/>
      <w:bookmarkStart w:id="13" w:name="_Toc152045576"/>
      <w:bookmarkStart w:id="14" w:name="_Toc179632594"/>
      <w:bookmarkStart w:id="15" w:name="_Toc152042352"/>
      <w:bookmarkStart w:id="16" w:name="_Toc247085734"/>
      <w:bookmarkStart w:id="17" w:name="_Toc296602463"/>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7085735"/>
      <w:bookmarkStart w:id="21" w:name="_Toc296602464"/>
      <w:bookmarkStart w:id="22" w:name="_Toc246996964"/>
      <w:bookmarkStart w:id="23" w:name="_Toc246996221"/>
      <w:bookmarkStart w:id="24" w:name="_Toc152042353"/>
      <w:bookmarkStart w:id="25" w:name="_Toc144974545"/>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965"/>
      <w:bookmarkStart w:id="29" w:name="_Toc152045578"/>
      <w:bookmarkStart w:id="30" w:name="_Toc179632596"/>
      <w:bookmarkStart w:id="31" w:name="_Toc247085736"/>
      <w:bookmarkStart w:id="32" w:name="_Toc246996222"/>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223"/>
      <w:bookmarkStart w:id="38" w:name="_Toc152045579"/>
      <w:bookmarkStart w:id="39" w:name="_Toc152042356"/>
      <w:bookmarkStart w:id="40" w:name="_Toc296602466"/>
      <w:bookmarkStart w:id="41" w:name="_Toc247085737"/>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11"/>
        <w:rPr>
          <w:rFonts w:hint="eastAsia" w:ascii="宋体" w:hAnsi="宋体" w:cs="TimesNewRomanPSMT"/>
          <w:b/>
          <w:kern w:val="0"/>
          <w:szCs w:val="21"/>
          <w:lang w:val="en-US" w:eastAsia="zh-CN"/>
        </w:rPr>
      </w:pPr>
    </w:p>
    <w:p>
      <w:pPr>
        <w:pStyle w:val="12"/>
        <w:rPr>
          <w:rFonts w:hint="eastAsia"/>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11"/>
        <w:rPr>
          <w:rFonts w:hint="eastAsia"/>
        </w:rPr>
      </w:pPr>
    </w:p>
    <w:tbl>
      <w:tblPr>
        <w:tblStyle w:val="17"/>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9</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pStyle w:val="12"/>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pStyle w:val="11"/>
        <w:rPr>
          <w:rFonts w:hint="eastAsia" w:ascii="宋体" w:hAnsi="宋体" w:cs="TimesNewRomanPSMT"/>
          <w:b/>
          <w:kern w:val="0"/>
          <w:szCs w:val="21"/>
        </w:rPr>
      </w:pPr>
    </w:p>
    <w:p>
      <w:pPr>
        <w:pStyle w:val="12"/>
        <w:rPr>
          <w:rFonts w:hint="eastAsia" w:ascii="宋体" w:hAnsi="宋体" w:cs="TimesNewRomanPSMT"/>
          <w:b/>
          <w:kern w:val="0"/>
          <w:szCs w:val="21"/>
        </w:rPr>
      </w:pPr>
    </w:p>
    <w:p>
      <w:pPr>
        <w:pStyle w:val="11"/>
        <w:ind w:left="0" w:leftChars="0" w:firstLine="0" w:firstLineChars="0"/>
        <w:jc w:val="both"/>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hint="eastAsia" w:ascii="宋体" w:hAnsi="宋体" w:eastAsia="宋体" w:cs="TimesNewRomanPSMT"/>
          <w:b/>
          <w:bCs/>
          <w:kern w:val="0"/>
          <w:szCs w:val="21"/>
          <w:lang w:eastAsia="zh-CN"/>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花岗岩、沥青、混凝土、标准砖、荷兰砖、碎石、水泥砂浆、苗木、灯具、电缆等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r>
        <w:rPr>
          <w:rFonts w:hint="eastAsia" w:ascii="宋体" w:hAnsi="宋体" w:cs="TimesNewRomanPSMT"/>
          <w:b/>
          <w:bCs/>
          <w:kern w:val="0"/>
          <w:szCs w:val="21"/>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w:t>
      </w:r>
      <w:r>
        <w:rPr>
          <w:rFonts w:hint="eastAsia" w:ascii="宋体" w:hAnsi="宋体" w:cs="TimesNewRomanPSMT"/>
          <w:b w:val="0"/>
          <w:bCs w:val="0"/>
          <w:kern w:val="0"/>
          <w:szCs w:val="21"/>
          <w:lang w:val="en-US" w:eastAsia="zh-CN"/>
        </w:rPr>
        <w:t>见2.7.2</w:t>
      </w:r>
      <w:r>
        <w:rPr>
          <w:rFonts w:hint="eastAsia" w:ascii="宋体" w:hAnsi="宋体" w:cs="TimesNewRomanPSMT"/>
          <w:b w:val="0"/>
          <w:bCs w:val="0"/>
          <w:kern w:val="0"/>
          <w:szCs w:val="21"/>
        </w:rPr>
        <w:t>进度款支付比例</w:t>
      </w:r>
      <w:r>
        <w:rPr>
          <w:rFonts w:hint="eastAsia" w:ascii="宋体" w:hAnsi="宋体" w:cs="TimesNewRomanPSMT"/>
          <w:kern w:val="0"/>
          <w:szCs w:val="21"/>
        </w:rPr>
        <w:t>。</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val="0"/>
          <w:bCs w:val="0"/>
          <w:kern w:val="0"/>
          <w:szCs w:val="21"/>
        </w:rPr>
      </w:pPr>
      <w:r>
        <w:rPr>
          <w:rFonts w:hint="eastAsia" w:ascii="宋体" w:hAnsi="宋体" w:cs="TimesNewRomanPSMT"/>
          <w:b w:val="0"/>
          <w:bCs w:val="0"/>
          <w:kern w:val="0"/>
          <w:szCs w:val="21"/>
          <w:lang w:val="en-US" w:eastAsia="zh-CN"/>
        </w:rPr>
        <w:t>2.7.2</w:t>
      </w:r>
      <w:r>
        <w:rPr>
          <w:rFonts w:hint="eastAsia" w:ascii="宋体" w:hAnsi="宋体" w:cs="TimesNewRomanPSMT"/>
          <w:b w:val="0"/>
          <w:bCs w:val="0"/>
          <w:kern w:val="0"/>
          <w:szCs w:val="21"/>
        </w:rPr>
        <w:t>进度款支付比例：</w:t>
      </w:r>
    </w:p>
    <w:p>
      <w:pPr>
        <w:autoSpaceDE w:val="0"/>
        <w:autoSpaceDN w:val="0"/>
        <w:spacing w:beforeLines="0" w:afterLines="0" w:line="360" w:lineRule="exact"/>
        <w:jc w:val="left"/>
        <w:rPr>
          <w:rFonts w:hint="default" w:ascii="宋体" w:hAnsi="宋体" w:cs="TimesNewRomanPSMT"/>
          <w:kern w:val="0"/>
          <w:szCs w:val="21"/>
          <w:u w:val="none"/>
          <w:lang w:val="en-US"/>
        </w:rPr>
      </w:pPr>
      <w:r>
        <w:rPr>
          <w:rFonts w:hint="eastAsia" w:ascii="宋体" w:hAnsi="宋体" w:cs="TimesNewRomanPSMT"/>
          <w:b/>
          <w:bCs/>
          <w:color w:val="FF0000"/>
          <w:kern w:val="0"/>
          <w:szCs w:val="21"/>
          <w:u w:val="none"/>
        </w:rPr>
        <w:t>费用支付方式：</w:t>
      </w:r>
      <w:r>
        <w:rPr>
          <w:rFonts w:hint="eastAsia" w:ascii="宋体" w:hAnsi="宋体" w:cs="TimesNewRomanPSMT"/>
          <w:b/>
          <w:bCs/>
          <w:color w:val="FF0000"/>
          <w:kern w:val="0"/>
          <w:szCs w:val="21"/>
          <w:u w:val="none"/>
          <w:lang w:val="en-US" w:eastAsia="zh-CN"/>
        </w:rPr>
        <w:t>1、善琏院区：</w:t>
      </w:r>
      <w:r>
        <w:rPr>
          <w:rFonts w:hint="eastAsia" w:ascii="宋体" w:hAnsi="宋体" w:cs="TimesNewRomanPSMT"/>
          <w:color w:val="FF0000"/>
          <w:kern w:val="0"/>
          <w:szCs w:val="21"/>
          <w:u w:val="none"/>
        </w:rPr>
        <w:t>工程完工凭竣工验收证书、项目移交证书及完成送审结算资料后支付至实际完成工程量</w:t>
      </w:r>
      <w:r>
        <w:rPr>
          <w:rFonts w:hint="eastAsia" w:ascii="宋体" w:hAnsi="宋体" w:cs="TimesNewRomanPSMT"/>
          <w:color w:val="FF0000"/>
          <w:kern w:val="0"/>
          <w:szCs w:val="21"/>
          <w:u w:val="none"/>
          <w:lang w:val="en-US" w:eastAsia="zh-CN"/>
        </w:rPr>
        <w:t>的50</w:t>
      </w:r>
      <w:r>
        <w:rPr>
          <w:rFonts w:hint="eastAsia" w:ascii="宋体" w:hAnsi="宋体" w:cs="TimesNewRomanPSMT"/>
          <w:color w:val="FF0000"/>
          <w:kern w:val="0"/>
          <w:szCs w:val="21"/>
          <w:u w:val="none"/>
        </w:rPr>
        <w:t>%，审计完成支付至审计价下浮后价格的95%，尾款质保期满后</w:t>
      </w:r>
      <w:r>
        <w:rPr>
          <w:rFonts w:hint="eastAsia" w:ascii="宋体" w:hAnsi="宋体" w:cs="TimesNewRomanPSMT"/>
          <w:color w:val="FF0000"/>
          <w:kern w:val="0"/>
          <w:szCs w:val="21"/>
          <w:u w:val="none"/>
          <w:lang w:val="en-US" w:eastAsia="zh-CN"/>
        </w:rPr>
        <w:t>一个月内</w:t>
      </w:r>
      <w:r>
        <w:rPr>
          <w:rFonts w:hint="eastAsia" w:ascii="宋体" w:hAnsi="宋体" w:cs="TimesNewRomanPSMT"/>
          <w:color w:val="FF0000"/>
          <w:kern w:val="0"/>
          <w:szCs w:val="21"/>
          <w:u w:val="none"/>
        </w:rPr>
        <w:t>付清</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无息</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2、</w:t>
      </w:r>
      <w:r>
        <w:rPr>
          <w:rFonts w:hint="eastAsia" w:ascii="宋体" w:hAnsi="宋体" w:cs="TimesNewRomanPSMT"/>
          <w:b/>
          <w:bCs/>
          <w:color w:val="FF0000"/>
          <w:kern w:val="0"/>
          <w:szCs w:val="21"/>
          <w:u w:val="none"/>
          <w:lang w:val="en-US" w:eastAsia="zh-CN"/>
        </w:rPr>
        <w:t>旧馆院区：</w:t>
      </w:r>
      <w:r>
        <w:rPr>
          <w:rFonts w:hint="eastAsia" w:ascii="宋体" w:hAnsi="宋体" w:cs="TimesNewRomanPSMT"/>
          <w:color w:val="FF0000"/>
          <w:kern w:val="0"/>
          <w:szCs w:val="21"/>
          <w:u w:val="none"/>
        </w:rPr>
        <w:t>工程完工凭竣工验收证书、项目移交证书及完成送审结算资料后支付至实际完成工程量</w:t>
      </w:r>
      <w:r>
        <w:rPr>
          <w:rFonts w:hint="eastAsia" w:ascii="宋体" w:hAnsi="宋体" w:cs="TimesNewRomanPSMT"/>
          <w:color w:val="FF0000"/>
          <w:kern w:val="0"/>
          <w:szCs w:val="21"/>
          <w:u w:val="none"/>
          <w:lang w:val="en-US" w:eastAsia="zh-CN"/>
        </w:rPr>
        <w:t>的50</w:t>
      </w:r>
      <w:r>
        <w:rPr>
          <w:rFonts w:hint="eastAsia" w:ascii="宋体" w:hAnsi="宋体" w:cs="TimesNewRomanPSMT"/>
          <w:color w:val="FF0000"/>
          <w:kern w:val="0"/>
          <w:szCs w:val="21"/>
          <w:u w:val="none"/>
        </w:rPr>
        <w:t>%，审计完成支付至审计价下浮后价格的95%，尾款质保期满后</w:t>
      </w:r>
      <w:r>
        <w:rPr>
          <w:rFonts w:hint="eastAsia" w:ascii="宋体" w:hAnsi="宋体" w:cs="TimesNewRomanPSMT"/>
          <w:color w:val="FF0000"/>
          <w:kern w:val="0"/>
          <w:szCs w:val="21"/>
          <w:u w:val="none"/>
          <w:lang w:val="en-US" w:eastAsia="zh-CN"/>
        </w:rPr>
        <w:t>一个月内</w:t>
      </w:r>
      <w:r>
        <w:rPr>
          <w:rFonts w:hint="eastAsia" w:ascii="宋体" w:hAnsi="宋体" w:cs="TimesNewRomanPSMT"/>
          <w:color w:val="FF0000"/>
          <w:kern w:val="0"/>
          <w:szCs w:val="21"/>
          <w:u w:val="none"/>
        </w:rPr>
        <w:t>付清</w:t>
      </w:r>
      <w:r>
        <w:rPr>
          <w:rFonts w:hint="eastAsia" w:ascii="宋体" w:hAnsi="宋体" w:cs="TimesNewRomanPSMT"/>
          <w:color w:val="FF0000"/>
          <w:kern w:val="0"/>
          <w:szCs w:val="21"/>
          <w:u w:val="none"/>
          <w:lang w:eastAsia="zh-CN"/>
        </w:rPr>
        <w:t>（</w:t>
      </w:r>
      <w:r>
        <w:rPr>
          <w:rFonts w:hint="eastAsia" w:ascii="宋体" w:hAnsi="宋体" w:cs="TimesNewRomanPSMT"/>
          <w:color w:val="FF0000"/>
          <w:kern w:val="0"/>
          <w:szCs w:val="21"/>
          <w:u w:val="none"/>
          <w:lang w:val="en-US" w:eastAsia="zh-CN"/>
        </w:rPr>
        <w:t>无息</w:t>
      </w:r>
      <w:r>
        <w:rPr>
          <w:rFonts w:hint="eastAsia" w:ascii="宋体" w:hAnsi="宋体" w:cs="TimesNewRomanPSMT"/>
          <w:color w:val="FF0000"/>
          <w:kern w:val="0"/>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1"/>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1"/>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rPr>
      </w:pPr>
    </w:p>
    <w:p>
      <w:pPr>
        <w:pStyle w:val="2"/>
        <w:rPr>
          <w:rFonts w:hint="eastAsia"/>
        </w:rPr>
      </w:pPr>
    </w:p>
    <w:p>
      <w:pPr>
        <w:pStyle w:val="12"/>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劳务承包合同</w:t>
      </w:r>
    </w:p>
    <w:p>
      <w:pPr>
        <w:pStyle w:val="11"/>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11"/>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11"/>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2" w:firstLineChars="200"/>
        <w:rPr>
          <w:rFonts w:hint="eastAsia" w:ascii="宋体" w:hAnsi="宋体" w:cs="TimesNewRomanPSMT"/>
          <w:color w:val="auto"/>
          <w:kern w:val="0"/>
          <w:szCs w:val="21"/>
          <w:u w:val="none"/>
          <w:lang w:eastAsia="zh-CN"/>
        </w:rPr>
      </w:pPr>
      <w:r>
        <w:rPr>
          <w:rFonts w:hint="eastAsia" w:ascii="宋体" w:hAnsi="宋体" w:cs="TimesNewRomanPSMT"/>
          <w:b/>
          <w:bCs/>
          <w:color w:val="auto"/>
          <w:kern w:val="0"/>
          <w:szCs w:val="21"/>
          <w:u w:val="none"/>
          <w:lang w:val="en-US" w:eastAsia="zh-CN"/>
        </w:rPr>
        <w:t>1、善琏院区：</w:t>
      </w:r>
      <w:r>
        <w:rPr>
          <w:rFonts w:hint="eastAsia" w:ascii="宋体" w:hAnsi="宋体" w:cs="TimesNewRomanPSMT"/>
          <w:color w:val="auto"/>
          <w:kern w:val="0"/>
          <w:szCs w:val="21"/>
          <w:u w:val="none"/>
        </w:rPr>
        <w:t>工程完工凭竣工验收证书、项目移交证书及完成送审结算资料后支付至实际完成工程量</w:t>
      </w:r>
      <w:r>
        <w:rPr>
          <w:rFonts w:hint="eastAsia" w:ascii="宋体" w:hAnsi="宋体" w:cs="TimesNewRomanPSMT"/>
          <w:color w:val="auto"/>
          <w:kern w:val="0"/>
          <w:szCs w:val="21"/>
          <w:u w:val="none"/>
          <w:lang w:val="en-US" w:eastAsia="zh-CN"/>
        </w:rPr>
        <w:t>的50</w:t>
      </w:r>
      <w:r>
        <w:rPr>
          <w:rFonts w:hint="eastAsia" w:ascii="宋体" w:hAnsi="宋体" w:cs="TimesNewRomanPSMT"/>
          <w:color w:val="auto"/>
          <w:kern w:val="0"/>
          <w:szCs w:val="21"/>
          <w:u w:val="none"/>
        </w:rPr>
        <w:t>%，审计完成支付至审计价下浮后价格的95%，尾款质保期满后</w:t>
      </w:r>
      <w:r>
        <w:rPr>
          <w:rFonts w:hint="eastAsia" w:ascii="宋体" w:hAnsi="宋体" w:cs="TimesNewRomanPSMT"/>
          <w:color w:val="auto"/>
          <w:kern w:val="0"/>
          <w:szCs w:val="21"/>
          <w:u w:val="none"/>
          <w:lang w:val="en-US" w:eastAsia="zh-CN"/>
        </w:rPr>
        <w:t>一个月内</w:t>
      </w:r>
      <w:r>
        <w:rPr>
          <w:rFonts w:hint="eastAsia" w:ascii="宋体" w:hAnsi="宋体" w:cs="TimesNewRomanPSMT"/>
          <w:color w:val="auto"/>
          <w:kern w:val="0"/>
          <w:szCs w:val="21"/>
          <w:u w:val="none"/>
        </w:rPr>
        <w:t>付清</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无息</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2、</w:t>
      </w:r>
      <w:r>
        <w:rPr>
          <w:rFonts w:hint="eastAsia" w:ascii="宋体" w:hAnsi="宋体" w:cs="TimesNewRomanPSMT"/>
          <w:b/>
          <w:bCs/>
          <w:color w:val="auto"/>
          <w:kern w:val="0"/>
          <w:szCs w:val="21"/>
          <w:u w:val="none"/>
          <w:lang w:val="en-US" w:eastAsia="zh-CN"/>
        </w:rPr>
        <w:t>旧馆院区：</w:t>
      </w:r>
      <w:r>
        <w:rPr>
          <w:rFonts w:hint="eastAsia" w:ascii="宋体" w:hAnsi="宋体" w:cs="TimesNewRomanPSMT"/>
          <w:color w:val="auto"/>
          <w:kern w:val="0"/>
          <w:szCs w:val="21"/>
          <w:u w:val="none"/>
        </w:rPr>
        <w:t>工程完工凭竣工验收证书、项目移交证书及完成送审结算资料后支付至实际完成工程量</w:t>
      </w:r>
      <w:r>
        <w:rPr>
          <w:rFonts w:hint="eastAsia" w:ascii="宋体" w:hAnsi="宋体" w:cs="TimesNewRomanPSMT"/>
          <w:color w:val="auto"/>
          <w:kern w:val="0"/>
          <w:szCs w:val="21"/>
          <w:u w:val="none"/>
          <w:lang w:val="en-US" w:eastAsia="zh-CN"/>
        </w:rPr>
        <w:t>的50</w:t>
      </w:r>
      <w:r>
        <w:rPr>
          <w:rFonts w:hint="eastAsia" w:ascii="宋体" w:hAnsi="宋体" w:cs="TimesNewRomanPSMT"/>
          <w:color w:val="auto"/>
          <w:kern w:val="0"/>
          <w:szCs w:val="21"/>
          <w:u w:val="none"/>
        </w:rPr>
        <w:t>%，审计完成支付至审计价下浮后价格的95%，尾款质保期满后</w:t>
      </w:r>
      <w:r>
        <w:rPr>
          <w:rFonts w:hint="eastAsia" w:ascii="宋体" w:hAnsi="宋体" w:cs="TimesNewRomanPSMT"/>
          <w:color w:val="auto"/>
          <w:kern w:val="0"/>
          <w:szCs w:val="21"/>
          <w:u w:val="none"/>
          <w:lang w:val="en-US" w:eastAsia="zh-CN"/>
        </w:rPr>
        <w:t>一个月内</w:t>
      </w:r>
      <w:r>
        <w:rPr>
          <w:rFonts w:hint="eastAsia" w:ascii="宋体" w:hAnsi="宋体" w:cs="TimesNewRomanPSMT"/>
          <w:color w:val="auto"/>
          <w:kern w:val="0"/>
          <w:szCs w:val="21"/>
          <w:u w:val="none"/>
        </w:rPr>
        <w:t>付清</w:t>
      </w:r>
      <w:r>
        <w:rPr>
          <w:rFonts w:hint="eastAsia" w:ascii="宋体" w:hAnsi="宋体" w:cs="TimesNewRomanPSMT"/>
          <w:color w:val="auto"/>
          <w:kern w:val="0"/>
          <w:szCs w:val="21"/>
          <w:u w:val="none"/>
          <w:lang w:eastAsia="zh-CN"/>
        </w:rPr>
        <w:t>（</w:t>
      </w:r>
      <w:r>
        <w:rPr>
          <w:rFonts w:hint="eastAsia" w:ascii="宋体" w:hAnsi="宋体" w:cs="TimesNewRomanPSMT"/>
          <w:color w:val="auto"/>
          <w:kern w:val="0"/>
          <w:szCs w:val="21"/>
          <w:u w:val="none"/>
          <w:lang w:val="en-US" w:eastAsia="zh-CN"/>
        </w:rPr>
        <w:t>无息</w:t>
      </w:r>
      <w:r>
        <w:rPr>
          <w:rFonts w:hint="eastAsia" w:ascii="宋体" w:hAnsi="宋体" w:cs="TimesNewRomanPSMT"/>
          <w:color w:val="auto"/>
          <w:kern w:val="0"/>
          <w:szCs w:val="21"/>
          <w:u w:val="none"/>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11"/>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11"/>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11"/>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11"/>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11"/>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11"/>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11"/>
        <w:jc w:val="both"/>
        <w:rPr>
          <w:rFonts w:hint="default" w:ascii="宋体" w:hAnsi="宋体" w:cs="宋体"/>
          <w:color w:val="auto"/>
          <w:sz w:val="24"/>
          <w:szCs w:val="24"/>
          <w:lang w:val="en-US" w:eastAsia="zh-CN"/>
        </w:rPr>
      </w:pPr>
    </w:p>
    <w:p>
      <w:pPr>
        <w:pStyle w:val="11"/>
        <w:jc w:val="both"/>
        <w:rPr>
          <w:rFonts w:hint="eastAsia" w:ascii="宋体" w:hAnsi="宋体" w:cs="宋体"/>
          <w:color w:val="auto"/>
          <w:sz w:val="24"/>
          <w:szCs w:val="24"/>
          <w:lang w:val="en-US" w:eastAsia="zh-CN"/>
        </w:rPr>
      </w:pPr>
    </w:p>
    <w:p>
      <w:pPr>
        <w:pStyle w:val="11"/>
        <w:ind w:left="0" w:leftChars="0" w:firstLine="0" w:firstLineChars="0"/>
        <w:jc w:val="both"/>
        <w:rPr>
          <w:rFonts w:hint="default" w:ascii="宋体" w:hAnsi="宋体" w:cs="宋体"/>
          <w:color w:val="auto"/>
          <w:sz w:val="24"/>
          <w:szCs w:val="24"/>
          <w:lang w:val="en-US" w:eastAsia="zh-CN"/>
        </w:rPr>
      </w:pPr>
    </w:p>
    <w:p/>
    <w:p>
      <w:pPr>
        <w:pStyle w:val="11"/>
        <w:ind w:left="0" w:leftChars="0" w:firstLine="0" w:firstLineChars="0"/>
        <w:jc w:val="both"/>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一、《索引表》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九、《施工组织设计》</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十、《重难点关键工程的施工方案》</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十一、《质量安全进度保障方案》</w:t>
      </w:r>
    </w:p>
    <w:p>
      <w:pPr>
        <w:pStyle w:val="2"/>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十二、《信誉及业绩评价》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十三、《投标人认为需要提交的其它资料》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rPr>
          <w:rFonts w:hint="eastAsia"/>
        </w:rPr>
      </w:pPr>
      <w:bookmarkStart w:id="45" w:name="_GoBack"/>
      <w:bookmarkEnd w:id="45"/>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加盖</w:t>
      </w:r>
      <w:r>
        <w:rPr>
          <w:rFonts w:hint="eastAsia" w:ascii="宋体" w:hAnsi="宋体" w:eastAsia="宋体"/>
          <w:color w:val="000000"/>
          <w:sz w:val="24"/>
          <w:szCs w:val="24"/>
        </w:rPr>
        <w:t xml:space="preserve">公章）：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39"/>
        <w:gridCol w:w="3043"/>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w:t>
            </w:r>
            <w:r>
              <w:rPr>
                <w:rFonts w:hint="eastAsia" w:ascii="宋体" w:hAnsi="宋体"/>
                <w:color w:val="000000"/>
                <w:sz w:val="24"/>
                <w:lang w:val="en-US" w:eastAsia="zh-CN"/>
              </w:rPr>
              <w:t>三</w:t>
            </w:r>
            <w:r>
              <w:rPr>
                <w:rFonts w:hint="eastAsia" w:ascii="宋体" w:hAnsi="宋体"/>
                <w:color w:val="000000"/>
                <w:sz w:val="24"/>
              </w:rPr>
              <w:t>章评分</w:t>
            </w:r>
            <w:r>
              <w:rPr>
                <w:rFonts w:hint="eastAsia" w:ascii="宋体" w:hAnsi="宋体"/>
                <w:color w:val="000000"/>
                <w:sz w:val="24"/>
                <w:lang w:val="en-US" w:eastAsia="zh-CN"/>
              </w:rPr>
              <w:t>方法</w:t>
            </w:r>
            <w:r>
              <w:rPr>
                <w:rFonts w:hint="eastAsia" w:ascii="宋体" w:hAnsi="宋体"/>
                <w:color w:val="000000"/>
                <w:sz w:val="24"/>
              </w:rPr>
              <w:t>（报价除外）</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p>
    <w:p>
      <w:pPr>
        <w:snapToGrid w:val="0"/>
        <w:spacing w:line="460" w:lineRule="exact"/>
        <w:jc w:val="cente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r>
        <w:rPr>
          <w:rFonts w:hint="eastAsia" w:ascii="宋体" w:hAnsi="宋体" w:cs="宋体"/>
          <w:sz w:val="24"/>
          <w:lang w:val="en-US" w:eastAsia="zh-CN"/>
        </w:rPr>
        <w:t xml:space="preserve">                                           </w:t>
      </w:r>
      <w:r>
        <w:rPr>
          <w:rFonts w:hint="eastAsia" w:ascii="宋体" w:hAnsi="宋体" w:cs="宋体"/>
          <w:sz w:val="24"/>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1"/>
        <w:ind w:left="63" w:right="63" w:firstLine="200"/>
      </w:pPr>
    </w:p>
    <w:p>
      <w:pPr>
        <w:pStyle w:val="11"/>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1"/>
        <w:ind w:left="0" w:leftChars="0" w:right="63" w:firstLine="0" w:firstLineChars="0"/>
        <w:jc w:val="left"/>
        <w:rPr>
          <w:rFonts w:eastAsia="黑体"/>
          <w:b/>
          <w:bCs/>
          <w:sz w:val="28"/>
          <w:szCs w:val="28"/>
        </w:rPr>
      </w:pPr>
    </w:p>
    <w:p>
      <w:pPr>
        <w:pStyle w:val="11"/>
        <w:ind w:left="0" w:leftChars="0" w:right="63" w:firstLine="0" w:firstLineChars="0"/>
        <w:jc w:val="both"/>
        <w:rPr>
          <w:rFonts w:eastAsia="黑体"/>
          <w:b/>
          <w:bCs/>
          <w:sz w:val="32"/>
        </w:rPr>
      </w:pPr>
    </w:p>
    <w:p>
      <w:pPr>
        <w:pStyle w:val="12"/>
        <w:rPr>
          <w:rFonts w:eastAsia="黑体"/>
          <w:b/>
          <w:bCs/>
          <w:sz w:val="32"/>
        </w:rPr>
      </w:pPr>
    </w:p>
    <w:p>
      <w:pPr>
        <w:rPr>
          <w:rFonts w:eastAsia="黑体"/>
          <w:b/>
          <w:bCs/>
          <w:sz w:val="32"/>
        </w:rPr>
      </w:pPr>
    </w:p>
    <w:p>
      <w:pPr>
        <w:pStyle w:val="11"/>
      </w:pPr>
    </w:p>
    <w:p>
      <w:pPr>
        <w:pStyle w:val="11"/>
        <w:ind w:left="0" w:leftChars="0" w:firstLine="0" w:firstLineChars="0"/>
        <w:jc w:val="both"/>
        <w:rPr>
          <w:rFonts w:eastAsia="黑体"/>
          <w:b/>
          <w:bCs/>
          <w:sz w:val="32"/>
        </w:r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7"/>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11"/>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15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1"/>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1"/>
        <w:ind w:left="63" w:right="63" w:firstLine="200"/>
      </w:pPr>
    </w:p>
    <w:p>
      <w:pPr>
        <w:pStyle w:val="11"/>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D52E6"/>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01B7"/>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A16E5B"/>
    <w:rsid w:val="02BA3F8E"/>
    <w:rsid w:val="02D15D88"/>
    <w:rsid w:val="02D405EB"/>
    <w:rsid w:val="02E749BB"/>
    <w:rsid w:val="032D0193"/>
    <w:rsid w:val="0367677F"/>
    <w:rsid w:val="03676E56"/>
    <w:rsid w:val="03A00125"/>
    <w:rsid w:val="03A94B82"/>
    <w:rsid w:val="03D11D4A"/>
    <w:rsid w:val="03D97231"/>
    <w:rsid w:val="03E93802"/>
    <w:rsid w:val="043A0533"/>
    <w:rsid w:val="04516A79"/>
    <w:rsid w:val="04573C41"/>
    <w:rsid w:val="0462666F"/>
    <w:rsid w:val="046F6042"/>
    <w:rsid w:val="047A724B"/>
    <w:rsid w:val="04997A93"/>
    <w:rsid w:val="04A27AD6"/>
    <w:rsid w:val="04BC175B"/>
    <w:rsid w:val="04DA4E56"/>
    <w:rsid w:val="04EB7E87"/>
    <w:rsid w:val="05124135"/>
    <w:rsid w:val="051E0E9A"/>
    <w:rsid w:val="052D6729"/>
    <w:rsid w:val="05361AC6"/>
    <w:rsid w:val="05504736"/>
    <w:rsid w:val="055B5E8C"/>
    <w:rsid w:val="05846E99"/>
    <w:rsid w:val="059841B5"/>
    <w:rsid w:val="05BF6198"/>
    <w:rsid w:val="05F7114B"/>
    <w:rsid w:val="05F717DB"/>
    <w:rsid w:val="063614FF"/>
    <w:rsid w:val="064233C9"/>
    <w:rsid w:val="06A905A2"/>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352B6"/>
    <w:rsid w:val="08D46119"/>
    <w:rsid w:val="09121956"/>
    <w:rsid w:val="091309E4"/>
    <w:rsid w:val="09361A12"/>
    <w:rsid w:val="09374B35"/>
    <w:rsid w:val="093C44A0"/>
    <w:rsid w:val="09451A80"/>
    <w:rsid w:val="099F3E40"/>
    <w:rsid w:val="09B54D47"/>
    <w:rsid w:val="09B745A5"/>
    <w:rsid w:val="09CF5737"/>
    <w:rsid w:val="0A2441B5"/>
    <w:rsid w:val="0A5A5EBE"/>
    <w:rsid w:val="0A6B27F2"/>
    <w:rsid w:val="0A86042B"/>
    <w:rsid w:val="0AAC6BE4"/>
    <w:rsid w:val="0AB32181"/>
    <w:rsid w:val="0AB61377"/>
    <w:rsid w:val="0AD4553E"/>
    <w:rsid w:val="0ADE2021"/>
    <w:rsid w:val="0AE66846"/>
    <w:rsid w:val="0B056ACF"/>
    <w:rsid w:val="0B0E7656"/>
    <w:rsid w:val="0B341A54"/>
    <w:rsid w:val="0B3D39AE"/>
    <w:rsid w:val="0B4A311D"/>
    <w:rsid w:val="0B5C340D"/>
    <w:rsid w:val="0B7C0129"/>
    <w:rsid w:val="0BA056F7"/>
    <w:rsid w:val="0BAF2250"/>
    <w:rsid w:val="0BD7201F"/>
    <w:rsid w:val="0C090849"/>
    <w:rsid w:val="0C0F70F9"/>
    <w:rsid w:val="0C3B53E1"/>
    <w:rsid w:val="0C715A9F"/>
    <w:rsid w:val="0C8278CB"/>
    <w:rsid w:val="0C903042"/>
    <w:rsid w:val="0CA72033"/>
    <w:rsid w:val="0CB57E44"/>
    <w:rsid w:val="0CBB11BF"/>
    <w:rsid w:val="0CF94A70"/>
    <w:rsid w:val="0D00419D"/>
    <w:rsid w:val="0D012414"/>
    <w:rsid w:val="0D060ACA"/>
    <w:rsid w:val="0D067D95"/>
    <w:rsid w:val="0D1E7589"/>
    <w:rsid w:val="0D2802F9"/>
    <w:rsid w:val="0D2C7836"/>
    <w:rsid w:val="0D2C79B1"/>
    <w:rsid w:val="0D3764E2"/>
    <w:rsid w:val="0D395ADB"/>
    <w:rsid w:val="0D466B4A"/>
    <w:rsid w:val="0D732767"/>
    <w:rsid w:val="0DA10CD9"/>
    <w:rsid w:val="0DAA3778"/>
    <w:rsid w:val="0DC937C0"/>
    <w:rsid w:val="0DD46DDA"/>
    <w:rsid w:val="0DDE73FA"/>
    <w:rsid w:val="0DED346A"/>
    <w:rsid w:val="0DF17868"/>
    <w:rsid w:val="0E145894"/>
    <w:rsid w:val="0E35686A"/>
    <w:rsid w:val="0E377D9A"/>
    <w:rsid w:val="0E4802A5"/>
    <w:rsid w:val="0E53031A"/>
    <w:rsid w:val="0E5E17BA"/>
    <w:rsid w:val="0E703A00"/>
    <w:rsid w:val="0E87741A"/>
    <w:rsid w:val="0EB964D6"/>
    <w:rsid w:val="0ED657C4"/>
    <w:rsid w:val="0ED9012F"/>
    <w:rsid w:val="0EE11F93"/>
    <w:rsid w:val="0EED547D"/>
    <w:rsid w:val="0F062706"/>
    <w:rsid w:val="0F07103E"/>
    <w:rsid w:val="0F2E3A4B"/>
    <w:rsid w:val="0FA00107"/>
    <w:rsid w:val="0FAB538A"/>
    <w:rsid w:val="0FAE4BA9"/>
    <w:rsid w:val="0FDA2C64"/>
    <w:rsid w:val="0FE86D87"/>
    <w:rsid w:val="100F0015"/>
    <w:rsid w:val="10163297"/>
    <w:rsid w:val="105F1E24"/>
    <w:rsid w:val="10B412E9"/>
    <w:rsid w:val="10C20877"/>
    <w:rsid w:val="10C20BDE"/>
    <w:rsid w:val="10CB7B87"/>
    <w:rsid w:val="10EE5A6A"/>
    <w:rsid w:val="11016360"/>
    <w:rsid w:val="11151C5F"/>
    <w:rsid w:val="11342AE3"/>
    <w:rsid w:val="113B73CF"/>
    <w:rsid w:val="11547BE0"/>
    <w:rsid w:val="115E2150"/>
    <w:rsid w:val="11A6405B"/>
    <w:rsid w:val="11C529F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75A7D"/>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4756E1"/>
    <w:rsid w:val="16661441"/>
    <w:rsid w:val="16692D06"/>
    <w:rsid w:val="167069E6"/>
    <w:rsid w:val="16711CA5"/>
    <w:rsid w:val="16C0024D"/>
    <w:rsid w:val="17193619"/>
    <w:rsid w:val="172B78C9"/>
    <w:rsid w:val="174C7528"/>
    <w:rsid w:val="1766153D"/>
    <w:rsid w:val="177D0DF0"/>
    <w:rsid w:val="178D7750"/>
    <w:rsid w:val="17A76437"/>
    <w:rsid w:val="17E76070"/>
    <w:rsid w:val="17FA6829"/>
    <w:rsid w:val="17FC683D"/>
    <w:rsid w:val="18172F94"/>
    <w:rsid w:val="181A4085"/>
    <w:rsid w:val="18255A8F"/>
    <w:rsid w:val="18367CDA"/>
    <w:rsid w:val="186C5741"/>
    <w:rsid w:val="187B2D1C"/>
    <w:rsid w:val="18A373BF"/>
    <w:rsid w:val="18E75295"/>
    <w:rsid w:val="18F2566E"/>
    <w:rsid w:val="18F5009D"/>
    <w:rsid w:val="191C650D"/>
    <w:rsid w:val="196040B6"/>
    <w:rsid w:val="19820BA0"/>
    <w:rsid w:val="19960EC8"/>
    <w:rsid w:val="19C26E47"/>
    <w:rsid w:val="1A05542B"/>
    <w:rsid w:val="1A296A52"/>
    <w:rsid w:val="1A327363"/>
    <w:rsid w:val="1A377E4D"/>
    <w:rsid w:val="1A417455"/>
    <w:rsid w:val="1A484EF8"/>
    <w:rsid w:val="1A55578A"/>
    <w:rsid w:val="1A761E92"/>
    <w:rsid w:val="1A7B75EC"/>
    <w:rsid w:val="1A8643C5"/>
    <w:rsid w:val="1A8804E1"/>
    <w:rsid w:val="1A9939F0"/>
    <w:rsid w:val="1AA8484B"/>
    <w:rsid w:val="1ABE2171"/>
    <w:rsid w:val="1ACF5074"/>
    <w:rsid w:val="1AE920DA"/>
    <w:rsid w:val="1AFF2799"/>
    <w:rsid w:val="1B001AC7"/>
    <w:rsid w:val="1B102A59"/>
    <w:rsid w:val="1B13565A"/>
    <w:rsid w:val="1B141717"/>
    <w:rsid w:val="1B195CB1"/>
    <w:rsid w:val="1B5A6839"/>
    <w:rsid w:val="1B6A60FA"/>
    <w:rsid w:val="1B6D7A40"/>
    <w:rsid w:val="1B7431C3"/>
    <w:rsid w:val="1B9C027D"/>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001DE"/>
    <w:rsid w:val="1CD33F04"/>
    <w:rsid w:val="1CD70817"/>
    <w:rsid w:val="1CDA4153"/>
    <w:rsid w:val="1CE91E92"/>
    <w:rsid w:val="1D2E3157"/>
    <w:rsid w:val="1D39497B"/>
    <w:rsid w:val="1D596426"/>
    <w:rsid w:val="1D8B208F"/>
    <w:rsid w:val="1D8E30F7"/>
    <w:rsid w:val="1D9E02DC"/>
    <w:rsid w:val="1DAB0A38"/>
    <w:rsid w:val="1DD7559C"/>
    <w:rsid w:val="1E4104FD"/>
    <w:rsid w:val="1E5D4927"/>
    <w:rsid w:val="1E851020"/>
    <w:rsid w:val="1EF403AD"/>
    <w:rsid w:val="1EFD48B8"/>
    <w:rsid w:val="1F0A411A"/>
    <w:rsid w:val="1F207B44"/>
    <w:rsid w:val="1F2B3856"/>
    <w:rsid w:val="1F525CE0"/>
    <w:rsid w:val="1F745F7B"/>
    <w:rsid w:val="1F97531C"/>
    <w:rsid w:val="1FA03DAE"/>
    <w:rsid w:val="1FAA3C18"/>
    <w:rsid w:val="1FB042F7"/>
    <w:rsid w:val="1FED51FB"/>
    <w:rsid w:val="1FF15AA8"/>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43660"/>
    <w:rsid w:val="2255792F"/>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506D3B"/>
    <w:rsid w:val="25BB1B2D"/>
    <w:rsid w:val="25C11A13"/>
    <w:rsid w:val="25C26B32"/>
    <w:rsid w:val="25D87FB3"/>
    <w:rsid w:val="25DE77BD"/>
    <w:rsid w:val="25EC2C8E"/>
    <w:rsid w:val="2648468A"/>
    <w:rsid w:val="264A1A74"/>
    <w:rsid w:val="26940688"/>
    <w:rsid w:val="270216C1"/>
    <w:rsid w:val="27225448"/>
    <w:rsid w:val="27266761"/>
    <w:rsid w:val="272C02FD"/>
    <w:rsid w:val="2746156A"/>
    <w:rsid w:val="2751016E"/>
    <w:rsid w:val="2758714A"/>
    <w:rsid w:val="278D5A4A"/>
    <w:rsid w:val="27936D0C"/>
    <w:rsid w:val="27B830E8"/>
    <w:rsid w:val="27E155EC"/>
    <w:rsid w:val="280276BA"/>
    <w:rsid w:val="280B7FEB"/>
    <w:rsid w:val="282E04AF"/>
    <w:rsid w:val="28450F6C"/>
    <w:rsid w:val="284C16B1"/>
    <w:rsid w:val="28577024"/>
    <w:rsid w:val="286A22CA"/>
    <w:rsid w:val="286A3F94"/>
    <w:rsid w:val="28A66FD2"/>
    <w:rsid w:val="28F60FCD"/>
    <w:rsid w:val="29081179"/>
    <w:rsid w:val="2926030A"/>
    <w:rsid w:val="294C32E2"/>
    <w:rsid w:val="29664B00"/>
    <w:rsid w:val="298D54E1"/>
    <w:rsid w:val="298F58A4"/>
    <w:rsid w:val="29912B2A"/>
    <w:rsid w:val="29933E95"/>
    <w:rsid w:val="29953A54"/>
    <w:rsid w:val="29A11257"/>
    <w:rsid w:val="29F36631"/>
    <w:rsid w:val="29F76330"/>
    <w:rsid w:val="2A502BDE"/>
    <w:rsid w:val="2A610E88"/>
    <w:rsid w:val="2AA236A8"/>
    <w:rsid w:val="2AD540D4"/>
    <w:rsid w:val="2AF77B9D"/>
    <w:rsid w:val="2AFB52E4"/>
    <w:rsid w:val="2B040840"/>
    <w:rsid w:val="2B16595D"/>
    <w:rsid w:val="2B2733B9"/>
    <w:rsid w:val="2B297FDE"/>
    <w:rsid w:val="2B2A503B"/>
    <w:rsid w:val="2B2E699C"/>
    <w:rsid w:val="2B326266"/>
    <w:rsid w:val="2B485D2C"/>
    <w:rsid w:val="2B797A36"/>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0F25F6B"/>
    <w:rsid w:val="311A0F54"/>
    <w:rsid w:val="315111F1"/>
    <w:rsid w:val="316A42B7"/>
    <w:rsid w:val="316C2015"/>
    <w:rsid w:val="317B512E"/>
    <w:rsid w:val="31DD28EC"/>
    <w:rsid w:val="31F34B0C"/>
    <w:rsid w:val="31F74D74"/>
    <w:rsid w:val="32036508"/>
    <w:rsid w:val="321513CB"/>
    <w:rsid w:val="32256D38"/>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CD502C"/>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30BF6"/>
    <w:rsid w:val="35A81BAD"/>
    <w:rsid w:val="35A84571"/>
    <w:rsid w:val="360C2571"/>
    <w:rsid w:val="360D6341"/>
    <w:rsid w:val="36621334"/>
    <w:rsid w:val="36AA2F1D"/>
    <w:rsid w:val="36C23B26"/>
    <w:rsid w:val="36F32FEF"/>
    <w:rsid w:val="36F9389F"/>
    <w:rsid w:val="37727DA2"/>
    <w:rsid w:val="37BC4D26"/>
    <w:rsid w:val="37C2711A"/>
    <w:rsid w:val="37C52541"/>
    <w:rsid w:val="3814321D"/>
    <w:rsid w:val="3822589D"/>
    <w:rsid w:val="38294778"/>
    <w:rsid w:val="383B7004"/>
    <w:rsid w:val="38730D8C"/>
    <w:rsid w:val="38761F63"/>
    <w:rsid w:val="388279D2"/>
    <w:rsid w:val="388A25D9"/>
    <w:rsid w:val="389E6F8B"/>
    <w:rsid w:val="38A05EBA"/>
    <w:rsid w:val="38E73337"/>
    <w:rsid w:val="39243700"/>
    <w:rsid w:val="39371CF5"/>
    <w:rsid w:val="394E7DD5"/>
    <w:rsid w:val="396A5DF5"/>
    <w:rsid w:val="396F20BC"/>
    <w:rsid w:val="39734A06"/>
    <w:rsid w:val="39993D09"/>
    <w:rsid w:val="39A8483F"/>
    <w:rsid w:val="39CB0253"/>
    <w:rsid w:val="39CB45BD"/>
    <w:rsid w:val="39FC39DC"/>
    <w:rsid w:val="3A0F0192"/>
    <w:rsid w:val="3A142266"/>
    <w:rsid w:val="3A1B141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84690C"/>
    <w:rsid w:val="3B920879"/>
    <w:rsid w:val="3BBF5064"/>
    <w:rsid w:val="3BDF3482"/>
    <w:rsid w:val="3BE7142E"/>
    <w:rsid w:val="3C0D04CE"/>
    <w:rsid w:val="3C36656E"/>
    <w:rsid w:val="3C65226A"/>
    <w:rsid w:val="3CB26924"/>
    <w:rsid w:val="3CB97B26"/>
    <w:rsid w:val="3CEC1361"/>
    <w:rsid w:val="3CFF5081"/>
    <w:rsid w:val="3D2C178A"/>
    <w:rsid w:val="3D4B5A31"/>
    <w:rsid w:val="3D525BFF"/>
    <w:rsid w:val="3D6067DA"/>
    <w:rsid w:val="3D792860"/>
    <w:rsid w:val="3DA12DAE"/>
    <w:rsid w:val="3DB37034"/>
    <w:rsid w:val="3DD570E9"/>
    <w:rsid w:val="3DF20FA0"/>
    <w:rsid w:val="3E0747AF"/>
    <w:rsid w:val="3E1A638D"/>
    <w:rsid w:val="3E617160"/>
    <w:rsid w:val="3EB1152D"/>
    <w:rsid w:val="3EE44295"/>
    <w:rsid w:val="3F0B6F2B"/>
    <w:rsid w:val="3F30557D"/>
    <w:rsid w:val="3F3C3A0D"/>
    <w:rsid w:val="3F5465F5"/>
    <w:rsid w:val="3FCD4482"/>
    <w:rsid w:val="3FD203D8"/>
    <w:rsid w:val="3FDA2369"/>
    <w:rsid w:val="3FF85F20"/>
    <w:rsid w:val="3FFF47B3"/>
    <w:rsid w:val="40212731"/>
    <w:rsid w:val="402772FD"/>
    <w:rsid w:val="402E1A6D"/>
    <w:rsid w:val="405C39B3"/>
    <w:rsid w:val="406A0379"/>
    <w:rsid w:val="40A54309"/>
    <w:rsid w:val="40D5764A"/>
    <w:rsid w:val="40E0137F"/>
    <w:rsid w:val="4105475D"/>
    <w:rsid w:val="41231EC9"/>
    <w:rsid w:val="412A5293"/>
    <w:rsid w:val="415507E6"/>
    <w:rsid w:val="41627A30"/>
    <w:rsid w:val="417B10C7"/>
    <w:rsid w:val="41D41CA2"/>
    <w:rsid w:val="41EA4FEF"/>
    <w:rsid w:val="41F7337B"/>
    <w:rsid w:val="42053F69"/>
    <w:rsid w:val="423C377E"/>
    <w:rsid w:val="425138EF"/>
    <w:rsid w:val="425F571A"/>
    <w:rsid w:val="427D3DDB"/>
    <w:rsid w:val="42A258CA"/>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64FBE"/>
    <w:rsid w:val="450A0BF0"/>
    <w:rsid w:val="453D438D"/>
    <w:rsid w:val="45657083"/>
    <w:rsid w:val="456617F3"/>
    <w:rsid w:val="457A0E7B"/>
    <w:rsid w:val="45972A9B"/>
    <w:rsid w:val="45B10D60"/>
    <w:rsid w:val="45CC74A1"/>
    <w:rsid w:val="45FF67F1"/>
    <w:rsid w:val="46001285"/>
    <w:rsid w:val="46333FC8"/>
    <w:rsid w:val="4640722E"/>
    <w:rsid w:val="464B6C7B"/>
    <w:rsid w:val="464F5C1E"/>
    <w:rsid w:val="46881C02"/>
    <w:rsid w:val="46AB7B44"/>
    <w:rsid w:val="46AE3330"/>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11D1"/>
    <w:rsid w:val="484527E2"/>
    <w:rsid w:val="484E168E"/>
    <w:rsid w:val="48613C38"/>
    <w:rsid w:val="48655CE8"/>
    <w:rsid w:val="48C30900"/>
    <w:rsid w:val="48C52312"/>
    <w:rsid w:val="48DF369C"/>
    <w:rsid w:val="491C6F07"/>
    <w:rsid w:val="493354CD"/>
    <w:rsid w:val="494B6911"/>
    <w:rsid w:val="49761856"/>
    <w:rsid w:val="49940639"/>
    <w:rsid w:val="49AB468B"/>
    <w:rsid w:val="49B22D26"/>
    <w:rsid w:val="4A292EB7"/>
    <w:rsid w:val="4A370ED7"/>
    <w:rsid w:val="4A600199"/>
    <w:rsid w:val="4AD61D8B"/>
    <w:rsid w:val="4AEC002A"/>
    <w:rsid w:val="4B550A11"/>
    <w:rsid w:val="4B5C5CDE"/>
    <w:rsid w:val="4B6978CC"/>
    <w:rsid w:val="4B9755FF"/>
    <w:rsid w:val="4BE051A7"/>
    <w:rsid w:val="4BE50202"/>
    <w:rsid w:val="4BE557FA"/>
    <w:rsid w:val="4C203459"/>
    <w:rsid w:val="4C487E08"/>
    <w:rsid w:val="4C4F5739"/>
    <w:rsid w:val="4C5D11DF"/>
    <w:rsid w:val="4C8F6EBF"/>
    <w:rsid w:val="4CA77B6B"/>
    <w:rsid w:val="4CC625AA"/>
    <w:rsid w:val="4CD64AED"/>
    <w:rsid w:val="4D1F409E"/>
    <w:rsid w:val="4D6F1D0C"/>
    <w:rsid w:val="4D755439"/>
    <w:rsid w:val="4DBC074D"/>
    <w:rsid w:val="4DC73A64"/>
    <w:rsid w:val="4DE60D42"/>
    <w:rsid w:val="4E175D28"/>
    <w:rsid w:val="4E2D698F"/>
    <w:rsid w:val="4E69264D"/>
    <w:rsid w:val="4EB64BD7"/>
    <w:rsid w:val="4EC206EE"/>
    <w:rsid w:val="4ED652C6"/>
    <w:rsid w:val="4EFB7579"/>
    <w:rsid w:val="4F0931EA"/>
    <w:rsid w:val="4F26273B"/>
    <w:rsid w:val="4F676E75"/>
    <w:rsid w:val="4F9C4AA9"/>
    <w:rsid w:val="4FF534DD"/>
    <w:rsid w:val="502F7164"/>
    <w:rsid w:val="504101F5"/>
    <w:rsid w:val="50484332"/>
    <w:rsid w:val="505D1263"/>
    <w:rsid w:val="50780407"/>
    <w:rsid w:val="50E10D0C"/>
    <w:rsid w:val="50FF4E2F"/>
    <w:rsid w:val="511D4F82"/>
    <w:rsid w:val="51262417"/>
    <w:rsid w:val="513E0BA1"/>
    <w:rsid w:val="514846E2"/>
    <w:rsid w:val="515060CC"/>
    <w:rsid w:val="51564AF1"/>
    <w:rsid w:val="51EC3B57"/>
    <w:rsid w:val="51F5100B"/>
    <w:rsid w:val="52172160"/>
    <w:rsid w:val="522D1344"/>
    <w:rsid w:val="5277467D"/>
    <w:rsid w:val="528A7AE7"/>
    <w:rsid w:val="529A2FFC"/>
    <w:rsid w:val="529C2335"/>
    <w:rsid w:val="52CA0C50"/>
    <w:rsid w:val="52F04997"/>
    <w:rsid w:val="52FF66C1"/>
    <w:rsid w:val="53832185"/>
    <w:rsid w:val="53920CEE"/>
    <w:rsid w:val="53CC50AE"/>
    <w:rsid w:val="53FC1CCB"/>
    <w:rsid w:val="53FC752F"/>
    <w:rsid w:val="541154AE"/>
    <w:rsid w:val="54272E6B"/>
    <w:rsid w:val="54274D34"/>
    <w:rsid w:val="543812D4"/>
    <w:rsid w:val="543F749E"/>
    <w:rsid w:val="544B5DC1"/>
    <w:rsid w:val="54504FDD"/>
    <w:rsid w:val="54904D93"/>
    <w:rsid w:val="54954380"/>
    <w:rsid w:val="54AC13C7"/>
    <w:rsid w:val="54AF3E2F"/>
    <w:rsid w:val="54B81E43"/>
    <w:rsid w:val="54E97E61"/>
    <w:rsid w:val="555313D1"/>
    <w:rsid w:val="55662A4C"/>
    <w:rsid w:val="55734432"/>
    <w:rsid w:val="55DF2DC3"/>
    <w:rsid w:val="55F33201"/>
    <w:rsid w:val="560F30B7"/>
    <w:rsid w:val="56207147"/>
    <w:rsid w:val="56250A5B"/>
    <w:rsid w:val="563135EA"/>
    <w:rsid w:val="563E6EEB"/>
    <w:rsid w:val="56737795"/>
    <w:rsid w:val="56912411"/>
    <w:rsid w:val="569C2904"/>
    <w:rsid w:val="56A2724A"/>
    <w:rsid w:val="56AB1218"/>
    <w:rsid w:val="56AE6979"/>
    <w:rsid w:val="56BC578B"/>
    <w:rsid w:val="56E04310"/>
    <w:rsid w:val="570A03DE"/>
    <w:rsid w:val="57255C57"/>
    <w:rsid w:val="57272949"/>
    <w:rsid w:val="573279C6"/>
    <w:rsid w:val="578F351C"/>
    <w:rsid w:val="57C12963"/>
    <w:rsid w:val="57DC33A1"/>
    <w:rsid w:val="58064939"/>
    <w:rsid w:val="58430DCC"/>
    <w:rsid w:val="58513B77"/>
    <w:rsid w:val="586303D1"/>
    <w:rsid w:val="586A6EB3"/>
    <w:rsid w:val="587040B4"/>
    <w:rsid w:val="587126BA"/>
    <w:rsid w:val="588501DB"/>
    <w:rsid w:val="58CF09EC"/>
    <w:rsid w:val="58D74BC6"/>
    <w:rsid w:val="58DA7D32"/>
    <w:rsid w:val="58E30090"/>
    <w:rsid w:val="593512BC"/>
    <w:rsid w:val="59370951"/>
    <w:rsid w:val="59422BD6"/>
    <w:rsid w:val="594611C8"/>
    <w:rsid w:val="597623F7"/>
    <w:rsid w:val="599855CB"/>
    <w:rsid w:val="59AC7755"/>
    <w:rsid w:val="59BC506B"/>
    <w:rsid w:val="59C06814"/>
    <w:rsid w:val="59D35FCF"/>
    <w:rsid w:val="59E27657"/>
    <w:rsid w:val="59E618A3"/>
    <w:rsid w:val="5A03560E"/>
    <w:rsid w:val="5A2D770C"/>
    <w:rsid w:val="5A3857B2"/>
    <w:rsid w:val="5A8D6E22"/>
    <w:rsid w:val="5B051866"/>
    <w:rsid w:val="5B170EC1"/>
    <w:rsid w:val="5B1E125F"/>
    <w:rsid w:val="5B523BA8"/>
    <w:rsid w:val="5B5C3848"/>
    <w:rsid w:val="5B617A31"/>
    <w:rsid w:val="5B9073F7"/>
    <w:rsid w:val="5B994905"/>
    <w:rsid w:val="5BAA245B"/>
    <w:rsid w:val="5C084785"/>
    <w:rsid w:val="5C0A126A"/>
    <w:rsid w:val="5C273957"/>
    <w:rsid w:val="5C2C1905"/>
    <w:rsid w:val="5C4700BA"/>
    <w:rsid w:val="5C756A96"/>
    <w:rsid w:val="5C7B414C"/>
    <w:rsid w:val="5C8B657B"/>
    <w:rsid w:val="5CDA409C"/>
    <w:rsid w:val="5CEE7211"/>
    <w:rsid w:val="5CF46F69"/>
    <w:rsid w:val="5CF76BF4"/>
    <w:rsid w:val="5D2C444A"/>
    <w:rsid w:val="5D320FCB"/>
    <w:rsid w:val="5D525483"/>
    <w:rsid w:val="5D5641BE"/>
    <w:rsid w:val="5D694EF6"/>
    <w:rsid w:val="5D6A11C4"/>
    <w:rsid w:val="5DA12F2E"/>
    <w:rsid w:val="5DA3755F"/>
    <w:rsid w:val="5DAE13CF"/>
    <w:rsid w:val="5DCD250B"/>
    <w:rsid w:val="5DDB01B6"/>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4673F0"/>
    <w:rsid w:val="606C77B2"/>
    <w:rsid w:val="606D64A0"/>
    <w:rsid w:val="60C46ED4"/>
    <w:rsid w:val="60D25A15"/>
    <w:rsid w:val="60F84A17"/>
    <w:rsid w:val="61052E80"/>
    <w:rsid w:val="61056DAF"/>
    <w:rsid w:val="612753A8"/>
    <w:rsid w:val="61347170"/>
    <w:rsid w:val="61612908"/>
    <w:rsid w:val="61737677"/>
    <w:rsid w:val="61797104"/>
    <w:rsid w:val="61865859"/>
    <w:rsid w:val="619E2C47"/>
    <w:rsid w:val="619F165D"/>
    <w:rsid w:val="61A27AD0"/>
    <w:rsid w:val="61B07F7B"/>
    <w:rsid w:val="62467775"/>
    <w:rsid w:val="6248295B"/>
    <w:rsid w:val="627E5377"/>
    <w:rsid w:val="628A613F"/>
    <w:rsid w:val="62936CE6"/>
    <w:rsid w:val="62CC2286"/>
    <w:rsid w:val="631C472A"/>
    <w:rsid w:val="63365241"/>
    <w:rsid w:val="634A476A"/>
    <w:rsid w:val="63613D1C"/>
    <w:rsid w:val="6363722B"/>
    <w:rsid w:val="6380002F"/>
    <w:rsid w:val="63836E8B"/>
    <w:rsid w:val="63862972"/>
    <w:rsid w:val="63D52938"/>
    <w:rsid w:val="63D52DC3"/>
    <w:rsid w:val="63DB3094"/>
    <w:rsid w:val="63EE2185"/>
    <w:rsid w:val="64103523"/>
    <w:rsid w:val="64130890"/>
    <w:rsid w:val="64144701"/>
    <w:rsid w:val="64474BA2"/>
    <w:rsid w:val="645D295C"/>
    <w:rsid w:val="64626C3E"/>
    <w:rsid w:val="64C915A1"/>
    <w:rsid w:val="64DA205C"/>
    <w:rsid w:val="650049A6"/>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D45A6F"/>
    <w:rsid w:val="66D91F2E"/>
    <w:rsid w:val="66EC4D44"/>
    <w:rsid w:val="66EE52A3"/>
    <w:rsid w:val="66FE6CC3"/>
    <w:rsid w:val="671B2005"/>
    <w:rsid w:val="672A1E78"/>
    <w:rsid w:val="673A60A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B751C7"/>
    <w:rsid w:val="68D9424D"/>
    <w:rsid w:val="68EC2959"/>
    <w:rsid w:val="692D1F13"/>
    <w:rsid w:val="693A030E"/>
    <w:rsid w:val="693E4DC3"/>
    <w:rsid w:val="69500F88"/>
    <w:rsid w:val="69DF144F"/>
    <w:rsid w:val="6A0D0E38"/>
    <w:rsid w:val="6A5D01A4"/>
    <w:rsid w:val="6A8219B9"/>
    <w:rsid w:val="6A95793E"/>
    <w:rsid w:val="6AA00E50"/>
    <w:rsid w:val="6ABA4B0F"/>
    <w:rsid w:val="6ACB20FD"/>
    <w:rsid w:val="6B2B2B84"/>
    <w:rsid w:val="6B6E1D88"/>
    <w:rsid w:val="6B963D85"/>
    <w:rsid w:val="6BC24DC5"/>
    <w:rsid w:val="6C736A36"/>
    <w:rsid w:val="6C75640B"/>
    <w:rsid w:val="6C7B2A22"/>
    <w:rsid w:val="6C934420"/>
    <w:rsid w:val="6CDD11CD"/>
    <w:rsid w:val="6CE05267"/>
    <w:rsid w:val="6CE40271"/>
    <w:rsid w:val="6CEA21C3"/>
    <w:rsid w:val="6CF505AC"/>
    <w:rsid w:val="6D556F64"/>
    <w:rsid w:val="6D9F74C0"/>
    <w:rsid w:val="6DA22A9E"/>
    <w:rsid w:val="6DBE3B46"/>
    <w:rsid w:val="6DCE1D1E"/>
    <w:rsid w:val="6DE33D6B"/>
    <w:rsid w:val="6E0726D2"/>
    <w:rsid w:val="6E3A26D8"/>
    <w:rsid w:val="6E4A0B0A"/>
    <w:rsid w:val="6E500CD1"/>
    <w:rsid w:val="6E5C208F"/>
    <w:rsid w:val="6E723037"/>
    <w:rsid w:val="6E761835"/>
    <w:rsid w:val="6E851A98"/>
    <w:rsid w:val="6EB1189B"/>
    <w:rsid w:val="6EC41563"/>
    <w:rsid w:val="6ECE341F"/>
    <w:rsid w:val="6F055553"/>
    <w:rsid w:val="6F1A09EB"/>
    <w:rsid w:val="6F2A0302"/>
    <w:rsid w:val="6F3F7EE1"/>
    <w:rsid w:val="6F9C2F56"/>
    <w:rsid w:val="6FB56789"/>
    <w:rsid w:val="6FC4529C"/>
    <w:rsid w:val="6FE724EF"/>
    <w:rsid w:val="701E2184"/>
    <w:rsid w:val="70463FB0"/>
    <w:rsid w:val="705A3033"/>
    <w:rsid w:val="70694A66"/>
    <w:rsid w:val="706B4B17"/>
    <w:rsid w:val="70801458"/>
    <w:rsid w:val="708C67C6"/>
    <w:rsid w:val="70AF6E6D"/>
    <w:rsid w:val="70C66482"/>
    <w:rsid w:val="70C94A80"/>
    <w:rsid w:val="70D0706A"/>
    <w:rsid w:val="7123259E"/>
    <w:rsid w:val="713A5025"/>
    <w:rsid w:val="71471BB9"/>
    <w:rsid w:val="71680B0F"/>
    <w:rsid w:val="71854B70"/>
    <w:rsid w:val="71EF104F"/>
    <w:rsid w:val="71F95237"/>
    <w:rsid w:val="722D514D"/>
    <w:rsid w:val="725337DC"/>
    <w:rsid w:val="725D51C5"/>
    <w:rsid w:val="725E3D3D"/>
    <w:rsid w:val="725F4D5A"/>
    <w:rsid w:val="72CF0E9B"/>
    <w:rsid w:val="72FF072E"/>
    <w:rsid w:val="73045661"/>
    <w:rsid w:val="73353A6C"/>
    <w:rsid w:val="733A35E5"/>
    <w:rsid w:val="7353025C"/>
    <w:rsid w:val="73557AEB"/>
    <w:rsid w:val="737F302F"/>
    <w:rsid w:val="73924D5F"/>
    <w:rsid w:val="739F6EDB"/>
    <w:rsid w:val="73E406F4"/>
    <w:rsid w:val="73F522EE"/>
    <w:rsid w:val="74271298"/>
    <w:rsid w:val="746B1BF9"/>
    <w:rsid w:val="74766500"/>
    <w:rsid w:val="74845D7A"/>
    <w:rsid w:val="748962D3"/>
    <w:rsid w:val="74C817E9"/>
    <w:rsid w:val="74D13C2A"/>
    <w:rsid w:val="74DD260E"/>
    <w:rsid w:val="75322E1E"/>
    <w:rsid w:val="754E66A1"/>
    <w:rsid w:val="75B9544D"/>
    <w:rsid w:val="75BF0392"/>
    <w:rsid w:val="75F25DC7"/>
    <w:rsid w:val="75FA5640"/>
    <w:rsid w:val="75FD2911"/>
    <w:rsid w:val="761F46F4"/>
    <w:rsid w:val="764C4219"/>
    <w:rsid w:val="764E771F"/>
    <w:rsid w:val="76935F53"/>
    <w:rsid w:val="76C0056C"/>
    <w:rsid w:val="76E44B48"/>
    <w:rsid w:val="76F43E80"/>
    <w:rsid w:val="76FD1966"/>
    <w:rsid w:val="77485F01"/>
    <w:rsid w:val="774A57ED"/>
    <w:rsid w:val="77620D40"/>
    <w:rsid w:val="77737FCB"/>
    <w:rsid w:val="77763557"/>
    <w:rsid w:val="77814BC8"/>
    <w:rsid w:val="779F3D83"/>
    <w:rsid w:val="77AF3E74"/>
    <w:rsid w:val="77C701A9"/>
    <w:rsid w:val="77D5581E"/>
    <w:rsid w:val="77E93077"/>
    <w:rsid w:val="77F27C02"/>
    <w:rsid w:val="781D6991"/>
    <w:rsid w:val="783E1BEC"/>
    <w:rsid w:val="784E71DF"/>
    <w:rsid w:val="78540D7D"/>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AE26D0"/>
    <w:rsid w:val="7AE16D71"/>
    <w:rsid w:val="7AE84FBC"/>
    <w:rsid w:val="7AF761D9"/>
    <w:rsid w:val="7B320699"/>
    <w:rsid w:val="7B9B28DB"/>
    <w:rsid w:val="7BD02646"/>
    <w:rsid w:val="7BD27F57"/>
    <w:rsid w:val="7BF35112"/>
    <w:rsid w:val="7BF6377E"/>
    <w:rsid w:val="7BFA7F7A"/>
    <w:rsid w:val="7C094260"/>
    <w:rsid w:val="7C1266C5"/>
    <w:rsid w:val="7C1B48DE"/>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DFC77ED"/>
    <w:rsid w:val="7E1259A1"/>
    <w:rsid w:val="7E334C61"/>
    <w:rsid w:val="7E4328CE"/>
    <w:rsid w:val="7ECF6A67"/>
    <w:rsid w:val="7EEC1F1A"/>
    <w:rsid w:val="7EF017CD"/>
    <w:rsid w:val="7EF121CF"/>
    <w:rsid w:val="7F1F3F0B"/>
    <w:rsid w:val="7F3A4641"/>
    <w:rsid w:val="7F4F4E90"/>
    <w:rsid w:val="7F535D87"/>
    <w:rsid w:val="7F5C6627"/>
    <w:rsid w:val="7F6C4CBA"/>
    <w:rsid w:val="7FA018BD"/>
    <w:rsid w:val="7FA51C53"/>
    <w:rsid w:val="7FBD6439"/>
    <w:rsid w:val="7FBF5BEF"/>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next w:val="4"/>
    <w:link w:val="28"/>
    <w:qFormat/>
    <w:uiPriority w:val="0"/>
    <w:pPr>
      <w:tabs>
        <w:tab w:val="left" w:pos="7060"/>
      </w:tabs>
      <w:spacing w:line="360" w:lineRule="auto"/>
      <w:ind w:firstLine="560" w:firstLineChars="200"/>
    </w:pPr>
    <w:rPr>
      <w:rFonts w:eastAsia="新宋体"/>
      <w:sz w:val="28"/>
    </w:r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99"/>
    <w:pPr>
      <w:ind w:firstLine="420"/>
    </w:pPr>
    <w:rPr>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link w:val="24"/>
    <w:semiHidden/>
    <w:qFormat/>
    <w:uiPriority w:val="0"/>
    <w:pPr>
      <w:jc w:val="left"/>
    </w:pPr>
    <w:rPr>
      <w:rFonts w:ascii="Arial" w:hAnsi="Arial" w:cs="Arial"/>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1">
    <w:name w:val="Body Text First Indent"/>
    <w:basedOn w:val="10"/>
    <w:next w:val="12"/>
    <w:unhideWhenUsed/>
    <w:qFormat/>
    <w:uiPriority w:val="99"/>
    <w:pPr>
      <w:ind w:firstLine="420" w:firstLineChars="100"/>
    </w:pPr>
  </w:style>
  <w:style w:type="paragraph" w:styleId="12">
    <w:name w:val="toc 6"/>
    <w:basedOn w:val="1"/>
    <w:next w:val="1"/>
    <w:qFormat/>
    <w:uiPriority w:val="99"/>
    <w:pPr>
      <w:ind w:left="2100" w:leftChars="1000"/>
    </w:pPr>
    <w:rPr>
      <w:rFonts w:ascii="Calibri" w:hAnsi="Calibri"/>
      <w:szCs w:val="22"/>
    </w:rPr>
  </w:style>
  <w:style w:type="paragraph" w:styleId="13">
    <w:name w:val="Balloon Text"/>
    <w:basedOn w:val="1"/>
    <w:link w:val="29"/>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rPr>
  </w:style>
  <w:style w:type="character" w:styleId="21">
    <w:name w:val="Hyperlink"/>
    <w:qFormat/>
    <w:uiPriority w:val="0"/>
    <w:rPr>
      <w:color w:val="0000FF"/>
      <w:u w:val="single"/>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8"/>
    <w:link w:val="9"/>
    <w:semiHidden/>
    <w:qFormat/>
    <w:uiPriority w:val="0"/>
    <w:rPr>
      <w:rFonts w:ascii="Arial" w:hAnsi="Arial" w:eastAsia="宋体" w:cs="Arial"/>
      <w:szCs w:val="24"/>
    </w:rPr>
  </w:style>
  <w:style w:type="character" w:customStyle="1" w:styleId="25">
    <w:name w:val="页眉 Char"/>
    <w:basedOn w:val="18"/>
    <w:link w:val="15"/>
    <w:qFormat/>
    <w:uiPriority w:val="99"/>
    <w:rPr>
      <w:rFonts w:ascii="Times New Roman" w:hAnsi="Times New Roman" w:eastAsia="宋体" w:cs="Times New Roman"/>
      <w:sz w:val="18"/>
      <w:szCs w:val="18"/>
    </w:rPr>
  </w:style>
  <w:style w:type="character" w:customStyle="1" w:styleId="26">
    <w:name w:val="页脚 Char"/>
    <w:basedOn w:val="18"/>
    <w:link w:val="14"/>
    <w:qFormat/>
    <w:uiPriority w:val="99"/>
    <w:rPr>
      <w:rFonts w:ascii="Times New Roman" w:hAnsi="Times New Roman" w:eastAsia="宋体" w:cs="Times New Roman"/>
      <w:sz w:val="18"/>
      <w:szCs w:val="18"/>
    </w:rPr>
  </w:style>
  <w:style w:type="character" w:customStyle="1" w:styleId="27">
    <w:name w:val="标题 3 Char"/>
    <w:basedOn w:val="18"/>
    <w:link w:val="6"/>
    <w:qFormat/>
    <w:uiPriority w:val="0"/>
    <w:rPr>
      <w:rFonts w:ascii="Times New Roman" w:hAnsi="Times New Roman" w:eastAsia="宋体" w:cs="Times New Roman"/>
      <w:b/>
      <w:bCs/>
      <w:sz w:val="32"/>
      <w:szCs w:val="32"/>
    </w:rPr>
  </w:style>
  <w:style w:type="character" w:customStyle="1" w:styleId="28">
    <w:name w:val="正文文本缩进 Char"/>
    <w:basedOn w:val="18"/>
    <w:link w:val="3"/>
    <w:qFormat/>
    <w:uiPriority w:val="0"/>
    <w:rPr>
      <w:rFonts w:ascii="Times New Roman" w:hAnsi="Times New Roman" w:eastAsia="新宋体" w:cs="Times New Roman"/>
      <w:sz w:val="28"/>
      <w:szCs w:val="24"/>
    </w:rPr>
  </w:style>
  <w:style w:type="character" w:customStyle="1" w:styleId="29">
    <w:name w:val="批注框文本 Char"/>
    <w:basedOn w:val="18"/>
    <w:link w:val="13"/>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 w:type="character" w:customStyle="1" w:styleId="31">
    <w:name w:val="font41"/>
    <w:basedOn w:val="18"/>
    <w:qFormat/>
    <w:uiPriority w:val="0"/>
    <w:rPr>
      <w:rFonts w:hint="eastAsia" w:ascii="宋体" w:hAnsi="宋体" w:eastAsia="宋体" w:cs="宋体"/>
      <w:color w:val="000000"/>
      <w:sz w:val="44"/>
      <w:szCs w:val="44"/>
      <w:u w:val="none"/>
      <w:vertAlign w:val="superscript"/>
    </w:rPr>
  </w:style>
  <w:style w:type="character" w:customStyle="1" w:styleId="32">
    <w:name w:val="font11"/>
    <w:basedOn w:val="18"/>
    <w:qFormat/>
    <w:uiPriority w:val="0"/>
    <w:rPr>
      <w:rFonts w:hint="eastAsia" w:ascii="宋体" w:hAnsi="宋体" w:eastAsia="宋体" w:cs="宋体"/>
      <w:color w:val="000000"/>
      <w:sz w:val="44"/>
      <w:szCs w:val="44"/>
      <w:u w:val="none"/>
    </w:rPr>
  </w:style>
  <w:style w:type="character" w:customStyle="1" w:styleId="33">
    <w:name w:val="font31"/>
    <w:basedOn w:val="18"/>
    <w:qFormat/>
    <w:uiPriority w:val="0"/>
    <w:rPr>
      <w:rFonts w:hint="eastAsia" w:ascii="宋体" w:hAnsi="宋体" w:eastAsia="宋体" w:cs="宋体"/>
      <w:color w:val="000000"/>
      <w:sz w:val="16"/>
      <w:szCs w:val="16"/>
      <w:u w:val="none"/>
      <w:vertAlign w:val="superscript"/>
    </w:rPr>
  </w:style>
  <w:style w:type="character" w:customStyle="1" w:styleId="34">
    <w:name w:val="font01"/>
    <w:basedOn w:val="18"/>
    <w:qFormat/>
    <w:uiPriority w:val="0"/>
    <w:rPr>
      <w:rFonts w:hint="eastAsia" w:ascii="宋体" w:hAnsi="宋体" w:eastAsia="宋体" w:cs="宋体"/>
      <w:color w:val="000000"/>
      <w:sz w:val="16"/>
      <w:szCs w:val="16"/>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28</Pages>
  <Words>25861</Words>
  <Characters>26784</Characters>
  <Lines>82</Lines>
  <Paragraphs>23</Paragraphs>
  <TotalTime>2</TotalTime>
  <ScaleCrop>false</ScaleCrop>
  <LinksUpToDate>false</LinksUpToDate>
  <CharactersWithSpaces>27879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2022-01-18T05:51:00Z</cp:lastPrinted>
  <dcterms:modified xsi:type="dcterms:W3CDTF">2022-04-24T00:43:02Z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