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9"/>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2022年南浔美丽乡村景观线绿化养护工程</w:t>
      </w: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9"/>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pPr>
    </w:p>
    <w:p>
      <w:pPr>
        <w:pStyle w:val="10"/>
      </w:pPr>
    </w:p>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9"/>
        <w:ind w:left="0" w:leftChars="0" w:firstLine="0" w:firstLineChars="0"/>
        <w:jc w:val="both"/>
      </w:pPr>
    </w:p>
    <w:p>
      <w:pPr>
        <w:pStyle w:val="10"/>
      </w:pPr>
    </w:p>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10"/>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w:t>
      </w:r>
      <w:r>
        <w:rPr>
          <w:rFonts w:hint="eastAsia" w:ascii="宋体" w:hAnsi="宋体" w:eastAsia="宋体" w:cs="宋体"/>
          <w:color w:val="FF0000"/>
          <w:kern w:val="0"/>
          <w:sz w:val="21"/>
          <w:szCs w:val="21"/>
          <w:u w:val="single"/>
          <w:lang w:val="en-US" w:eastAsia="zh-CN" w:bidi="ar-SA"/>
        </w:rPr>
        <w:t>2022年南浔美丽乡村景观线绿化养护工程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kern w:val="0"/>
          <w:sz w:val="21"/>
          <w:szCs w:val="21"/>
          <w:lang w:val="en-US" w:eastAsia="zh-CN"/>
        </w:rPr>
        <w:t>南浔区美丽乡村景观线养护</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TimesNewRomanPSMT"/>
          <w:b/>
          <w:bCs/>
          <w:kern w:val="0"/>
          <w:sz w:val="21"/>
          <w:szCs w:val="21"/>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1、养护内容：①绿化养护，景观线绿化带除草、病虫害防治、水肥管理、苗木补植等项目的管护；②环境卫生保洁, 绿化带环境卫生保洁，绿化带边坡清理；③设施维护, 绿道、平侧石、灯光设施、座椅、公交驿站、旅游驿站、旅游标识、停车场、 景观节点等设施管理维修（包括材料）；④排水系统日常维护， 明沟、暗沟、沟盖板、排水井等维护；（包括附属设施及材料）⑤其它绿化带范围内的建筑设施等。管护范围不包括主干路的路基、路面的养护。</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2、养护路段：2017 年以来启动建设的美丽乡村景观线，包括和菱线、菱新线、墙莫线、三新线（双林高速 口至新市交界）等。今后需要新增管护的美丽乡村景观线，由区级相关部门会商后确定。</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3、养护范围：美丽乡村景观线绿化带（一般 15 米左右，不超过 30 米）范围内，景观节点宽度可适当延伸。管护范围：美丽乡村景观线建设区级财政补助区域，具体由镇（开发区） 在景观线与周边农田、鱼塘、村庄设定界桩，并以区交通局提供的测绘数据为准。</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4、养护单位需负责养护区域的四季草花种植。</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kern w:val="0"/>
          <w:sz w:val="21"/>
          <w:szCs w:val="21"/>
          <w:u w:val="none"/>
          <w:lang w:val="en-US" w:eastAsia="zh-CN" w:bidi="ar-SA"/>
        </w:rPr>
      </w:pP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4</w:t>
      </w:r>
      <w:r>
        <w:rPr>
          <w:rFonts w:hint="eastAsia" w:ascii="宋体" w:hAnsi="宋体" w:cs="TimesNewRomanPSMT"/>
          <w:kern w:val="0"/>
          <w:sz w:val="21"/>
          <w:szCs w:val="21"/>
        </w:rPr>
        <w:t>分包工程名称为：</w:t>
      </w:r>
      <w:r>
        <w:rPr>
          <w:rFonts w:hint="eastAsia" w:ascii="宋体" w:hAnsi="宋体" w:eastAsia="宋体" w:cs="宋体"/>
          <w:color w:val="FF0000"/>
          <w:kern w:val="0"/>
          <w:sz w:val="21"/>
          <w:szCs w:val="21"/>
          <w:u w:val="single"/>
          <w:lang w:val="en-US" w:eastAsia="zh-CN" w:bidi="ar-SA"/>
        </w:rPr>
        <w:t>2022年南浔美丽乡村景观线绿化养护工程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cs="TimesNewRomanPSMT"/>
          <w:kern w:val="0"/>
          <w:sz w:val="21"/>
          <w:szCs w:val="21"/>
          <w:lang w:eastAsia="zh-CN"/>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.1 主要施工内容及要求为</w:t>
      </w:r>
      <w:r>
        <w:rPr>
          <w:rFonts w:hint="eastAsia" w:cs="TimesNewRomanPSMT"/>
          <w:kern w:val="0"/>
          <w:sz w:val="21"/>
          <w:szCs w:val="21"/>
          <w:lang w:eastAsia="zh-CN"/>
        </w:rPr>
        <w:t>：</w:t>
      </w:r>
    </w:p>
    <w:tbl>
      <w:tblPr>
        <w:tblStyle w:val="19"/>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741"/>
        <w:gridCol w:w="2490"/>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9" w:type="dxa"/>
            <w:vAlign w:val="center"/>
          </w:tcPr>
          <w:p>
            <w:pPr>
              <w:pStyle w:val="9"/>
              <w:ind w:left="0" w:leftChars="0" w:firstLine="0" w:firstLineChars="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标项</w:t>
            </w:r>
          </w:p>
        </w:tc>
        <w:tc>
          <w:tcPr>
            <w:tcW w:w="3741" w:type="dxa"/>
            <w:vAlign w:val="center"/>
          </w:tcPr>
          <w:p>
            <w:pPr>
              <w:pStyle w:val="9"/>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招标内容</w:t>
            </w:r>
          </w:p>
        </w:tc>
        <w:tc>
          <w:tcPr>
            <w:tcW w:w="2490" w:type="dxa"/>
            <w:vAlign w:val="center"/>
          </w:tcPr>
          <w:p>
            <w:pPr>
              <w:pStyle w:val="9"/>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养护面积（m2）</w:t>
            </w:r>
          </w:p>
        </w:tc>
        <w:tc>
          <w:tcPr>
            <w:tcW w:w="2547" w:type="dxa"/>
            <w:vAlign w:val="center"/>
          </w:tcPr>
          <w:p>
            <w:pPr>
              <w:pStyle w:val="9"/>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养护期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741" w:type="dxa"/>
          </w:tcPr>
          <w:p>
            <w:pPr>
              <w:pStyle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年南浔区美丽乡村景观线和孚镇和菱线养护工程</w:t>
            </w:r>
          </w:p>
        </w:tc>
        <w:tc>
          <w:tcPr>
            <w:tcW w:w="2490" w:type="dxa"/>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86881.5</w:t>
            </w:r>
          </w:p>
        </w:tc>
        <w:tc>
          <w:tcPr>
            <w:tcW w:w="2547" w:type="dxa"/>
            <w:vAlign w:val="center"/>
          </w:tcPr>
          <w:p>
            <w:pPr>
              <w:pStyle w:val="9"/>
              <w:ind w:left="63" w:leftChars="30" w:right="63" w:rightChars="30" w:firstLine="210" w:firstLineChars="1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.7.15-202</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741" w:type="dxa"/>
          </w:tcPr>
          <w:p>
            <w:pPr>
              <w:pStyle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年南浔区美丽乡村景观线双林镇三新线双林段养护工程</w:t>
            </w:r>
          </w:p>
        </w:tc>
        <w:tc>
          <w:tcPr>
            <w:tcW w:w="2490" w:type="dxa"/>
            <w:vAlign w:val="center"/>
          </w:tcPr>
          <w:p>
            <w:pPr>
              <w:pStyle w:val="9"/>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73044.7</w:t>
            </w:r>
          </w:p>
        </w:tc>
        <w:tc>
          <w:tcPr>
            <w:tcW w:w="2547" w:type="dxa"/>
            <w:vAlign w:val="center"/>
          </w:tcPr>
          <w:p>
            <w:pPr>
              <w:pStyle w:val="9"/>
              <w:ind w:left="63" w:leftChars="30" w:right="63" w:rightChars="30" w:firstLine="210" w:firstLineChars="1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.7.15-202</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741" w:type="dxa"/>
          </w:tcPr>
          <w:p>
            <w:pPr>
              <w:pStyle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年南浔区美丽乡村景观线千金镇菱新线养护工程</w:t>
            </w:r>
          </w:p>
        </w:tc>
        <w:tc>
          <w:tcPr>
            <w:tcW w:w="2490" w:type="dxa"/>
            <w:vAlign w:val="center"/>
          </w:tcPr>
          <w:p>
            <w:pPr>
              <w:pStyle w:val="9"/>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146460.4</w:t>
            </w:r>
          </w:p>
        </w:tc>
        <w:tc>
          <w:tcPr>
            <w:tcW w:w="2547" w:type="dxa"/>
            <w:vAlign w:val="center"/>
          </w:tcPr>
          <w:p>
            <w:pPr>
              <w:pStyle w:val="9"/>
              <w:ind w:left="63" w:leftChars="30" w:right="63" w:rightChars="30" w:firstLine="210" w:firstLineChars="1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.7.15-202</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741" w:type="dxa"/>
          </w:tcPr>
          <w:p>
            <w:pPr>
              <w:pStyle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年南浔区美丽乡村景观线石淙镇墙莫线养护工程</w:t>
            </w:r>
          </w:p>
        </w:tc>
        <w:tc>
          <w:tcPr>
            <w:tcW w:w="2490" w:type="dxa"/>
            <w:vAlign w:val="center"/>
          </w:tcPr>
          <w:p>
            <w:pPr>
              <w:pStyle w:val="9"/>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206210.7</w:t>
            </w:r>
          </w:p>
        </w:tc>
        <w:tc>
          <w:tcPr>
            <w:tcW w:w="2547" w:type="dxa"/>
            <w:vAlign w:val="center"/>
          </w:tcPr>
          <w:p>
            <w:pPr>
              <w:pStyle w:val="9"/>
              <w:ind w:left="63" w:leftChars="30" w:right="63" w:rightChars="30" w:firstLine="210" w:firstLineChars="10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202</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.7.15-202</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lang w:val="en-US" w:eastAsia="zh-CN"/>
              </w:rPr>
              <w:t>.7.14</w:t>
            </w:r>
          </w:p>
        </w:tc>
      </w:tr>
    </w:tbl>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宋体"/>
          <w:b w:val="0"/>
          <w:bCs w:val="0"/>
          <w:color w:val="auto"/>
          <w:spacing w:val="0"/>
          <w:kern w:val="0"/>
          <w:sz w:val="21"/>
          <w:szCs w:val="21"/>
          <w:u w:val="none"/>
          <w:lang w:val="en-US" w:eastAsia="zh-CN" w:bidi="ar-SA"/>
        </w:rPr>
      </w:pPr>
      <w:r>
        <w:rPr>
          <w:rFonts w:hint="eastAsia" w:ascii="宋体" w:hAnsi="宋体" w:cs="宋体"/>
          <w:b w:val="0"/>
          <w:bCs w:val="0"/>
          <w:color w:val="auto"/>
          <w:spacing w:val="0"/>
          <w:kern w:val="0"/>
          <w:sz w:val="21"/>
          <w:szCs w:val="21"/>
          <w:u w:val="none"/>
          <w:lang w:val="en-US" w:eastAsia="zh-CN" w:bidi="ar-SA"/>
        </w:rPr>
        <w:t>注：本项目共分4个标段，投标人可投多个标段，同一投标人只能中一个标段，若出现同一投标人中不同标段时，则按该标段中标顺序由下一名递补。同一投标人中不同标段时，中标顺序原则按标段先后顺序确定（如：同一投标人同时分别为1标段和2标段的第一中标侯选人，按标段顺序确定其为1标段的中标人）。</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6</w:t>
      </w:r>
      <w:r>
        <w:rPr>
          <w:rFonts w:hint="eastAsia" w:ascii="宋体" w:hAnsi="宋体" w:cs="TimesNewRomanPSMT"/>
          <w:kern w:val="0"/>
          <w:sz w:val="21"/>
          <w:szCs w:val="21"/>
        </w:rPr>
        <w:t xml:space="preserve">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kern w:val="0"/>
          <w:sz w:val="21"/>
          <w:szCs w:val="21"/>
          <w:lang w:val="en-US" w:eastAsia="zh-CN"/>
        </w:rPr>
        <w:t>美丽乡村景观线</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本次招标要求投标人具备独立法人资格，营业执照经营范围具有园林绿化相关内容（属于区政府扶持的强村公司）</w:t>
      </w:r>
      <w:r>
        <w:rPr>
          <w:rFonts w:hint="eastAsia" w:ascii="宋体" w:hAnsi="宋体" w:cs="宋体"/>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2022年7月8日至2022年7月10日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控制价</w:t>
      </w:r>
      <w:r>
        <w:rPr>
          <w:rFonts w:hint="eastAsia" w:ascii="宋体" w:hAnsi="宋体" w:cs="仿宋_GB2312"/>
          <w:color w:val="FF0000"/>
          <w:kern w:val="0"/>
          <w:sz w:val="21"/>
          <w:szCs w:val="21"/>
        </w:rPr>
        <w:t>：</w:t>
      </w:r>
      <w:r>
        <w:rPr>
          <w:rFonts w:hint="eastAsia" w:ascii="宋体" w:hAnsi="宋体" w:cs="仿宋_GB2312"/>
          <w:color w:val="FF0000"/>
          <w:kern w:val="0"/>
          <w:sz w:val="21"/>
          <w:szCs w:val="21"/>
          <w:u w:val="single"/>
          <w:lang w:val="en-US" w:eastAsia="zh-CN"/>
        </w:rPr>
        <w:t>5元/m2</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w:t>
      </w:r>
      <w:r>
        <w:rPr>
          <w:rFonts w:hint="eastAsia" w:ascii="宋体" w:hAnsi="宋体" w:cs="仿宋_GB2312"/>
          <w:color w:val="FF0000"/>
          <w:kern w:val="0"/>
          <w:sz w:val="21"/>
          <w:szCs w:val="21"/>
        </w:rPr>
        <w:t>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spacing w:after="0" w:line="240" w:lineRule="auto"/>
        <w:ind w:left="0" w:leftChars="0" w:right="0" w:rightChars="0" w:firstLine="0" w:firstLineChars="0"/>
        <w:jc w:val="both"/>
        <w:rPr>
          <w:rFonts w:hint="eastAsia"/>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bookmarkStart w:id="46" w:name="_GoBack"/>
      <w:bookmarkEnd w:id="46"/>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8"/>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6"/>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6"/>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6"/>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6"/>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6"/>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6"/>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6"/>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2022年南浔美丽乡村景观线绿化养护工程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6"/>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6"/>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二年（具体以合同签订时间及</w:t>
            </w:r>
            <w:r>
              <w:rPr>
                <w:rFonts w:hint="eastAsia" w:hAnsi="宋体"/>
                <w:color w:val="auto"/>
                <w:spacing w:val="-6"/>
                <w:sz w:val="21"/>
                <w:szCs w:val="21"/>
                <w:lang w:val="zh-CN" w:eastAsia="zh-CN"/>
              </w:rPr>
              <w:t>资金落实情况等决定是否续签</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6"/>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6"/>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2022年7月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6"/>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6"/>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11</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color w:val="0000FF"/>
                <w:kern w:val="0"/>
                <w:szCs w:val="21"/>
                <w:lang w:val="en-US" w:eastAsia="zh-CN"/>
              </w:rPr>
              <w:t>按各个标段</w:t>
            </w:r>
            <w:r>
              <w:rPr>
                <w:rFonts w:hint="eastAsia" w:ascii="宋体" w:hAnsi="宋体"/>
                <w:color w:val="0000FF"/>
                <w:kern w:val="0"/>
                <w:szCs w:val="21"/>
              </w:rPr>
              <w:t>密封后</w:t>
            </w:r>
            <w:r>
              <w:rPr>
                <w:rFonts w:hint="eastAsia" w:ascii="宋体" w:hAnsi="宋体"/>
                <w:kern w:val="0"/>
                <w:szCs w:val="21"/>
              </w:rPr>
              <w:t>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r>
              <w:rPr>
                <w:rFonts w:hint="eastAsia"/>
                <w:lang w:eastAsia="zh-CN"/>
              </w:rPr>
              <w:t>，</w:t>
            </w:r>
            <w:r>
              <w:rPr>
                <w:rFonts w:hint="eastAsia" w:ascii="宋体" w:hAnsi="宋体"/>
                <w:kern w:val="0"/>
                <w:szCs w:val="21"/>
                <w:lang w:val="en-US" w:eastAsia="zh-CN"/>
              </w:rPr>
              <w:t>封面项目名称需注明标段号</w:t>
            </w:r>
            <w:r>
              <w:rPr>
                <w:rFonts w:hint="eastAsia"/>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仿宋_GB2312"/>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9"/>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9"/>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9"/>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default" w:ascii="宋体" w:hAnsi="宋体" w:eastAsia="宋体" w:cs="仿宋_GB2312"/>
          <w:kern w:val="0"/>
          <w:szCs w:val="21"/>
          <w:lang w:val="en-US" w:eastAsia="zh-CN"/>
        </w:rPr>
      </w:pPr>
      <w:r>
        <w:rPr>
          <w:rFonts w:hint="eastAsia" w:ascii="宋体" w:hAnsi="宋体" w:cs="仿宋_GB2312"/>
          <w:kern w:val="0"/>
          <w:szCs w:val="21"/>
        </w:rPr>
        <w:t>开标时间和地点：招标人在规定的开标时间在建设集团开标室进行开标</w:t>
      </w:r>
      <w:r>
        <w:rPr>
          <w:rFonts w:hint="eastAsia" w:ascii="宋体" w:hAnsi="宋体" w:cs="仿宋_GB2312"/>
          <w:kern w:val="0"/>
          <w:szCs w:val="21"/>
          <w:lang w:val="en-US" w:eastAsia="zh-CN"/>
        </w:rPr>
        <w:t>且按标段顺序逐个开标</w:t>
      </w:r>
      <w:r>
        <w:rPr>
          <w:rFonts w:hint="eastAsia" w:ascii="宋体" w:hAnsi="宋体" w:cs="仿宋_GB2312"/>
          <w:kern w:val="0"/>
          <w:szCs w:val="21"/>
        </w:rPr>
        <w:t>，并做开标登记</w:t>
      </w:r>
      <w:r>
        <w:rPr>
          <w:rFonts w:hint="eastAsia" w:ascii="宋体" w:hAnsi="宋体" w:cs="仿宋_GB2312"/>
          <w:kern w:val="0"/>
          <w:szCs w:val="21"/>
          <w:lang w:val="en-US" w:eastAsia="zh-CN"/>
        </w:rPr>
        <w:t>。</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6.3评标办法:</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否决投标、废标</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8.1</w:t>
      </w:r>
      <w:r>
        <w:rPr>
          <w:rFonts w:hint="eastAsia" w:ascii="宋体" w:hAnsi="宋体" w:cs="TimesNewRomanPSMT"/>
          <w:kern w:val="0"/>
          <w:szCs w:val="21"/>
        </w:rPr>
        <w:t>重新招标</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有下列情形之一的，招标人将重新招标：（1）投标截止时，每个标段投标供应商少于3家或经评审认为所有投标供应商的投标文件存在报价明显不合理或均不满足符合性要求时；经评审，当每个标段有效标不足3家，缺乏竞争时；</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（2）出现影响采购公正的违法、违规行为的；（3）投标供应商的报价均超过了采购预算控制价，采购人不能支付的；（4）因重大变故，采购任务取消的。</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0000FF"/>
          <w:sz w:val="21"/>
          <w:szCs w:val="21"/>
        </w:rPr>
        <w:t>投标报价</w:t>
      </w:r>
      <w:r>
        <w:rPr>
          <w:rFonts w:hint="eastAsia" w:ascii="宋体" w:hAnsi="宋体"/>
          <w:color w:val="0000FF"/>
          <w:sz w:val="21"/>
          <w:szCs w:val="21"/>
          <w:lang w:val="en-US" w:eastAsia="zh-CN"/>
        </w:rPr>
        <w:t>高于招标控制价</w:t>
      </w:r>
      <w:r>
        <w:rPr>
          <w:rFonts w:hint="eastAsia" w:ascii="宋体" w:hAnsi="宋体"/>
          <w:color w:val="0000FF"/>
          <w:sz w:val="21"/>
          <w:szCs w:val="21"/>
        </w:rPr>
        <w:t>的</w:t>
      </w:r>
      <w:r>
        <w:rPr>
          <w:rFonts w:hint="eastAsia" w:ascii="宋体" w:hAnsi="宋体"/>
          <w:color w:val="auto"/>
          <w:sz w:val="21"/>
          <w:szCs w:val="21"/>
        </w:rPr>
        <w:t>；</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w:t>
      </w:r>
      <w:r>
        <w:rPr>
          <w:rFonts w:hint="eastAsia" w:ascii="宋体" w:hAnsi="宋体" w:cs="仿宋_GB2312"/>
          <w:color w:val="auto"/>
          <w:kern w:val="0"/>
          <w:szCs w:val="21"/>
          <w:lang w:val="en-US" w:eastAsia="zh-CN"/>
        </w:rPr>
        <w:t>况的。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8.4废标的情形</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在招标采购中，出现下列情形之一的，应予废标：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(1)符合专业条件的供应商或者对招标文件各个标段作实质性响应的供应商不足三家的；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(2)出现影响采购公正的违法、违规行为的；</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(3)投标人的报价均超过了采购预算及单价限价，采购人不能支付的；</w:t>
      </w:r>
    </w:p>
    <w:p>
      <w:pPr>
        <w:autoSpaceDE w:val="0"/>
        <w:autoSpaceDN w:val="0"/>
        <w:adjustRightInd w:val="0"/>
        <w:jc w:val="left"/>
        <w:rPr>
          <w:rFonts w:hint="eastAsia"/>
          <w:lang w:eastAsia="zh-CN"/>
        </w:rPr>
      </w:pPr>
      <w:r>
        <w:rPr>
          <w:rFonts w:hint="eastAsia" w:ascii="宋体" w:hAnsi="宋体" w:cs="仿宋_GB2312"/>
          <w:color w:val="auto"/>
          <w:kern w:val="0"/>
          <w:szCs w:val="21"/>
          <w:lang w:val="en-US" w:eastAsia="zh-CN"/>
        </w:rPr>
        <w:t>(4)因重大变故，采购任务取消的。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246996219"/>
      <w:bookmarkStart w:id="4" w:name="_Toc179632593"/>
      <w:bookmarkStart w:id="5" w:name="_Toc246996962"/>
      <w:bookmarkStart w:id="6" w:name="_Toc296602462"/>
      <w:bookmarkStart w:id="7" w:name="_Toc152042351"/>
      <w:bookmarkStart w:id="8" w:name="_Toc152045575"/>
      <w:bookmarkStart w:id="9" w:name="_Toc296590983"/>
      <w:bookmarkStart w:id="10" w:name="_Toc144974543"/>
      <w:bookmarkStart w:id="11" w:name="_Toc24708573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52042352"/>
      <w:bookmarkStart w:id="13" w:name="_Toc152045576"/>
      <w:bookmarkStart w:id="14" w:name="_Toc247085734"/>
      <w:bookmarkStart w:id="15" w:name="_Toc144974544"/>
      <w:bookmarkStart w:id="16" w:name="_Toc246996963"/>
      <w:bookmarkStart w:id="17" w:name="_Toc246996220"/>
      <w:bookmarkStart w:id="18" w:name="_Toc179632594"/>
      <w:bookmarkStart w:id="19" w:name="_Toc2966024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79632595"/>
      <w:bookmarkStart w:id="21" w:name="_Toc152045577"/>
      <w:bookmarkStart w:id="22" w:name="_Toc296602464"/>
      <w:bookmarkStart w:id="23" w:name="_Toc144974545"/>
      <w:bookmarkStart w:id="24" w:name="_Toc246996964"/>
      <w:bookmarkStart w:id="25" w:name="_Toc247085735"/>
      <w:bookmarkStart w:id="26" w:name="_Toc152042353"/>
      <w:bookmarkStart w:id="27" w:name="_Toc246996221"/>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152045578"/>
      <w:bookmarkStart w:id="29" w:name="_Toc246996222"/>
      <w:bookmarkStart w:id="30" w:name="_Toc152042354"/>
      <w:bookmarkStart w:id="31" w:name="_Toc179632596"/>
      <w:bookmarkStart w:id="32" w:name="_Toc247085736"/>
      <w:bookmarkStart w:id="33" w:name="_Toc296602465"/>
      <w:bookmarkStart w:id="34" w:name="_Toc2469969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247085737"/>
      <w:bookmarkStart w:id="38" w:name="_Toc246996966"/>
      <w:bookmarkStart w:id="39" w:name="_Toc152045579"/>
      <w:bookmarkStart w:id="40" w:name="_Toc152042356"/>
      <w:bookmarkStart w:id="41" w:name="_Toc296602466"/>
      <w:bookmarkStart w:id="42" w:name="_Toc246996223"/>
      <w:bookmarkStart w:id="43" w:name="_Toc17963259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ind w:left="0" w:leftChars="0" w:firstLine="0" w:firstLineChars="0"/>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8"/>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9"/>
        <w:rPr>
          <w:rFonts w:hint="eastAsia"/>
        </w:rPr>
      </w:pPr>
    </w:p>
    <w:p>
      <w:pPr>
        <w:pStyle w:val="10"/>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实际完成平方数×养护单价-其他扣款，其他扣款含考核后应扣除的费用、招标单位代买的公共责任险等保险费用、测绘费用及其他费用</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9"/>
        <w:rPr>
          <w:rFonts w:hint="eastAsia"/>
        </w:rPr>
      </w:pPr>
    </w:p>
    <w:p>
      <w:pPr>
        <w:pStyle w:val="10"/>
        <w:ind w:left="0" w:leftChars="0" w:firstLine="0" w:firstLineChars="0"/>
        <w:rPr>
          <w:rFonts w:hint="eastAsia"/>
        </w:rPr>
      </w:pPr>
    </w:p>
    <w:p>
      <w:pPr>
        <w:rPr>
          <w:rFonts w:hint="eastAsia"/>
        </w:rPr>
      </w:pPr>
    </w:p>
    <w:p>
      <w:pPr>
        <w:pStyle w:val="10"/>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3"/>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r>
        <w:rPr>
          <w:rFonts w:hint="eastAsia" w:ascii="宋体" w:hAnsi="宋体" w:cs="宋体"/>
          <w:sz w:val="21"/>
          <w:szCs w:val="21"/>
          <w:u w:val="none"/>
          <w:lang w:val="en-US" w:eastAsia="zh-CN"/>
        </w:rPr>
        <w:t>（以实际养护面积或测绘面积为准）</w:t>
      </w: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14:textFill>
            <w14:solidFill>
              <w14:schemeClr w14:val="tx1"/>
            </w14:solidFill>
          </w14:textFill>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1"/>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十二、</w:t>
      </w:r>
      <w:r>
        <w:rPr>
          <w:rFonts w:hint="eastAsia" w:ascii="宋体" w:hAnsi="宋体" w:eastAsia="宋体" w:cs="宋体"/>
          <w:b/>
          <w:color w:val="000000" w:themeColor="text1"/>
          <w:sz w:val="21"/>
          <w:szCs w:val="21"/>
          <w14:textFill>
            <w14:solidFill>
              <w14:schemeClr w14:val="tx1"/>
            </w14:solidFill>
          </w14:textFill>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pStyle w:val="10"/>
        <w:rPr>
          <w:rFonts w:hint="eastAsia"/>
        </w:rPr>
      </w:pPr>
    </w:p>
    <w:p>
      <w:pPr>
        <w:rPr>
          <w:rFonts w:hint="eastAsia"/>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第六章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pPr>
    </w:p>
    <w:p>
      <w:pPr>
        <w:pStyle w:val="2"/>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4"/>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w:t>
      </w:r>
    </w:p>
    <w:tbl>
      <w:tblPr>
        <w:tblStyle w:val="18"/>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0"/>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40"/>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40"/>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40"/>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40"/>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40"/>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40"/>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40"/>
              <w:spacing w:before="1"/>
              <w:jc w:val="center"/>
              <w:rPr>
                <w:rFonts w:hint="eastAsia" w:ascii="宋体" w:hAnsi="宋体" w:eastAsia="宋体" w:cs="宋体"/>
                <w:sz w:val="21"/>
                <w:szCs w:val="21"/>
              </w:rPr>
            </w:pPr>
          </w:p>
          <w:p>
            <w:pPr>
              <w:pStyle w:val="40"/>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40"/>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40"/>
              <w:spacing w:before="1"/>
              <w:jc w:val="center"/>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40"/>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40"/>
              <w:spacing w:before="8"/>
              <w:jc w:val="center"/>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5" w:hRule="atLeast"/>
        </w:trPr>
        <w:tc>
          <w:tcPr>
            <w:tcW w:w="70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40"/>
              <w:spacing w:line="240" w:lineRule="auto"/>
              <w:ind w:left="0" w:right="0"/>
              <w:jc w:val="center"/>
              <w:rPr>
                <w:rFonts w:hint="eastAsia" w:ascii="宋体" w:hAnsi="宋体" w:eastAsia="宋体" w:cs="宋体"/>
                <w:sz w:val="21"/>
                <w:szCs w:val="21"/>
              </w:rPr>
            </w:pPr>
          </w:p>
          <w:p>
            <w:pPr>
              <w:pStyle w:val="40"/>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40"/>
              <w:spacing w:line="240" w:lineRule="auto"/>
              <w:ind w:left="0" w:right="0"/>
              <w:jc w:val="both"/>
              <w:rPr>
                <w:rFonts w:hint="eastAsia" w:ascii="宋体" w:hAnsi="宋体" w:eastAsia="宋体" w:cs="宋体"/>
                <w:sz w:val="21"/>
                <w:szCs w:val="21"/>
              </w:rPr>
            </w:pPr>
          </w:p>
          <w:p>
            <w:pPr>
              <w:pStyle w:val="4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40"/>
              <w:spacing w:before="2"/>
              <w:jc w:val="center"/>
              <w:rPr>
                <w:rFonts w:hint="eastAsia" w:ascii="宋体" w:hAnsi="宋体" w:eastAsia="宋体" w:cs="宋体"/>
                <w:sz w:val="21"/>
                <w:szCs w:val="21"/>
              </w:rPr>
            </w:pPr>
          </w:p>
          <w:p>
            <w:pPr>
              <w:pStyle w:val="40"/>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0"/>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40"/>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40"/>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40"/>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40"/>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40"/>
              <w:rPr>
                <w:rFonts w:hint="eastAsia" w:ascii="宋体" w:hAnsi="宋体" w:eastAsia="宋体" w:cs="宋体"/>
                <w:sz w:val="21"/>
                <w:szCs w:val="21"/>
              </w:rPr>
            </w:pPr>
          </w:p>
          <w:p>
            <w:pPr>
              <w:pStyle w:val="40"/>
              <w:spacing w:before="3"/>
              <w:rPr>
                <w:rFonts w:hint="eastAsia" w:ascii="宋体" w:hAnsi="宋体" w:eastAsia="宋体" w:cs="宋体"/>
                <w:sz w:val="21"/>
                <w:szCs w:val="21"/>
              </w:rPr>
            </w:pPr>
          </w:p>
          <w:p>
            <w:pPr>
              <w:pStyle w:val="40"/>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40"/>
              <w:rPr>
                <w:rFonts w:hint="eastAsia" w:ascii="宋体" w:hAnsi="宋体" w:eastAsia="宋体" w:cs="宋体"/>
                <w:sz w:val="21"/>
                <w:szCs w:val="21"/>
              </w:rPr>
            </w:pPr>
          </w:p>
        </w:tc>
        <w:tc>
          <w:tcPr>
            <w:tcW w:w="3345" w:type="dxa"/>
            <w:noWrap w:val="0"/>
            <w:vAlign w:val="center"/>
          </w:tcPr>
          <w:p>
            <w:pPr>
              <w:pStyle w:val="40"/>
              <w:jc w:val="center"/>
              <w:rPr>
                <w:rFonts w:hint="eastAsia" w:ascii="宋体" w:hAnsi="宋体" w:eastAsia="宋体" w:cs="宋体"/>
                <w:sz w:val="21"/>
                <w:szCs w:val="21"/>
              </w:rPr>
            </w:pPr>
          </w:p>
          <w:p>
            <w:pPr>
              <w:pStyle w:val="40"/>
              <w:spacing w:before="3"/>
              <w:jc w:val="center"/>
              <w:rPr>
                <w:rFonts w:hint="eastAsia" w:ascii="宋体" w:hAnsi="宋体" w:eastAsia="宋体" w:cs="宋体"/>
                <w:sz w:val="21"/>
                <w:szCs w:val="21"/>
              </w:rPr>
            </w:pPr>
          </w:p>
          <w:p>
            <w:pPr>
              <w:pStyle w:val="40"/>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center"/>
          </w:tcPr>
          <w:p>
            <w:pPr>
              <w:pStyle w:val="40"/>
              <w:spacing w:before="98" w:line="242" w:lineRule="auto"/>
              <w:ind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40"/>
              <w:rPr>
                <w:rFonts w:hint="eastAsia" w:ascii="宋体" w:hAnsi="宋体" w:eastAsia="宋体" w:cs="宋体"/>
                <w:sz w:val="21"/>
                <w:szCs w:val="21"/>
              </w:rPr>
            </w:pPr>
          </w:p>
          <w:p>
            <w:pPr>
              <w:pStyle w:val="40"/>
              <w:spacing w:before="3"/>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40"/>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center"/>
          </w:tcPr>
          <w:p>
            <w:pPr>
              <w:pStyle w:val="40"/>
              <w:spacing w:before="2"/>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40"/>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40"/>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center"/>
          </w:tcPr>
          <w:p>
            <w:pPr>
              <w:pStyle w:val="40"/>
              <w:spacing w:before="4" w:line="290"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40"/>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40"/>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center"/>
          </w:tcPr>
          <w:p>
            <w:pPr>
              <w:pStyle w:val="40"/>
              <w:spacing w:before="4" w:line="288"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40"/>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40"/>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center"/>
          </w:tcPr>
          <w:p>
            <w:pPr>
              <w:pStyle w:val="40"/>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40"/>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40"/>
              <w:spacing w:before="2"/>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40"/>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p>
          <w:p>
            <w:pPr>
              <w:pStyle w:val="40"/>
              <w:spacing w:before="7"/>
              <w:jc w:val="center"/>
              <w:rPr>
                <w:rFonts w:hint="eastAsia" w:ascii="宋体" w:hAnsi="宋体" w:eastAsia="宋体" w:cs="宋体"/>
                <w:sz w:val="21"/>
                <w:szCs w:val="21"/>
              </w:rPr>
            </w:pPr>
          </w:p>
          <w:p>
            <w:pPr>
              <w:pStyle w:val="40"/>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40"/>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40"/>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center"/>
          </w:tcPr>
          <w:p>
            <w:pPr>
              <w:pStyle w:val="40"/>
              <w:spacing w:before="58"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线路不通畅，存在支干道交叉口连接修补不到位，每发现1处扣0.5分；路边有裸露土的，每发现1 处扣0.5分。</w:t>
            </w:r>
          </w:p>
        </w:tc>
        <w:tc>
          <w:tcPr>
            <w:tcW w:w="928" w:type="dxa"/>
            <w:noWrap w:val="0"/>
            <w:vAlign w:val="top"/>
          </w:tcPr>
          <w:p>
            <w:pPr>
              <w:pStyle w:val="40"/>
              <w:spacing w:before="2"/>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40"/>
              <w:spacing w:before="6"/>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center"/>
          </w:tcPr>
          <w:p>
            <w:pPr>
              <w:pStyle w:val="40"/>
              <w:jc w:val="both"/>
              <w:rPr>
                <w:rFonts w:hint="eastAsia" w:ascii="宋体" w:hAnsi="宋体" w:eastAsia="宋体" w:cs="宋体"/>
                <w:spacing w:val="0"/>
                <w:sz w:val="21"/>
                <w:szCs w:val="21"/>
              </w:rPr>
            </w:pPr>
            <w:r>
              <w:rPr>
                <w:rFonts w:hint="eastAsia" w:ascii="宋体" w:hAnsi="宋体" w:eastAsia="宋体" w:cs="宋体"/>
                <w:spacing w:val="0"/>
                <w:sz w:val="21"/>
                <w:szCs w:val="21"/>
              </w:rPr>
              <w:t>每发现1处坑洼，扣1分。</w:t>
            </w:r>
          </w:p>
        </w:tc>
        <w:tc>
          <w:tcPr>
            <w:tcW w:w="928" w:type="dxa"/>
            <w:noWrap w:val="0"/>
            <w:vAlign w:val="top"/>
          </w:tcPr>
          <w:p>
            <w:pPr>
              <w:pStyle w:val="40"/>
              <w:spacing w:before="6"/>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40"/>
              <w:rPr>
                <w:rFonts w:hint="eastAsia" w:ascii="宋体" w:hAnsi="宋体" w:eastAsia="宋体" w:cs="宋体"/>
                <w:sz w:val="21"/>
                <w:szCs w:val="21"/>
              </w:rPr>
            </w:pPr>
          </w:p>
          <w:p>
            <w:pPr>
              <w:pStyle w:val="40"/>
              <w:spacing w:before="8"/>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40"/>
              <w:jc w:val="center"/>
              <w:rPr>
                <w:rFonts w:hint="eastAsia" w:ascii="宋体" w:hAnsi="宋体" w:eastAsia="宋体" w:cs="宋体"/>
                <w:spacing w:val="0"/>
                <w:sz w:val="21"/>
                <w:szCs w:val="21"/>
              </w:rPr>
            </w:pPr>
          </w:p>
          <w:p>
            <w:pPr>
              <w:pStyle w:val="40"/>
              <w:spacing w:before="2"/>
              <w:jc w:val="center"/>
              <w:rPr>
                <w:rFonts w:hint="eastAsia" w:ascii="宋体" w:hAnsi="宋体" w:eastAsia="宋体" w:cs="宋体"/>
                <w:spacing w:val="0"/>
                <w:sz w:val="21"/>
                <w:szCs w:val="21"/>
              </w:rPr>
            </w:pPr>
          </w:p>
          <w:p>
            <w:pPr>
              <w:pStyle w:val="40"/>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center"/>
          </w:tcPr>
          <w:p>
            <w:pPr>
              <w:pStyle w:val="40"/>
              <w:spacing w:before="63"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40"/>
              <w:rPr>
                <w:rFonts w:hint="eastAsia" w:ascii="宋体" w:hAnsi="宋体" w:eastAsia="宋体" w:cs="宋体"/>
                <w:sz w:val="21"/>
                <w:szCs w:val="21"/>
              </w:rPr>
            </w:pPr>
          </w:p>
          <w:p>
            <w:pPr>
              <w:pStyle w:val="40"/>
              <w:spacing w:before="8"/>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2"/>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tbl>
      <w:tblPr>
        <w:tblStyle w:val="18"/>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0"/>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40"/>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40"/>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40"/>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40"/>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40"/>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40"/>
              <w:rPr>
                <w:rFonts w:hint="eastAsia" w:ascii="宋体" w:hAnsi="宋体" w:eastAsia="宋体" w:cs="宋体"/>
                <w:sz w:val="21"/>
                <w:szCs w:val="21"/>
              </w:rPr>
            </w:pPr>
          </w:p>
        </w:tc>
        <w:tc>
          <w:tcPr>
            <w:tcW w:w="3330" w:type="dxa"/>
            <w:noWrap w:val="0"/>
            <w:vAlign w:val="center"/>
          </w:tcPr>
          <w:p>
            <w:pPr>
              <w:pStyle w:val="40"/>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40"/>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40"/>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40"/>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0"/>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40"/>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40"/>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40"/>
              <w:spacing w:before="1"/>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40"/>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p>
          <w:p>
            <w:pPr>
              <w:pStyle w:val="40"/>
              <w:spacing w:before="5"/>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40"/>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40"/>
              <w:spacing w:before="1"/>
              <w:jc w:val="center"/>
              <w:rPr>
                <w:rFonts w:hint="eastAsia" w:ascii="宋体" w:hAnsi="宋体" w:eastAsia="宋体" w:cs="宋体"/>
                <w:spacing w:val="0"/>
                <w:sz w:val="21"/>
                <w:szCs w:val="21"/>
              </w:rPr>
            </w:pPr>
          </w:p>
          <w:p>
            <w:pPr>
              <w:pStyle w:val="40"/>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40"/>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40"/>
              <w:spacing w:before="1"/>
              <w:jc w:val="center"/>
              <w:rPr>
                <w:rFonts w:hint="eastAsia" w:ascii="宋体" w:hAnsi="宋体" w:eastAsia="宋体" w:cs="宋体"/>
                <w:sz w:val="21"/>
                <w:szCs w:val="21"/>
              </w:rPr>
            </w:pPr>
          </w:p>
          <w:p>
            <w:pPr>
              <w:pStyle w:val="40"/>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40"/>
              <w:spacing w:before="4"/>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0"/>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40"/>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40"/>
              <w:spacing w:before="4"/>
              <w:jc w:val="center"/>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40"/>
              <w:rPr>
                <w:rFonts w:hint="eastAsia" w:ascii="宋体" w:hAnsi="宋体" w:eastAsia="宋体" w:cs="宋体"/>
                <w:sz w:val="21"/>
                <w:szCs w:val="21"/>
              </w:rPr>
            </w:pPr>
          </w:p>
          <w:p>
            <w:pPr>
              <w:pStyle w:val="40"/>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0"/>
              <w:spacing w:before="3"/>
              <w:jc w:val="center"/>
              <w:rPr>
                <w:rFonts w:hint="eastAsia" w:ascii="宋体" w:hAnsi="宋体" w:eastAsia="宋体" w:cs="宋体"/>
                <w:spacing w:val="0"/>
                <w:sz w:val="21"/>
                <w:szCs w:val="21"/>
              </w:rPr>
            </w:pPr>
          </w:p>
          <w:p>
            <w:pPr>
              <w:pStyle w:val="40"/>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40"/>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40"/>
              <w:jc w:val="center"/>
              <w:rPr>
                <w:rFonts w:hint="eastAsia" w:ascii="宋体" w:hAnsi="宋体" w:eastAsia="宋体" w:cs="宋体"/>
                <w:sz w:val="21"/>
                <w:szCs w:val="21"/>
              </w:rPr>
            </w:pPr>
          </w:p>
          <w:p>
            <w:pPr>
              <w:pStyle w:val="40"/>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40"/>
              <w:spacing w:before="2"/>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40"/>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p>
          <w:p>
            <w:pPr>
              <w:pStyle w:val="40"/>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40"/>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40"/>
              <w:spacing w:before="190"/>
              <w:jc w:val="center"/>
              <w:rPr>
                <w:rFonts w:hint="eastAsia" w:ascii="宋体" w:hAnsi="宋体" w:eastAsia="宋体" w:cs="宋体"/>
                <w:sz w:val="21"/>
                <w:szCs w:val="21"/>
              </w:rPr>
            </w:pPr>
          </w:p>
        </w:tc>
        <w:tc>
          <w:tcPr>
            <w:tcW w:w="3330" w:type="dxa"/>
            <w:noWrap w:val="0"/>
            <w:vAlign w:val="center"/>
          </w:tcPr>
          <w:p>
            <w:pPr>
              <w:pStyle w:val="40"/>
              <w:spacing w:before="2"/>
              <w:jc w:val="center"/>
              <w:rPr>
                <w:rFonts w:hint="eastAsia" w:ascii="宋体" w:hAnsi="宋体" w:eastAsia="宋体" w:cs="宋体"/>
                <w:spacing w:val="0"/>
                <w:sz w:val="21"/>
                <w:szCs w:val="21"/>
              </w:rPr>
            </w:pPr>
          </w:p>
          <w:p>
            <w:pPr>
              <w:pStyle w:val="40"/>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40"/>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40"/>
              <w:spacing w:before="2"/>
              <w:jc w:val="center"/>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40"/>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40"/>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40"/>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40"/>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2"/>
        <w:pageBreakBefore/>
        <w:ind w:firstLine="0" w:firstLineChars="0"/>
        <w:rPr>
          <w:rFonts w:hint="eastAsia" w:ascii="宋体" w:hAnsi="宋体" w:eastAsia="宋体" w:cs="宋体"/>
          <w:b/>
          <w:bCs/>
          <w:sz w:val="21"/>
          <w:szCs w:val="21"/>
        </w:rPr>
      </w:pPr>
    </w:p>
    <w:tbl>
      <w:tblPr>
        <w:tblStyle w:val="18"/>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40"/>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40"/>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40"/>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40"/>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40"/>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40"/>
              <w:rPr>
                <w:rFonts w:hint="eastAsia" w:ascii="宋体" w:hAnsi="宋体" w:eastAsia="宋体" w:cs="宋体"/>
                <w:sz w:val="21"/>
                <w:szCs w:val="21"/>
              </w:rPr>
            </w:pPr>
          </w:p>
          <w:p>
            <w:pPr>
              <w:pStyle w:val="40"/>
              <w:rPr>
                <w:rFonts w:hint="eastAsia" w:ascii="宋体" w:hAnsi="宋体" w:eastAsia="宋体" w:cs="宋体"/>
                <w:sz w:val="21"/>
                <w:szCs w:val="21"/>
              </w:rPr>
            </w:pPr>
          </w:p>
          <w:p>
            <w:pPr>
              <w:pStyle w:val="40"/>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40"/>
              <w:spacing w:before="120"/>
              <w:ind w:left="106" w:right="-15"/>
              <w:rPr>
                <w:rFonts w:hint="eastAsia" w:ascii="宋体" w:hAnsi="宋体" w:eastAsia="宋体" w:cs="宋体"/>
                <w:sz w:val="21"/>
                <w:szCs w:val="21"/>
              </w:rPr>
            </w:pPr>
          </w:p>
        </w:tc>
        <w:tc>
          <w:tcPr>
            <w:tcW w:w="3375" w:type="dxa"/>
            <w:noWrap w:val="0"/>
            <w:vAlign w:val="center"/>
          </w:tcPr>
          <w:p>
            <w:pPr>
              <w:pStyle w:val="40"/>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40"/>
              <w:spacing w:before="10"/>
              <w:rPr>
                <w:rFonts w:hint="eastAsia" w:ascii="宋体" w:hAnsi="宋体" w:eastAsia="宋体" w:cs="宋体"/>
                <w:spacing w:val="0"/>
                <w:sz w:val="21"/>
                <w:szCs w:val="21"/>
              </w:rPr>
            </w:pPr>
          </w:p>
          <w:p>
            <w:pPr>
              <w:pStyle w:val="40"/>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40"/>
              <w:rPr>
                <w:rFonts w:hint="eastAsia" w:ascii="宋体" w:hAnsi="宋体" w:eastAsia="宋体" w:cs="宋体"/>
                <w:sz w:val="21"/>
                <w:szCs w:val="21"/>
              </w:rPr>
            </w:pPr>
          </w:p>
          <w:p>
            <w:pPr>
              <w:pStyle w:val="40"/>
              <w:rPr>
                <w:rFonts w:hint="eastAsia" w:ascii="宋体" w:hAnsi="宋体" w:eastAsia="宋体" w:cs="宋体"/>
                <w:sz w:val="21"/>
                <w:szCs w:val="21"/>
              </w:rPr>
            </w:pPr>
          </w:p>
          <w:p>
            <w:pPr>
              <w:pStyle w:val="40"/>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40"/>
              <w:spacing w:before="5"/>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40"/>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40"/>
              <w:spacing w:before="5"/>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40"/>
              <w:spacing w:before="5"/>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40"/>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40"/>
              <w:spacing w:before="5"/>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1" w:hRule="atLeast"/>
        </w:trPr>
        <w:tc>
          <w:tcPr>
            <w:tcW w:w="700" w:type="dxa"/>
            <w:noWrap w:val="0"/>
            <w:vAlign w:val="top"/>
          </w:tcPr>
          <w:p>
            <w:pPr>
              <w:pStyle w:val="40"/>
              <w:spacing w:before="4"/>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40"/>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p>
          <w:p>
            <w:pPr>
              <w:pStyle w:val="40"/>
              <w:spacing w:before="1"/>
              <w:jc w:val="center"/>
              <w:rPr>
                <w:rFonts w:hint="eastAsia" w:ascii="宋体" w:hAnsi="宋体" w:eastAsia="宋体" w:cs="宋体"/>
                <w:sz w:val="21"/>
                <w:szCs w:val="21"/>
              </w:rPr>
            </w:pPr>
          </w:p>
          <w:p>
            <w:pPr>
              <w:pStyle w:val="40"/>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40"/>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40"/>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40"/>
              <w:spacing w:before="4"/>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40"/>
              <w:spacing w:before="10"/>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40"/>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40"/>
              <w:spacing w:before="10"/>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1" w:hRule="atLeast"/>
        </w:trPr>
        <w:tc>
          <w:tcPr>
            <w:tcW w:w="700" w:type="dxa"/>
            <w:noWrap w:val="0"/>
            <w:vAlign w:val="top"/>
          </w:tcPr>
          <w:p>
            <w:pPr>
              <w:pStyle w:val="40"/>
              <w:spacing w:before="9"/>
              <w:rPr>
                <w:rFonts w:hint="eastAsia" w:ascii="宋体" w:hAnsi="宋体" w:eastAsia="宋体" w:cs="宋体"/>
                <w:sz w:val="21"/>
                <w:szCs w:val="21"/>
              </w:rPr>
            </w:pPr>
          </w:p>
          <w:p>
            <w:pPr>
              <w:pStyle w:val="40"/>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40"/>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40"/>
              <w:spacing w:before="9"/>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1" w:hRule="atLeast"/>
        </w:trPr>
        <w:tc>
          <w:tcPr>
            <w:tcW w:w="700" w:type="dxa"/>
            <w:noWrap w:val="0"/>
            <w:vAlign w:val="top"/>
          </w:tcPr>
          <w:p>
            <w:pPr>
              <w:pStyle w:val="40"/>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bottom w:val="nil"/>
            </w:tcBorders>
            <w:noWrap w:val="0"/>
            <w:vAlign w:val="top"/>
          </w:tcPr>
          <w:p>
            <w:pPr>
              <w:rPr>
                <w:rFonts w:hint="eastAsia" w:ascii="宋体" w:hAnsi="宋体" w:eastAsia="宋体" w:cs="宋体"/>
                <w:sz w:val="21"/>
                <w:szCs w:val="21"/>
              </w:rPr>
            </w:pPr>
          </w:p>
        </w:tc>
        <w:tc>
          <w:tcPr>
            <w:tcW w:w="3375" w:type="dxa"/>
            <w:noWrap w:val="0"/>
            <w:vAlign w:val="center"/>
          </w:tcPr>
          <w:p>
            <w:pPr>
              <w:pStyle w:val="40"/>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40"/>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40"/>
              <w:spacing w:before="4"/>
              <w:rPr>
                <w:rFonts w:hint="eastAsia" w:ascii="宋体" w:hAnsi="宋体" w:eastAsia="宋体" w:cs="宋体"/>
                <w:sz w:val="21"/>
                <w:szCs w:val="21"/>
              </w:rPr>
            </w:pPr>
          </w:p>
          <w:p>
            <w:pPr>
              <w:pStyle w:val="40"/>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2"/>
        <w:ind w:left="0" w:leftChars="0" w:firstLine="0" w:firstLineChars="0"/>
        <w:rPr>
          <w:rFonts w:hint="eastAsia" w:ascii="宋体" w:hAnsi="宋体" w:eastAsia="宋体" w:cs="宋体"/>
          <w:b/>
          <w:bCs/>
          <w:sz w:val="21"/>
          <w:szCs w:val="21"/>
        </w:rPr>
      </w:pPr>
    </w:p>
    <w:p>
      <w:pPr>
        <w:pStyle w:val="2"/>
        <w:ind w:left="0" w:leftChars="0" w:firstLine="0" w:firstLineChars="0"/>
        <w:rPr>
          <w:rFonts w:hint="eastAsia" w:ascii="宋体" w:hAnsi="宋体" w:eastAsia="宋体" w:cs="宋体"/>
          <w:b/>
          <w:bCs/>
          <w:sz w:val="21"/>
          <w:szCs w:val="21"/>
        </w:rPr>
      </w:pPr>
    </w:p>
    <w:p>
      <w:pPr>
        <w:pStyle w:val="2"/>
        <w:ind w:left="0" w:leftChars="0" w:firstLine="0" w:firstLineChars="0"/>
        <w:rPr>
          <w:rFonts w:hint="eastAsia" w:ascii="宋体" w:hAnsi="宋体" w:eastAsia="宋体" w:cs="宋体"/>
          <w:b/>
          <w:bCs/>
          <w:sz w:val="21"/>
          <w:szCs w:val="21"/>
        </w:rPr>
      </w:pPr>
    </w:p>
    <w:tbl>
      <w:tblPr>
        <w:tblStyle w:val="18"/>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40"/>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40"/>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40"/>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40"/>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40"/>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40"/>
              <w:rPr>
                <w:rFonts w:hint="eastAsia" w:ascii="宋体" w:hAnsi="宋体" w:eastAsia="宋体" w:cs="宋体"/>
                <w:sz w:val="21"/>
                <w:szCs w:val="21"/>
              </w:rPr>
            </w:pPr>
          </w:p>
          <w:p>
            <w:pPr>
              <w:pStyle w:val="40"/>
              <w:spacing w:before="8"/>
              <w:rPr>
                <w:rFonts w:hint="eastAsia" w:ascii="宋体" w:hAnsi="宋体" w:eastAsia="宋体" w:cs="宋体"/>
                <w:sz w:val="21"/>
                <w:szCs w:val="21"/>
              </w:rPr>
            </w:pPr>
          </w:p>
          <w:p>
            <w:pPr>
              <w:pStyle w:val="40"/>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40"/>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40"/>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40"/>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40"/>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40"/>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0" w:type="dxa"/>
            <w:noWrap w:val="0"/>
            <w:vAlign w:val="top"/>
          </w:tcPr>
          <w:p>
            <w:pPr>
              <w:pStyle w:val="40"/>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40"/>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40"/>
              <w:rPr>
                <w:rFonts w:hint="eastAsia" w:ascii="宋体" w:hAnsi="宋体" w:eastAsia="宋体" w:cs="宋体"/>
                <w:sz w:val="21"/>
                <w:szCs w:val="21"/>
              </w:rPr>
            </w:pPr>
          </w:p>
        </w:tc>
        <w:tc>
          <w:tcPr>
            <w:tcW w:w="4428" w:type="dxa"/>
            <w:noWrap w:val="0"/>
            <w:vAlign w:val="top"/>
          </w:tcPr>
          <w:p>
            <w:pPr>
              <w:pStyle w:val="40"/>
              <w:rPr>
                <w:rFonts w:hint="eastAsia" w:ascii="宋体" w:hAnsi="宋体" w:eastAsia="宋体" w:cs="宋体"/>
                <w:sz w:val="21"/>
                <w:szCs w:val="21"/>
              </w:rPr>
            </w:pPr>
          </w:p>
        </w:tc>
        <w:tc>
          <w:tcPr>
            <w:tcW w:w="992" w:type="dxa"/>
            <w:noWrap w:val="0"/>
            <w:vAlign w:val="top"/>
          </w:tcPr>
          <w:p>
            <w:pPr>
              <w:pStyle w:val="40"/>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pStyle w:val="9"/>
        <w:ind w:left="0" w:leftChars="0" w:firstLine="0" w:firstLineChars="0"/>
        <w:jc w:val="left"/>
        <w:rPr>
          <w:rFonts w:hint="default"/>
          <w:lang w:val="en-US"/>
        </w:rPr>
      </w:pPr>
      <w:r>
        <w:rPr>
          <w:rFonts w:hint="eastAsia" w:ascii="宋体" w:hAnsi="宋体" w:cs="仿宋_GB2312"/>
          <w:kern w:val="0"/>
          <w:sz w:val="21"/>
          <w:szCs w:val="21"/>
          <w:lang w:val="en-US" w:eastAsia="zh-CN"/>
        </w:rPr>
        <w:t>三、</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格式自拟</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标段</w:t>
      </w:r>
      <w:r>
        <w:rPr>
          <w:rFonts w:hint="eastAsia" w:ascii="仿宋" w:hAnsi="仿宋" w:eastAsia="仿宋" w:cs="仿宋"/>
          <w:sz w:val="28"/>
          <w:szCs w:val="28"/>
          <w:lang w:val="en-US" w:eastAsia="zh-CN"/>
        </w:rPr>
        <w:t>的</w:t>
      </w:r>
      <w:r>
        <w:rPr>
          <w:rFonts w:hint="eastAsia" w:ascii="仿宋" w:hAnsi="仿宋" w:eastAsia="仿宋" w:cs="仿宋"/>
          <w:sz w:val="28"/>
          <w:szCs w:val="28"/>
        </w:rPr>
        <w:t>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lang w:val="en-US" w:eastAsia="zh-CN"/>
        </w:rPr>
        <w:t>元/m2</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pStyle w:val="10"/>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lang w:val="en-US" w:eastAsia="zh-CN"/>
              </w:rPr>
              <w:t>法定代表人</w:t>
            </w:r>
            <w:r>
              <w:rPr>
                <w:rFonts w:hint="eastAsia" w:ascii="仿宋" w:hAnsi="仿宋" w:eastAsia="仿宋" w:cs="仿宋"/>
              </w:rPr>
              <w:t>身份证复印件</w:t>
            </w:r>
          </w:p>
          <w:p>
            <w:pPr>
              <w:pStyle w:val="9"/>
              <w:rPr>
                <w:rFonts w:hint="eastAsia" w:eastAsia="仿宋_GB2312"/>
                <w:lang w:eastAsia="zh-CN"/>
              </w:rPr>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rPr>
              <w:t>代理人身份证复印件</w:t>
            </w:r>
          </w:p>
          <w:p>
            <w:pPr>
              <w:pStyle w:val="9"/>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pStyle w:val="9"/>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9"/>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right"/>
      <w:rPr>
        <w:rStyle w:val="21"/>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BF3B"/>
    <w:multiLevelType w:val="singleLevel"/>
    <w:tmpl w:val="1B1EBF3B"/>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2852"/>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A6A96"/>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046F3C"/>
    <w:rsid w:val="012B4B0F"/>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5148F2"/>
    <w:rsid w:val="035B751F"/>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8F273B5"/>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187AA4"/>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76D8B"/>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0D5E88"/>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30855"/>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A50A86"/>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BF5E22"/>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077DEC"/>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231972"/>
    <w:rsid w:val="1E4104FD"/>
    <w:rsid w:val="1E547D20"/>
    <w:rsid w:val="1E5D4927"/>
    <w:rsid w:val="1E62130A"/>
    <w:rsid w:val="1E851020"/>
    <w:rsid w:val="1EA67FE3"/>
    <w:rsid w:val="1EC052DA"/>
    <w:rsid w:val="1ECA6EAF"/>
    <w:rsid w:val="1ECF5618"/>
    <w:rsid w:val="1EF1119A"/>
    <w:rsid w:val="1EF403AD"/>
    <w:rsid w:val="1EFD48B8"/>
    <w:rsid w:val="1F0A411A"/>
    <w:rsid w:val="1F173C38"/>
    <w:rsid w:val="1F207B44"/>
    <w:rsid w:val="1F2B3856"/>
    <w:rsid w:val="1F525CE0"/>
    <w:rsid w:val="1F6C0404"/>
    <w:rsid w:val="1F707A57"/>
    <w:rsid w:val="1F745F7B"/>
    <w:rsid w:val="1FA03DAE"/>
    <w:rsid w:val="1FAA3C18"/>
    <w:rsid w:val="1FB042F7"/>
    <w:rsid w:val="1FED51FB"/>
    <w:rsid w:val="1FF15AA8"/>
    <w:rsid w:val="1FFA0D4D"/>
    <w:rsid w:val="20284A23"/>
    <w:rsid w:val="20364D81"/>
    <w:rsid w:val="203D5C7A"/>
    <w:rsid w:val="204A18F4"/>
    <w:rsid w:val="204F4146"/>
    <w:rsid w:val="208B16DB"/>
    <w:rsid w:val="20A50DFC"/>
    <w:rsid w:val="20CC075D"/>
    <w:rsid w:val="20D45D68"/>
    <w:rsid w:val="20FF2E43"/>
    <w:rsid w:val="2109774C"/>
    <w:rsid w:val="210B711D"/>
    <w:rsid w:val="2127486C"/>
    <w:rsid w:val="217A2E8F"/>
    <w:rsid w:val="21A010F0"/>
    <w:rsid w:val="21AD2AA9"/>
    <w:rsid w:val="21C36897"/>
    <w:rsid w:val="21D1533B"/>
    <w:rsid w:val="21DA1ED5"/>
    <w:rsid w:val="22122DA4"/>
    <w:rsid w:val="225A0E23"/>
    <w:rsid w:val="22B34C3F"/>
    <w:rsid w:val="22D12BAB"/>
    <w:rsid w:val="22ED209B"/>
    <w:rsid w:val="22EE6AE2"/>
    <w:rsid w:val="23073830"/>
    <w:rsid w:val="231178C5"/>
    <w:rsid w:val="23137077"/>
    <w:rsid w:val="233B65CE"/>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DF4DEB"/>
    <w:rsid w:val="26E870EA"/>
    <w:rsid w:val="270216C1"/>
    <w:rsid w:val="270648C4"/>
    <w:rsid w:val="270A253F"/>
    <w:rsid w:val="27225448"/>
    <w:rsid w:val="27266761"/>
    <w:rsid w:val="272C02FD"/>
    <w:rsid w:val="2746156A"/>
    <w:rsid w:val="2758714A"/>
    <w:rsid w:val="278155D4"/>
    <w:rsid w:val="278D5A4A"/>
    <w:rsid w:val="27936D0C"/>
    <w:rsid w:val="27C76682"/>
    <w:rsid w:val="27E155EC"/>
    <w:rsid w:val="280B7FEB"/>
    <w:rsid w:val="28203476"/>
    <w:rsid w:val="28450F6C"/>
    <w:rsid w:val="284C16B1"/>
    <w:rsid w:val="28577024"/>
    <w:rsid w:val="289C366A"/>
    <w:rsid w:val="28A66FD2"/>
    <w:rsid w:val="28C8225D"/>
    <w:rsid w:val="29081179"/>
    <w:rsid w:val="2926030A"/>
    <w:rsid w:val="294C32E2"/>
    <w:rsid w:val="29664B00"/>
    <w:rsid w:val="298D54E1"/>
    <w:rsid w:val="298F58A4"/>
    <w:rsid w:val="29912B2A"/>
    <w:rsid w:val="29933E95"/>
    <w:rsid w:val="29953A54"/>
    <w:rsid w:val="29A62BE1"/>
    <w:rsid w:val="29F36631"/>
    <w:rsid w:val="29F76330"/>
    <w:rsid w:val="2A502BDE"/>
    <w:rsid w:val="2A610E88"/>
    <w:rsid w:val="2AA236A8"/>
    <w:rsid w:val="2AD540D4"/>
    <w:rsid w:val="2AF75B1C"/>
    <w:rsid w:val="2AF77B9D"/>
    <w:rsid w:val="2AFB52E4"/>
    <w:rsid w:val="2B021391"/>
    <w:rsid w:val="2B040840"/>
    <w:rsid w:val="2B043966"/>
    <w:rsid w:val="2B115FB7"/>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30FEA"/>
    <w:rsid w:val="2D1F1586"/>
    <w:rsid w:val="2D3C001D"/>
    <w:rsid w:val="2D505B75"/>
    <w:rsid w:val="2D5A30CF"/>
    <w:rsid w:val="2D7E320A"/>
    <w:rsid w:val="2D9331E7"/>
    <w:rsid w:val="2DD122C7"/>
    <w:rsid w:val="2DD74304"/>
    <w:rsid w:val="2DF75EB2"/>
    <w:rsid w:val="2E027B47"/>
    <w:rsid w:val="2E085135"/>
    <w:rsid w:val="2E41357C"/>
    <w:rsid w:val="2E4D7EDF"/>
    <w:rsid w:val="2E5C0F57"/>
    <w:rsid w:val="2E6B5AF8"/>
    <w:rsid w:val="2E6D4270"/>
    <w:rsid w:val="2E784EE0"/>
    <w:rsid w:val="2E8708C4"/>
    <w:rsid w:val="2E891B68"/>
    <w:rsid w:val="2EA75E76"/>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63B76"/>
    <w:rsid w:val="300C7997"/>
    <w:rsid w:val="302A57BB"/>
    <w:rsid w:val="303B7986"/>
    <w:rsid w:val="304E367B"/>
    <w:rsid w:val="309B06AC"/>
    <w:rsid w:val="30AE1D52"/>
    <w:rsid w:val="30E7266C"/>
    <w:rsid w:val="30EA5331"/>
    <w:rsid w:val="311404F8"/>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85A3A"/>
    <w:rsid w:val="336A45BE"/>
    <w:rsid w:val="33866163"/>
    <w:rsid w:val="3388558D"/>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64600"/>
    <w:rsid w:val="39371CF5"/>
    <w:rsid w:val="394E7DD5"/>
    <w:rsid w:val="396A5DF5"/>
    <w:rsid w:val="396F20BC"/>
    <w:rsid w:val="39734A06"/>
    <w:rsid w:val="39A8483F"/>
    <w:rsid w:val="39CB0253"/>
    <w:rsid w:val="39CB45BD"/>
    <w:rsid w:val="39EC31C6"/>
    <w:rsid w:val="39FC39DC"/>
    <w:rsid w:val="3A0F0192"/>
    <w:rsid w:val="3A142266"/>
    <w:rsid w:val="3A2D6B32"/>
    <w:rsid w:val="3A2E0889"/>
    <w:rsid w:val="3A3B496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8410A8"/>
    <w:rsid w:val="3CB26924"/>
    <w:rsid w:val="3CEC1361"/>
    <w:rsid w:val="3D2C178A"/>
    <w:rsid w:val="3D3A04EA"/>
    <w:rsid w:val="3D4B5A31"/>
    <w:rsid w:val="3D6067DA"/>
    <w:rsid w:val="3D792860"/>
    <w:rsid w:val="3D8F42E2"/>
    <w:rsid w:val="3DA12DAE"/>
    <w:rsid w:val="3DB37034"/>
    <w:rsid w:val="3DD570E9"/>
    <w:rsid w:val="3DF20FA0"/>
    <w:rsid w:val="3E0747AF"/>
    <w:rsid w:val="3E1A638D"/>
    <w:rsid w:val="3E617160"/>
    <w:rsid w:val="3EB1152D"/>
    <w:rsid w:val="3EB503D8"/>
    <w:rsid w:val="3EE44295"/>
    <w:rsid w:val="3F0A1DC4"/>
    <w:rsid w:val="3F0B6F2B"/>
    <w:rsid w:val="3F30557D"/>
    <w:rsid w:val="3F3C3A0D"/>
    <w:rsid w:val="3F980E7B"/>
    <w:rsid w:val="3FCD4482"/>
    <w:rsid w:val="3FD203D8"/>
    <w:rsid w:val="3FDA2369"/>
    <w:rsid w:val="3FF85F20"/>
    <w:rsid w:val="40212731"/>
    <w:rsid w:val="402772FD"/>
    <w:rsid w:val="402C30CE"/>
    <w:rsid w:val="402E1A6D"/>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1467C7"/>
    <w:rsid w:val="436F71BF"/>
    <w:rsid w:val="437012D3"/>
    <w:rsid w:val="437A2EB2"/>
    <w:rsid w:val="439F08BB"/>
    <w:rsid w:val="439F66B3"/>
    <w:rsid w:val="43C51FCC"/>
    <w:rsid w:val="440C28B6"/>
    <w:rsid w:val="442C5A9F"/>
    <w:rsid w:val="4438633C"/>
    <w:rsid w:val="443C5FEA"/>
    <w:rsid w:val="44425872"/>
    <w:rsid w:val="44500D2A"/>
    <w:rsid w:val="44575BB4"/>
    <w:rsid w:val="448D6FED"/>
    <w:rsid w:val="44CD30D2"/>
    <w:rsid w:val="44F7272B"/>
    <w:rsid w:val="450A0BF0"/>
    <w:rsid w:val="452557FD"/>
    <w:rsid w:val="453D438D"/>
    <w:rsid w:val="45657083"/>
    <w:rsid w:val="456617F3"/>
    <w:rsid w:val="45965BB9"/>
    <w:rsid w:val="45AA341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BB7EDC"/>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ADE356C"/>
    <w:rsid w:val="4AF229B2"/>
    <w:rsid w:val="4B145C5E"/>
    <w:rsid w:val="4B550A11"/>
    <w:rsid w:val="4B5C5CDE"/>
    <w:rsid w:val="4B897627"/>
    <w:rsid w:val="4BE051A7"/>
    <w:rsid w:val="4BE3777C"/>
    <w:rsid w:val="4BE50202"/>
    <w:rsid w:val="4BE557FA"/>
    <w:rsid w:val="4C203459"/>
    <w:rsid w:val="4C487E08"/>
    <w:rsid w:val="4C4F5739"/>
    <w:rsid w:val="4C5D11DF"/>
    <w:rsid w:val="4C720843"/>
    <w:rsid w:val="4CA77B6B"/>
    <w:rsid w:val="4CC625AA"/>
    <w:rsid w:val="4CD64AED"/>
    <w:rsid w:val="4CFB081B"/>
    <w:rsid w:val="4D1F409E"/>
    <w:rsid w:val="4D665512"/>
    <w:rsid w:val="4D6F1D0C"/>
    <w:rsid w:val="4D755439"/>
    <w:rsid w:val="4DBC074D"/>
    <w:rsid w:val="4DC73A64"/>
    <w:rsid w:val="4DE60D42"/>
    <w:rsid w:val="4E0F7B79"/>
    <w:rsid w:val="4E175D28"/>
    <w:rsid w:val="4E2D698F"/>
    <w:rsid w:val="4E30647F"/>
    <w:rsid w:val="4E69264D"/>
    <w:rsid w:val="4EA653E3"/>
    <w:rsid w:val="4EB64BD7"/>
    <w:rsid w:val="4EC206EE"/>
    <w:rsid w:val="4ED652C6"/>
    <w:rsid w:val="4EFB7579"/>
    <w:rsid w:val="4F0931EA"/>
    <w:rsid w:val="4F676E75"/>
    <w:rsid w:val="4F765039"/>
    <w:rsid w:val="4F9C4AA9"/>
    <w:rsid w:val="4FF534DD"/>
    <w:rsid w:val="502F7164"/>
    <w:rsid w:val="504101F5"/>
    <w:rsid w:val="5043708B"/>
    <w:rsid w:val="50484332"/>
    <w:rsid w:val="505D1263"/>
    <w:rsid w:val="50780407"/>
    <w:rsid w:val="50E10D0C"/>
    <w:rsid w:val="50FF4E2F"/>
    <w:rsid w:val="511E6A63"/>
    <w:rsid w:val="51262417"/>
    <w:rsid w:val="513E0BA1"/>
    <w:rsid w:val="514846E2"/>
    <w:rsid w:val="514F438E"/>
    <w:rsid w:val="515060CC"/>
    <w:rsid w:val="51564AF1"/>
    <w:rsid w:val="516D6944"/>
    <w:rsid w:val="51786E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6F788D"/>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1197F"/>
    <w:rsid w:val="578F351C"/>
    <w:rsid w:val="57A04676"/>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655CEA"/>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163DE7"/>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AA71DF"/>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1DF3FED"/>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0608A9"/>
    <w:rsid w:val="64103523"/>
    <w:rsid w:val="64130890"/>
    <w:rsid w:val="64144701"/>
    <w:rsid w:val="64376E70"/>
    <w:rsid w:val="64474BA2"/>
    <w:rsid w:val="645D295C"/>
    <w:rsid w:val="64626C3E"/>
    <w:rsid w:val="64BC1D8A"/>
    <w:rsid w:val="64C041ED"/>
    <w:rsid w:val="64DA205C"/>
    <w:rsid w:val="64E36D63"/>
    <w:rsid w:val="65160107"/>
    <w:rsid w:val="65531F1D"/>
    <w:rsid w:val="65537B61"/>
    <w:rsid w:val="657151FB"/>
    <w:rsid w:val="65735D84"/>
    <w:rsid w:val="659F5F6D"/>
    <w:rsid w:val="65AB2686"/>
    <w:rsid w:val="65CA5EB8"/>
    <w:rsid w:val="65E07179"/>
    <w:rsid w:val="66092177"/>
    <w:rsid w:val="661A50B7"/>
    <w:rsid w:val="66410FA7"/>
    <w:rsid w:val="66444926"/>
    <w:rsid w:val="664F1FDF"/>
    <w:rsid w:val="666C6880"/>
    <w:rsid w:val="66703465"/>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234003"/>
    <w:rsid w:val="6A5D01A4"/>
    <w:rsid w:val="6A85334E"/>
    <w:rsid w:val="6A8C64AB"/>
    <w:rsid w:val="6A901D00"/>
    <w:rsid w:val="6AA00E50"/>
    <w:rsid w:val="6AB9288E"/>
    <w:rsid w:val="6ABA4B0F"/>
    <w:rsid w:val="6AD322D0"/>
    <w:rsid w:val="6AF75F55"/>
    <w:rsid w:val="6B2B2B84"/>
    <w:rsid w:val="6B6E1D88"/>
    <w:rsid w:val="6B963D85"/>
    <w:rsid w:val="6C050995"/>
    <w:rsid w:val="6C736A36"/>
    <w:rsid w:val="6C75640B"/>
    <w:rsid w:val="6C7A3290"/>
    <w:rsid w:val="6C7B2A22"/>
    <w:rsid w:val="6CDD11CD"/>
    <w:rsid w:val="6CE05267"/>
    <w:rsid w:val="6CE3136F"/>
    <w:rsid w:val="6CE40271"/>
    <w:rsid w:val="6CEA21C3"/>
    <w:rsid w:val="6D2D1C52"/>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6FEF5C0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A62431"/>
    <w:rsid w:val="71B763EC"/>
    <w:rsid w:val="71BC3372"/>
    <w:rsid w:val="71EF104F"/>
    <w:rsid w:val="71F95237"/>
    <w:rsid w:val="722D514D"/>
    <w:rsid w:val="725337DC"/>
    <w:rsid w:val="7258197D"/>
    <w:rsid w:val="725D51C5"/>
    <w:rsid w:val="725E3D3D"/>
    <w:rsid w:val="725F4D5A"/>
    <w:rsid w:val="72C55CA1"/>
    <w:rsid w:val="72CF0E9B"/>
    <w:rsid w:val="72FF072E"/>
    <w:rsid w:val="73045661"/>
    <w:rsid w:val="7307377D"/>
    <w:rsid w:val="733A35E5"/>
    <w:rsid w:val="733A75F8"/>
    <w:rsid w:val="7353025C"/>
    <w:rsid w:val="73557AEB"/>
    <w:rsid w:val="737F302F"/>
    <w:rsid w:val="73833EA2"/>
    <w:rsid w:val="73924D5F"/>
    <w:rsid w:val="739F6EDB"/>
    <w:rsid w:val="73F17C64"/>
    <w:rsid w:val="73F522EE"/>
    <w:rsid w:val="74271298"/>
    <w:rsid w:val="74766500"/>
    <w:rsid w:val="748962D3"/>
    <w:rsid w:val="74B84E55"/>
    <w:rsid w:val="74C817E9"/>
    <w:rsid w:val="74D13C2A"/>
    <w:rsid w:val="7506617D"/>
    <w:rsid w:val="75322E1E"/>
    <w:rsid w:val="75475F33"/>
    <w:rsid w:val="75BF0392"/>
    <w:rsid w:val="75F25DC7"/>
    <w:rsid w:val="75FA5640"/>
    <w:rsid w:val="75FD2911"/>
    <w:rsid w:val="761F46F4"/>
    <w:rsid w:val="764C4219"/>
    <w:rsid w:val="764E771F"/>
    <w:rsid w:val="76675F39"/>
    <w:rsid w:val="767852D8"/>
    <w:rsid w:val="76935F53"/>
    <w:rsid w:val="76953FE4"/>
    <w:rsid w:val="769972DB"/>
    <w:rsid w:val="76C0056C"/>
    <w:rsid w:val="76E44B48"/>
    <w:rsid w:val="76F43E80"/>
    <w:rsid w:val="76F63AEF"/>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69375C"/>
    <w:rsid w:val="796C0F3B"/>
    <w:rsid w:val="79AB21D0"/>
    <w:rsid w:val="79AF1C6D"/>
    <w:rsid w:val="79CA7B2C"/>
    <w:rsid w:val="79CC6A81"/>
    <w:rsid w:val="79E64949"/>
    <w:rsid w:val="7A2F1CB5"/>
    <w:rsid w:val="7A891D3A"/>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944282"/>
    <w:rsid w:val="7CB53C71"/>
    <w:rsid w:val="7CB63B55"/>
    <w:rsid w:val="7CB74420"/>
    <w:rsid w:val="7CBB7A92"/>
    <w:rsid w:val="7CBC31DA"/>
    <w:rsid w:val="7CCB3D37"/>
    <w:rsid w:val="7CD0502E"/>
    <w:rsid w:val="7CD42218"/>
    <w:rsid w:val="7CD6006E"/>
    <w:rsid w:val="7D146DE8"/>
    <w:rsid w:val="7D1B1F25"/>
    <w:rsid w:val="7D2E1A4A"/>
    <w:rsid w:val="7D846C0E"/>
    <w:rsid w:val="7D963331"/>
    <w:rsid w:val="7D9C49E0"/>
    <w:rsid w:val="7D9C539A"/>
    <w:rsid w:val="7DB07306"/>
    <w:rsid w:val="7DB55021"/>
    <w:rsid w:val="7DDD367E"/>
    <w:rsid w:val="7E1259A1"/>
    <w:rsid w:val="7E237C4A"/>
    <w:rsid w:val="7E334C61"/>
    <w:rsid w:val="7E4328CE"/>
    <w:rsid w:val="7E784305"/>
    <w:rsid w:val="7EC52B0A"/>
    <w:rsid w:val="7EC65EC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30"/>
    <w:qFormat/>
    <w:uiPriority w:val="0"/>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31"/>
    <w:qFormat/>
    <w:uiPriority w:val="0"/>
    <w:pPr>
      <w:tabs>
        <w:tab w:val="left" w:pos="7060"/>
      </w:tabs>
      <w:spacing w:line="360" w:lineRule="auto"/>
      <w:ind w:firstLine="560" w:firstLineChars="200"/>
    </w:pPr>
    <w:rPr>
      <w:rFonts w:eastAsia="新宋体"/>
      <w:sz w:val="28"/>
    </w:rPr>
  </w:style>
  <w:style w:type="paragraph" w:styleId="6">
    <w:name w:val="Normal Indent"/>
    <w:basedOn w:val="1"/>
    <w:unhideWhenUsed/>
    <w:qFormat/>
    <w:uiPriority w:val="99"/>
    <w:pPr>
      <w:ind w:firstLine="420"/>
    </w:pPr>
    <w:rPr>
      <w:szCs w:val="20"/>
    </w:rPr>
  </w:style>
  <w:style w:type="paragraph" w:styleId="7">
    <w:name w:val="annotation text"/>
    <w:basedOn w:val="1"/>
    <w:link w:val="27"/>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2">
    <w:name w:val="Body Text Indent 2"/>
    <w:basedOn w:val="1"/>
    <w:qFormat/>
    <w:uiPriority w:val="0"/>
    <w:pPr>
      <w:ind w:firstLine="560" w:firstLineChars="200"/>
    </w:pPr>
    <w:rPr>
      <w:rFonts w:ascii="宋体" w:hAnsi="宋体"/>
      <w:szCs w:val="20"/>
    </w:rPr>
  </w:style>
  <w:style w:type="paragraph" w:styleId="13">
    <w:name w:val="Balloon Text"/>
    <w:basedOn w:val="1"/>
    <w:link w:val="32"/>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rPr>
  </w:style>
  <w:style w:type="character" w:styleId="24">
    <w:name w:val="Hyperlink"/>
    <w:qFormat/>
    <w:uiPriority w:val="0"/>
    <w:rPr>
      <w:color w:val="0000FF"/>
      <w:u w:val="single"/>
    </w:rPr>
  </w:style>
  <w:style w:type="paragraph" w:customStyle="1" w:styleId="25">
    <w:name w:val="Char"/>
    <w:basedOn w:val="1"/>
    <w:qFormat/>
    <w:uiPriority w:val="0"/>
    <w:pPr>
      <w:adjustRightInd w:val="0"/>
      <w:snapToGrid w:val="0"/>
    </w:pPr>
    <w:rPr>
      <w:szCs w:val="20"/>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批注文字 Char"/>
    <w:basedOn w:val="20"/>
    <w:link w:val="7"/>
    <w:semiHidden/>
    <w:qFormat/>
    <w:uiPriority w:val="0"/>
    <w:rPr>
      <w:rFonts w:ascii="Arial" w:hAnsi="Arial" w:eastAsia="宋体" w:cs="Arial"/>
      <w:szCs w:val="24"/>
    </w:rPr>
  </w:style>
  <w:style w:type="character" w:customStyle="1" w:styleId="28">
    <w:name w:val="页眉 Char"/>
    <w:basedOn w:val="20"/>
    <w:link w:val="16"/>
    <w:qFormat/>
    <w:uiPriority w:val="99"/>
    <w:rPr>
      <w:rFonts w:ascii="Times New Roman" w:hAnsi="Times New Roman" w:eastAsia="宋体" w:cs="Times New Roman"/>
      <w:sz w:val="18"/>
      <w:szCs w:val="18"/>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标题 3 Char"/>
    <w:basedOn w:val="20"/>
    <w:link w:val="5"/>
    <w:qFormat/>
    <w:uiPriority w:val="0"/>
    <w:rPr>
      <w:rFonts w:ascii="Times New Roman" w:hAnsi="Times New Roman" w:eastAsia="宋体" w:cs="Times New Roman"/>
      <w:b/>
      <w:bCs/>
      <w:sz w:val="32"/>
      <w:szCs w:val="32"/>
    </w:rPr>
  </w:style>
  <w:style w:type="character" w:customStyle="1" w:styleId="31">
    <w:name w:val="正文文本缩进 Char"/>
    <w:basedOn w:val="20"/>
    <w:link w:val="3"/>
    <w:qFormat/>
    <w:uiPriority w:val="0"/>
    <w:rPr>
      <w:rFonts w:ascii="Times New Roman" w:hAnsi="Times New Roman" w:eastAsia="新宋体" w:cs="Times New Roman"/>
      <w:sz w:val="28"/>
      <w:szCs w:val="24"/>
    </w:rPr>
  </w:style>
  <w:style w:type="character" w:customStyle="1" w:styleId="32">
    <w:name w:val="批注框文本 Char"/>
    <w:basedOn w:val="20"/>
    <w:link w:val="13"/>
    <w:semiHidden/>
    <w:qFormat/>
    <w:uiPriority w:val="99"/>
    <w:rPr>
      <w:rFonts w:ascii="Times New Roman" w:hAnsi="Times New Roman" w:eastAsia="宋体" w:cs="Times New Roman"/>
      <w:sz w:val="18"/>
      <w:szCs w:val="18"/>
    </w:rPr>
  </w:style>
  <w:style w:type="paragraph" w:styleId="33">
    <w:name w:val="List Paragraph"/>
    <w:basedOn w:val="1"/>
    <w:unhideWhenUsed/>
    <w:qFormat/>
    <w:uiPriority w:val="99"/>
    <w:pPr>
      <w:ind w:firstLine="420" w:firstLineChars="200"/>
    </w:pPr>
  </w:style>
  <w:style w:type="character" w:customStyle="1" w:styleId="34">
    <w:name w:val="font41"/>
    <w:basedOn w:val="20"/>
    <w:qFormat/>
    <w:uiPriority w:val="0"/>
    <w:rPr>
      <w:rFonts w:hint="eastAsia" w:ascii="宋体" w:hAnsi="宋体" w:eastAsia="宋体" w:cs="宋体"/>
      <w:color w:val="000000"/>
      <w:sz w:val="44"/>
      <w:szCs w:val="44"/>
      <w:u w:val="none"/>
      <w:vertAlign w:val="superscript"/>
    </w:rPr>
  </w:style>
  <w:style w:type="character" w:customStyle="1" w:styleId="35">
    <w:name w:val="font11"/>
    <w:basedOn w:val="20"/>
    <w:qFormat/>
    <w:uiPriority w:val="0"/>
    <w:rPr>
      <w:rFonts w:hint="eastAsia" w:ascii="宋体" w:hAnsi="宋体" w:eastAsia="宋体" w:cs="宋体"/>
      <w:color w:val="000000"/>
      <w:sz w:val="44"/>
      <w:szCs w:val="44"/>
      <w:u w:val="none"/>
    </w:rPr>
  </w:style>
  <w:style w:type="character" w:customStyle="1" w:styleId="36">
    <w:name w:val="font31"/>
    <w:basedOn w:val="20"/>
    <w:qFormat/>
    <w:uiPriority w:val="0"/>
    <w:rPr>
      <w:rFonts w:hint="eastAsia" w:ascii="宋体" w:hAnsi="宋体" w:eastAsia="宋体" w:cs="宋体"/>
      <w:color w:val="000000"/>
      <w:sz w:val="16"/>
      <w:szCs w:val="16"/>
      <w:u w:val="none"/>
      <w:vertAlign w:val="superscript"/>
    </w:rPr>
  </w:style>
  <w:style w:type="character" w:customStyle="1" w:styleId="37">
    <w:name w:val="font01"/>
    <w:basedOn w:val="20"/>
    <w:qFormat/>
    <w:uiPriority w:val="0"/>
    <w:rPr>
      <w:rFonts w:hint="eastAsia" w:ascii="宋体" w:hAnsi="宋体" w:eastAsia="宋体" w:cs="宋体"/>
      <w:color w:val="000000"/>
      <w:sz w:val="16"/>
      <w:szCs w:val="16"/>
      <w:u w:val="none"/>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Normal]"/>
    <w:qFormat/>
    <w:uiPriority w:val="0"/>
    <w:rPr>
      <w:rFonts w:ascii="宋体" w:hAnsi="宋体" w:eastAsia="宋体" w:cs="Times New Roman"/>
      <w:sz w:val="24"/>
      <w:szCs w:val="22"/>
      <w:lang w:val="zh-CN" w:eastAsia="zh-CN" w:bidi="ar-SA"/>
    </w:rPr>
  </w:style>
  <w:style w:type="paragraph" w:customStyle="1" w:styleId="40">
    <w:name w:val="Table Paragraph"/>
    <w:basedOn w:val="1"/>
    <w:qFormat/>
    <w:uiPriority w:val="1"/>
    <w:rPr>
      <w:rFonts w:ascii="宋体" w:hAnsi="宋体" w:cs="宋体"/>
      <w:lang w:val="zh-CN" w:bidi="zh-CN"/>
    </w:rPr>
  </w:style>
  <w:style w:type="character" w:customStyle="1" w:styleId="41">
    <w:name w:val="hover30"/>
    <w:basedOn w:val="20"/>
    <w:uiPriority w:val="0"/>
  </w:style>
  <w:style w:type="character" w:customStyle="1" w:styleId="42">
    <w:name w:val="times"/>
    <w:basedOn w:val="20"/>
    <w:uiPriority w:val="0"/>
    <w:rPr>
      <w:color w:val="3399FF"/>
      <w:bdr w:val="single" w:color="D1EDF8" w:sz="6" w:space="0"/>
      <w:shd w:val="clear" w:fill="EAF9FF"/>
    </w:rPr>
  </w:style>
  <w:style w:type="character" w:customStyle="1" w:styleId="43">
    <w:name w:val="times1"/>
    <w:basedOn w:val="20"/>
    <w:uiPriority w:val="0"/>
    <w:rPr>
      <w:color w:val="CDCDCD"/>
      <w:bdr w:val="single" w:color="CDCDCD" w:sz="6" w:space="0"/>
      <w:shd w:val="clear" w:fill="EFEFE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32</Pages>
  <Words>25381</Words>
  <Characters>26611</Characters>
  <Lines>82</Lines>
  <Paragraphs>23</Paragraphs>
  <TotalTime>10</TotalTime>
  <ScaleCrop>false</ScaleCrop>
  <LinksUpToDate>false</LinksUpToDate>
  <CharactersWithSpaces>27979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2022-07-06T06:09:00Z</cp:lastPrinted>
  <dcterms:modified xsi:type="dcterms:W3CDTF">2022-07-06T08:09:07Z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293D556150EE408CB6166E28E9EB5FB7</vt:lpwstr>
  </property>
</Properties>
</file>