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2022年南浔振浔污水厂储泥罐设备底座及管道搬迁劳务分包工程</w:t>
      </w: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2"/>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2022年南浔振浔污水厂储泥罐设备底座及管道搬迁工程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auto"/>
          <w:spacing w:val="0"/>
          <w:kern w:val="0"/>
          <w:sz w:val="21"/>
          <w:szCs w:val="21"/>
          <w:u w:val="none"/>
          <w:lang w:val="en-US" w:eastAsia="zh-CN" w:bidi="ar-SA"/>
        </w:rPr>
        <w:t>污泥脱水配套设备搬迁</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lang w:val="en-US" w:eastAsia="zh-CN"/>
        </w:rPr>
        <w:t>图纸范围内的设备底座新建，设备周边的污泥管、雨水管、管道沟、加压数量管的搬迁、道路开挖修复及污泥脱水配套设备搬迁（B=1000,L=25m，带支架，配套皮带输送机，H3700mm，4*4*3.5m，50m³，配排泥液压装置设备）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2022年南浔振浔污水厂储泥罐设备底座及管道搬迁劳务分包工程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kern w:val="0"/>
          <w:sz w:val="21"/>
          <w:szCs w:val="21"/>
          <w:lang w:val="en-US" w:eastAsia="zh-CN"/>
        </w:rPr>
        <w:t>图纸范围内的设备底座新建，设备周边的污泥管、雨水管、管道沟、加压数量管的搬迁、道路开挖修复及污泥脱水配套设备搬迁（B=1000,L=25m，带支架，配套皮带输送机，H3700mm，4*4*3.5m，50m³，配排泥液压装置设备）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区振浔污水厂</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2022年7月13日至2022年7月15日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none"/>
          <w:lang w:val="en-US" w:eastAsia="zh-CN"/>
        </w:rPr>
        <w:t>12</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不含招标人与业主约定的下浮费率，暂估价100万元，其中劳务暂估价20万元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2"/>
        <w:ind w:left="0" w:leftChars="0" w:firstLine="0" w:firstLineChars="0"/>
        <w:jc w:val="both"/>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2022年南浔振浔污水厂储泥罐设备底座及管道搬迁劳务分包工程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kern w:val="0"/>
                <w:sz w:val="21"/>
                <w:szCs w:val="21"/>
                <w:lang w:val="en-US" w:eastAsia="zh-CN"/>
              </w:rPr>
              <w:t>图纸范围内的设备底座新建，设备周边的污泥管、雨水管、管道沟、加压数量管的搬迁、道路开挖修复及污泥脱水配套设备搬迁（B=1000,L=25m，带支架，配套皮带输送机，H3700mm，4*4*3.5m，50m³，配排泥液压装置设备）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4"/>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4"/>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44974543"/>
      <w:bookmarkStart w:id="4" w:name="_Toc296590983"/>
      <w:bookmarkStart w:id="5" w:name="_Toc152042351"/>
      <w:bookmarkStart w:id="6" w:name="_Toc296602462"/>
      <w:bookmarkStart w:id="7" w:name="_Toc246996219"/>
      <w:bookmarkStart w:id="8" w:name="_Toc152045575"/>
      <w:bookmarkStart w:id="9" w:name="_Toc246996962"/>
      <w:bookmarkStart w:id="10" w:name="_Toc247085733"/>
      <w:bookmarkStart w:id="11" w:name="_Toc17963259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247085734"/>
      <w:bookmarkStart w:id="13" w:name="_Toc179632594"/>
      <w:bookmarkStart w:id="14" w:name="_Toc246996963"/>
      <w:bookmarkStart w:id="15" w:name="_Toc152042352"/>
      <w:bookmarkStart w:id="16" w:name="_Toc296602463"/>
      <w:bookmarkStart w:id="17" w:name="_Toc246996220"/>
      <w:bookmarkStart w:id="18" w:name="_Toc152045576"/>
      <w:bookmarkStart w:id="19" w:name="_Toc14497454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52045577"/>
      <w:bookmarkStart w:id="21" w:name="_Toc247085735"/>
      <w:bookmarkStart w:id="22" w:name="_Toc296602464"/>
      <w:bookmarkStart w:id="23" w:name="_Toc144974545"/>
      <w:bookmarkStart w:id="24" w:name="_Toc246996964"/>
      <w:bookmarkStart w:id="25" w:name="_Toc152042353"/>
      <w:bookmarkStart w:id="26" w:name="_Toc246996221"/>
      <w:bookmarkStart w:id="27" w:name="_Toc17963259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6996222"/>
      <w:bookmarkStart w:id="29" w:name="_Toc246996965"/>
      <w:bookmarkStart w:id="30" w:name="_Toc152045578"/>
      <w:bookmarkStart w:id="31" w:name="_Toc247085736"/>
      <w:bookmarkStart w:id="32" w:name="_Toc179632596"/>
      <w:bookmarkStart w:id="33" w:name="_Toc296602465"/>
      <w:bookmarkStart w:id="34" w:name="_Toc152042354"/>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2356"/>
      <w:bookmarkStart w:id="38" w:name="_Toc179632597"/>
      <w:bookmarkStart w:id="39" w:name="_Toc152045579"/>
      <w:bookmarkStart w:id="40" w:name="_Toc246996966"/>
      <w:bookmarkStart w:id="41" w:name="_Toc246996223"/>
      <w:bookmarkStart w:id="42" w:name="_Toc296602466"/>
      <w:bookmarkStart w:id="43" w:name="_Toc24708573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both"/>
        <w:rPr>
          <w:rFonts w:hint="eastAsia" w:ascii="宋体" w:hAnsi="宋体" w:cs="TimesNewRomanPSMT"/>
          <w:b/>
          <w:kern w:val="0"/>
          <w:szCs w:val="21"/>
        </w:rPr>
      </w:pPr>
    </w:p>
    <w:p>
      <w:pPr>
        <w:pStyle w:val="2"/>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钢筋、混凝土、砖、水泥等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bookmarkStart w:id="46" w:name="_GoBack"/>
      <w:bookmarkEnd w:id="46"/>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CB0518"/>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B7419"/>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735A2E"/>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252EE6"/>
    <w:rsid w:val="122C41A2"/>
    <w:rsid w:val="1260013F"/>
    <w:rsid w:val="12666D58"/>
    <w:rsid w:val="1270628F"/>
    <w:rsid w:val="12C90B50"/>
    <w:rsid w:val="12E87E9D"/>
    <w:rsid w:val="12F9465F"/>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646024"/>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8B16DB"/>
    <w:rsid w:val="20A50DFC"/>
    <w:rsid w:val="20BC78A2"/>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E7266C"/>
    <w:rsid w:val="30EA5331"/>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447564"/>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961D3"/>
    <w:rsid w:val="406A0379"/>
    <w:rsid w:val="40773CFF"/>
    <w:rsid w:val="40A66A4D"/>
    <w:rsid w:val="40D042F8"/>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A0BF0"/>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CA74E0"/>
    <w:rsid w:val="4A037E09"/>
    <w:rsid w:val="4A370ED7"/>
    <w:rsid w:val="4A422769"/>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F1D0C"/>
    <w:rsid w:val="4D755439"/>
    <w:rsid w:val="4DBC074D"/>
    <w:rsid w:val="4DC73A64"/>
    <w:rsid w:val="4DE60D42"/>
    <w:rsid w:val="4E175D28"/>
    <w:rsid w:val="4E2D698F"/>
    <w:rsid w:val="4E30647F"/>
    <w:rsid w:val="4E685C19"/>
    <w:rsid w:val="4E69264D"/>
    <w:rsid w:val="4EA653E3"/>
    <w:rsid w:val="4EB64BD7"/>
    <w:rsid w:val="4EC206EE"/>
    <w:rsid w:val="4ED652C6"/>
    <w:rsid w:val="4EFB7579"/>
    <w:rsid w:val="4F0931EA"/>
    <w:rsid w:val="4F676E75"/>
    <w:rsid w:val="4F9C4AA9"/>
    <w:rsid w:val="4FE76C18"/>
    <w:rsid w:val="4FF534DD"/>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7D10DE"/>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7E77EC0"/>
    <w:rsid w:val="58064939"/>
    <w:rsid w:val="58200AEE"/>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7102D3"/>
    <w:rsid w:val="6A8C64AB"/>
    <w:rsid w:val="6A901D00"/>
    <w:rsid w:val="6AA00E50"/>
    <w:rsid w:val="6AB9288E"/>
    <w:rsid w:val="6ABA4B0F"/>
    <w:rsid w:val="6B2B2B84"/>
    <w:rsid w:val="6B673745"/>
    <w:rsid w:val="6B6E1D88"/>
    <w:rsid w:val="6B963D85"/>
    <w:rsid w:val="6C050995"/>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DF7323"/>
    <w:rsid w:val="71EF104F"/>
    <w:rsid w:val="71F95237"/>
    <w:rsid w:val="722D514D"/>
    <w:rsid w:val="725337DC"/>
    <w:rsid w:val="7258197D"/>
    <w:rsid w:val="725D51C5"/>
    <w:rsid w:val="725E3D3D"/>
    <w:rsid w:val="725F4D5A"/>
    <w:rsid w:val="72C55CA1"/>
    <w:rsid w:val="72CF0E9B"/>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25787</Words>
  <Characters>26743</Characters>
  <Lines>82</Lines>
  <Paragraphs>23</Paragraphs>
  <TotalTime>242</TotalTime>
  <ScaleCrop>false</ScaleCrop>
  <LinksUpToDate>false</LinksUpToDate>
  <CharactersWithSpaces>27904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2022-07-07T02:10:00Z</cp:lastPrinted>
  <dcterms:modified xsi:type="dcterms:W3CDTF">2022-07-12T08:56:27Z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293D556150EE408CB6166E28E9EB5FB7</vt:lpwstr>
  </property>
</Properties>
</file>