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15:dataBinding w:prefixMappings="xmlns:ns0='http://purl.org/dc/elements/1.1/' xmlns:ns1='http://schemas.openxmlformats.org/package/2006/metadata/core-properties' " w:xpath="/ns1:coreProperties[1]/ns0:title[1]" w:storeItemID="{6C3C8BC8-F283-45AE-878A-BAB7291924A1}"/>
          <w:text/>
        </w:sdtPr>
        <w:sdtEndPr>
          <w:rPr>
            <w:rFonts w:hint="default"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2022年湖州市下塘小区、金泉花园及凤凰苑三个小区共18台加装电梯土建工程项目</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15: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2022-09-016</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10</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47"/>
        <w:rPr>
          <w:rFonts w:hint="eastAsia" w:ascii="仿宋_GB2312" w:eastAsia="仿宋_GB2312"/>
          <w:sz w:val="28"/>
          <w:szCs w:val="28"/>
        </w:rPr>
      </w:pPr>
    </w:p>
    <w:p>
      <w:pPr>
        <w:rPr>
          <w:rFonts w:ascii="仿宋_GB2312" w:hAnsi="宋体" w:eastAsia="仿宋_GB2312"/>
          <w:b/>
          <w:bCs/>
          <w:iCs/>
          <w:caps/>
          <w:sz w:val="20"/>
          <w:szCs w:val="20"/>
        </w:rPr>
      </w:pPr>
      <w:bookmarkStart w:id="0" w:name="_Toc152042287"/>
      <w:bookmarkStart w:id="1" w:name="_Toc179632527"/>
      <w:bookmarkStart w:id="2" w:name="_Toc152045511"/>
      <w:bookmarkStart w:id="3" w:name="_Toc144974479"/>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2"/>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_Toc25838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_Toc25838 \h </w:instrText>
          </w:r>
          <w:r>
            <w:fldChar w:fldCharType="separate"/>
          </w:r>
          <w:r>
            <w:t>3</w:t>
          </w:r>
          <w:r>
            <w:fldChar w:fldCharType="end"/>
          </w:r>
          <w:r>
            <w:rPr>
              <w:rFonts w:hint="eastAsia" w:ascii="仿宋" w:hAnsi="仿宋" w:eastAsia="仿宋" w:cs="仿宋"/>
              <w:szCs w:val="24"/>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_Toc8405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_Toc8405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_Toc8369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_Toc8369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_Toc9367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_Toc9367 \h </w:instrText>
          </w:r>
          <w:r>
            <w:fldChar w:fldCharType="separate"/>
          </w:r>
          <w:r>
            <w:t>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_Toc29668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_Toc29668 \h </w:instrText>
          </w:r>
          <w:r>
            <w:fldChar w:fldCharType="separate"/>
          </w:r>
          <w:r>
            <w:t>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_Toc1198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_Toc1198 \h </w:instrText>
          </w:r>
          <w:r>
            <w:fldChar w:fldCharType="separate"/>
          </w:r>
          <w:r>
            <w:t>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_Toc26418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_Toc26418 \h </w:instrText>
          </w:r>
          <w:r>
            <w:fldChar w:fldCharType="separate"/>
          </w:r>
          <w:r>
            <w:t>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_Toc3633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_Toc3633 \h </w:instrText>
          </w:r>
          <w:r>
            <w:fldChar w:fldCharType="separate"/>
          </w:r>
          <w:r>
            <w:t>4</w:t>
          </w:r>
          <w:r>
            <w:fldChar w:fldCharType="end"/>
          </w:r>
          <w:r>
            <w:rPr>
              <w:rFonts w:hint="eastAsia" w:ascii="仿宋" w:hAnsi="仿宋" w:eastAsia="仿宋" w:cs="仿宋"/>
            </w:rPr>
            <w:fldChar w:fldCharType="end"/>
          </w:r>
        </w:p>
        <w:p>
          <w:pPr>
            <w:pStyle w:val="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_Toc17921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_Toc17921 \h </w:instrText>
          </w:r>
          <w:r>
            <w:fldChar w:fldCharType="separate"/>
          </w:r>
          <w:r>
            <w:t>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_Toc3798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_Toc3798 \h </w:instrText>
          </w:r>
          <w:r>
            <w:fldChar w:fldCharType="separate"/>
          </w:r>
          <w:r>
            <w:t>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_Toc16245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_Toc16245 \h </w:instrText>
          </w:r>
          <w:r>
            <w:fldChar w:fldCharType="separate"/>
          </w:r>
          <w:r>
            <w:t>7</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_Toc14448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_Toc14448 \h </w:instrText>
          </w:r>
          <w:r>
            <w:fldChar w:fldCharType="separate"/>
          </w:r>
          <w:r>
            <w:t>10</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_Toc26728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_Toc26728 \h </w:instrText>
          </w:r>
          <w:r>
            <w:fldChar w:fldCharType="separate"/>
          </w:r>
          <w:r>
            <w:t>11</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_Toc5496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_Toc5496 \h </w:instrText>
          </w:r>
          <w:r>
            <w:fldChar w:fldCharType="separate"/>
          </w:r>
          <w:r>
            <w:t>12</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_Toc28239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_Toc28239 \h </w:instrText>
          </w:r>
          <w:r>
            <w:fldChar w:fldCharType="separate"/>
          </w:r>
          <w:r>
            <w:t>13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_Toc16106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_Toc16106 \h </w:instrText>
          </w:r>
          <w:r>
            <w:fldChar w:fldCharType="separate"/>
          </w:r>
          <w:r>
            <w:t>13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_Toc2598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_Toc2598 \h </w:instrText>
          </w:r>
          <w:r>
            <w:fldChar w:fldCharType="separate"/>
          </w:r>
          <w:r>
            <w:t>14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_Toc17914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_Toc17914 \h </w:instrText>
          </w:r>
          <w:r>
            <w:fldChar w:fldCharType="separate"/>
          </w:r>
          <w:r>
            <w:t>15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_Toc31703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_Toc31703 \h </w:instrText>
          </w:r>
          <w:r>
            <w:fldChar w:fldCharType="separate"/>
          </w:r>
          <w:r>
            <w:t>16</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_Toc6246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_Toc6246 \h </w:instrText>
          </w:r>
          <w:r>
            <w:fldChar w:fldCharType="separate"/>
          </w:r>
          <w:r>
            <w:t>16</w:t>
          </w:r>
          <w:r>
            <w:fldChar w:fldCharType="end"/>
          </w:r>
          <w:r>
            <w:rPr>
              <w:rFonts w:hint="eastAsia" w:ascii="仿宋" w:hAnsi="仿宋" w:eastAsia="仿宋" w:cs="仿宋"/>
            </w:rPr>
            <w:fldChar w:fldCharType="end"/>
          </w:r>
        </w:p>
        <w:p>
          <w:pPr>
            <w:pStyle w:val="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_Toc22967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_Toc22967 \h </w:instrText>
          </w:r>
          <w:r>
            <w:fldChar w:fldCharType="separate"/>
          </w:r>
          <w:r>
            <w:t>18</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_Toc7287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_Toc7287 \h </w:instrText>
          </w:r>
          <w:r>
            <w:fldChar w:fldCharType="separate"/>
          </w:r>
          <w:r>
            <w:t>18</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_Toc7439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_Toc7439 \h </w:instrText>
          </w:r>
          <w:r>
            <w:fldChar w:fldCharType="separate"/>
          </w:r>
          <w:r>
            <w:t>19</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_Toc27119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_Toc27119 \h </w:instrText>
          </w:r>
          <w:r>
            <w:fldChar w:fldCharType="separate"/>
          </w:r>
          <w:r>
            <w:t>20</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_Toc23499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_Toc23499 \h </w:instrText>
          </w:r>
          <w:r>
            <w:fldChar w:fldCharType="separate"/>
          </w:r>
          <w:r>
            <w:t>20</w:t>
          </w:r>
          <w:r>
            <w:fldChar w:fldCharType="end"/>
          </w:r>
          <w:r>
            <w:rPr>
              <w:rFonts w:hint="eastAsia" w:ascii="仿宋" w:hAnsi="仿宋" w:eastAsia="仿宋" w:cs="仿宋"/>
            </w:rPr>
            <w:fldChar w:fldCharType="end"/>
          </w:r>
        </w:p>
        <w:p>
          <w:pPr>
            <w:pStyle w:val="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_Toc28528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_Toc28528 \h </w:instrText>
          </w:r>
          <w:r>
            <w:fldChar w:fldCharType="separate"/>
          </w:r>
          <w:r>
            <w:t>25</w:t>
          </w:r>
          <w:r>
            <w:fldChar w:fldCharType="end"/>
          </w:r>
          <w:r>
            <w:rPr>
              <w:rFonts w:hint="eastAsia" w:ascii="仿宋" w:hAnsi="仿宋" w:eastAsia="仿宋" w:cs="仿宋"/>
            </w:rPr>
            <w:fldChar w:fldCharType="end"/>
          </w:r>
        </w:p>
        <w:p>
          <w:pPr>
            <w:pStyle w:val="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_Toc24774 </w:instrText>
          </w:r>
          <w:r>
            <w:rPr>
              <w:rFonts w:hint="eastAsia" w:ascii="仿宋" w:hAnsi="仿宋" w:eastAsia="仿宋" w:cs="仿宋"/>
            </w:rPr>
            <w:fldChar w:fldCharType="separate"/>
          </w:r>
          <w:r>
            <w:rPr>
              <w:rFonts w:hint="eastAsia" w:ascii="仿宋_GB2312" w:eastAsia="仿宋_GB2312"/>
            </w:rPr>
            <w:t>第</w:t>
          </w:r>
          <w:r>
            <w:rPr>
              <w:rFonts w:hint="eastAsia" w:ascii="仿宋_GB2312" w:eastAsia="仿宋_GB2312"/>
              <w:lang w:val="en-US" w:eastAsia="zh-CN"/>
            </w:rPr>
            <w:t>六</w:t>
          </w:r>
          <w:r>
            <w:rPr>
              <w:rFonts w:hint="eastAsia" w:ascii="仿宋_GB2312" w:eastAsia="仿宋_GB2312"/>
            </w:rPr>
            <w:t>章  投标文件格式</w:t>
          </w:r>
          <w:r>
            <w:tab/>
          </w:r>
          <w:r>
            <w:fldChar w:fldCharType="begin"/>
          </w:r>
          <w:r>
            <w:instrText xml:space="preserve"> PAGEREF _Toc24774 \h </w:instrText>
          </w:r>
          <w:r>
            <w:fldChar w:fldCharType="separate"/>
          </w:r>
          <w:r>
            <w:t>39</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_Toc4135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_Toc4135 \h </w:instrText>
          </w:r>
          <w:r>
            <w:fldChar w:fldCharType="separate"/>
          </w:r>
          <w:r>
            <w:t>41</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_Toc8010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_Toc8010 \h </w:instrText>
          </w:r>
          <w:r>
            <w:fldChar w:fldCharType="separate"/>
          </w:r>
          <w:r>
            <w:t>42</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_Toc25534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_Toc25534 \h </w:instrText>
          </w:r>
          <w:r>
            <w:fldChar w:fldCharType="separate"/>
          </w:r>
          <w:r>
            <w:t>43</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_Toc9148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_Toc9148 \h </w:instrText>
          </w:r>
          <w:r>
            <w:fldChar w:fldCharType="separate"/>
          </w:r>
          <w:r>
            <w:t>44</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_Toc21214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_Toc21214 \h </w:instrText>
          </w:r>
          <w:r>
            <w:fldChar w:fldCharType="separate"/>
          </w:r>
          <w:r>
            <w:t>45</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_Toc29333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_Toc29333 \h </w:instrText>
          </w:r>
          <w:r>
            <w:fldChar w:fldCharType="separate"/>
          </w:r>
          <w:r>
            <w:t>46</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_Toc23755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_Toc23755 \h </w:instrText>
          </w:r>
          <w:r>
            <w:fldChar w:fldCharType="separate"/>
          </w:r>
          <w:r>
            <w:t>47</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_Toc4104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_Toc4104 \h </w:instrText>
          </w:r>
          <w:r>
            <w:fldChar w:fldCharType="separate"/>
          </w:r>
          <w:r>
            <w:t>48</w:t>
          </w:r>
          <w:r>
            <w:fldChar w:fldCharType="end"/>
          </w:r>
          <w:r>
            <w:rPr>
              <w:rFonts w:hint="eastAsia" w:ascii="仿宋" w:hAnsi="仿宋" w:eastAsia="仿宋" w:cs="仿宋"/>
            </w:rPr>
            <w:fldChar w:fldCharType="end"/>
          </w:r>
        </w:p>
        <w:p>
          <w:pPr>
            <w:pStyle w:val="41"/>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_Toc30435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_Toc30435 \h </w:instrText>
          </w:r>
          <w:r>
            <w:fldChar w:fldCharType="separate"/>
          </w:r>
          <w:r>
            <w:t>49</w:t>
          </w:r>
          <w:r>
            <w:fldChar w:fldCharType="end"/>
          </w:r>
          <w:r>
            <w:rPr>
              <w:rFonts w:hint="eastAsia" w:ascii="仿宋" w:hAnsi="仿宋" w:eastAsia="仿宋" w:cs="仿宋"/>
            </w:rPr>
            <w:fldChar w:fldCharType="end"/>
          </w:r>
        </w:p>
        <w:p>
          <w:pPr>
            <w:pStyle w:val="21"/>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3"/>
        <w:jc w:val="center"/>
        <w:rPr>
          <w:rFonts w:ascii="仿宋_GB2312" w:eastAsia="仿宋_GB2312"/>
        </w:rPr>
      </w:pPr>
      <w:bookmarkStart w:id="4" w:name="_Toc25838"/>
      <w:bookmarkStart w:id="5" w:name="_Toc33257216"/>
      <w:bookmarkStart w:id="6" w:name="_Toc247085671"/>
      <w:bookmarkStart w:id="7" w:name="_Toc25400"/>
      <w:bookmarkStart w:id="8" w:name="_Toc246996900"/>
      <w:bookmarkStart w:id="9" w:name="_Toc247096243"/>
      <w:bookmarkStart w:id="10" w:name="_Toc12516"/>
      <w:bookmarkStart w:id="11" w:name="_Toc246996157"/>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7085674"/>
      <w:bookmarkStart w:id="13" w:name="_Toc144974482"/>
      <w:bookmarkStart w:id="14" w:name="_Toc179632530"/>
      <w:bookmarkStart w:id="15" w:name="_Toc152045514"/>
      <w:bookmarkStart w:id="16" w:name="_Toc449509649"/>
      <w:bookmarkStart w:id="17" w:name="_Toc246996903"/>
      <w:bookmarkStart w:id="18" w:name="_Toc152042290"/>
      <w:bookmarkStart w:id="19" w:name="_Toc24699616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2022年湖州市下塘小区、金泉花园及凤凰苑三个小区共18台加装电梯土建工程项目</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4"/>
        <w:spacing w:before="0" w:after="0" w:line="480" w:lineRule="exact"/>
        <w:rPr>
          <w:rFonts w:hint="eastAsia" w:ascii="仿宋" w:hAnsi="仿宋" w:eastAsia="仿宋" w:cs="仿宋"/>
          <w:sz w:val="28"/>
          <w:szCs w:val="28"/>
        </w:rPr>
      </w:pPr>
      <w:bookmarkStart w:id="21" w:name="_Toc8405"/>
      <w:bookmarkStart w:id="22" w:name="_Toc30476"/>
      <w:bookmarkStart w:id="23" w:name="_Toc12614"/>
      <w:bookmarkStart w:id="24" w:name="_Toc33257217"/>
      <w:r>
        <w:rPr>
          <w:rFonts w:hint="eastAsia" w:ascii="仿宋" w:hAnsi="仿宋" w:eastAsia="仿宋" w:cs="仿宋"/>
          <w:sz w:val="28"/>
          <w:szCs w:val="28"/>
        </w:rPr>
        <w:t>1. 招标条件</w:t>
      </w:r>
      <w:bookmarkEnd w:id="21"/>
      <w:bookmarkEnd w:id="22"/>
      <w:bookmarkEnd w:id="23"/>
      <w:bookmarkEnd w:id="24"/>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48"/>
            <w:szCs w:val="48"/>
            <w:highlight w:val="yellow"/>
            <w:u w:val="single"/>
            <w:lang w:val="en-US" w:eastAsia="zh-CN" w:bidi="ar-SA"/>
          </w:rPr>
          <w:id w:val="147454018"/>
          <w:placeholder>
            <w:docPart w:val="{1c93ac62-806c-4bc2-bdb8-7d388465e5e6}"/>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2022年湖州市下塘小区、金泉花园及凤凰苑三个小区共18台加装电梯土建工程项目</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99</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15:dataBinding w:prefixMappings="xmlns:ns0='http://schemas.openxmlformats.org/officeDocument/2006/extended-properties' " w:xpath="/ns0:Properties[1]/ns0:Company[1]" w:storeItemID="{6668398D-A668-4E3E-A5EB-62B293D839F1}"/>
          <w:text/>
        </w:sdtPr>
        <w:sdtEndPr>
          <w:rPr>
            <w:rFonts w:hint="default"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2022-09-016</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4"/>
        <w:adjustRightInd w:val="0"/>
        <w:snapToGrid w:val="0"/>
        <w:spacing w:before="0" w:after="0" w:line="480" w:lineRule="exact"/>
        <w:rPr>
          <w:rFonts w:hint="eastAsia" w:ascii="仿宋" w:hAnsi="仿宋" w:eastAsia="仿宋" w:cs="仿宋"/>
          <w:sz w:val="28"/>
          <w:szCs w:val="28"/>
        </w:rPr>
      </w:pPr>
      <w:bookmarkStart w:id="25" w:name="_Toc33257218"/>
      <w:bookmarkStart w:id="26" w:name="_Toc11431"/>
      <w:bookmarkStart w:id="27" w:name="_Toc17853"/>
      <w:bookmarkStart w:id="28" w:name="_Toc8369"/>
      <w:r>
        <w:rPr>
          <w:rFonts w:hint="eastAsia" w:ascii="仿宋" w:hAnsi="仿宋" w:eastAsia="仿宋" w:cs="仿宋"/>
          <w:sz w:val="28"/>
          <w:szCs w:val="28"/>
        </w:rPr>
        <w:t>2. 项目概况与招标范围</w:t>
      </w:r>
      <w:bookmarkEnd w:id="25"/>
      <w:bookmarkEnd w:id="26"/>
      <w:bookmarkEnd w:id="27"/>
      <w:bookmarkEnd w:id="28"/>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sz w:val="28"/>
            <w:szCs w:val="28"/>
            <w:highlight w:val="yellow"/>
            <w:u w:val="single"/>
            <w:lang w:val="en-US" w:eastAsia="zh-CN"/>
          </w:rPr>
          <w:id w:val="147452457"/>
          <w:placeholder>
            <w:docPart w:val="{66663cfd-4781-49a5-9b6d-f34193a76e23}"/>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 xml:space="preserve">  湖州市下塘小区、金泉花园及凤凰苑</w:t>
          </w:r>
        </w:sdtContent>
      </w:sdt>
      <w:r>
        <w:rPr>
          <w:rFonts w:hint="eastAsia" w:ascii="仿宋" w:hAnsi="仿宋" w:eastAsia="仿宋" w:cs="仿宋"/>
          <w:sz w:val="28"/>
          <w:szCs w:val="28"/>
          <w:highlight w:val="yellow"/>
          <w:u w:val="single"/>
        </w:rPr>
        <w:t xml:space="preserve">         </w:t>
      </w:r>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施工内容主要包括电梯基坑内的开挖、回填、人工挖探沟，预制桩、基础、垫层、预埋件等施工，场地内余土、渣土处理及外运、场地周围设施的原状修复，以及与本项目有关的其他施工内容，包括但不限于安全文明施工、为施工需要进行的成品保护及修复等，直至本工程竣工验收为止，具体的施工范围和工作内容以施工图、现场情况、招标人要求为准，直至满足功能性要求及设计单位、业主单位要求并达到竣工验收合格为止。其中基坑原则上须采用预制基础（如现场客观情况无法采用预制基础时，待业主单位确认后可以采用现浇基础，中标价不变，未经业主确认不可擅自更改做法）。</w:t>
          </w:r>
        </w:sdtContent>
      </w:sdt>
      <w:r>
        <w:rPr>
          <w:rFonts w:hint="eastAsia" w:ascii="仿宋" w:hAnsi="仿宋" w:eastAsia="仿宋" w:cs="仿宋"/>
          <w:sz w:val="28"/>
          <w:szCs w:val="28"/>
          <w:highlight w:val="yellow"/>
          <w:u w:val="single"/>
        </w:rPr>
        <w:t xml:space="preserve"> </w:t>
      </w:r>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lang w:val="en-US" w:eastAsia="zh-CN" w:bidi="ar-SA"/>
          </w:rPr>
          <w:id w:val="147452006"/>
          <w:placeholder>
            <w:docPart w:val="{4dd5212b-790a-4065-870f-98c760eb309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30</w:t>
          </w:r>
        </w:sdtContent>
      </w:sdt>
      <w:r>
        <w:rPr>
          <w:rFonts w:hint="eastAsia" w:ascii="仿宋" w:hAnsi="仿宋" w:eastAsia="仿宋" w:cs="仿宋"/>
          <w:sz w:val="28"/>
          <w:szCs w:val="28"/>
          <w:highlight w:val="yellow"/>
          <w:u w:val="single"/>
        </w:rPr>
        <w:t xml:space="preserve">日历天（项目整体综合验收） </w:t>
      </w:r>
    </w:p>
    <w:p>
      <w:pPr>
        <w:pStyle w:val="4"/>
        <w:adjustRightInd w:val="0"/>
        <w:snapToGrid w:val="0"/>
        <w:spacing w:before="0" w:after="0" w:line="480" w:lineRule="exact"/>
        <w:rPr>
          <w:rFonts w:hint="eastAsia" w:ascii="仿宋" w:hAnsi="仿宋" w:eastAsia="仿宋" w:cs="仿宋"/>
          <w:sz w:val="28"/>
          <w:szCs w:val="28"/>
        </w:rPr>
      </w:pPr>
      <w:bookmarkStart w:id="29" w:name="_Toc20292"/>
      <w:bookmarkStart w:id="30" w:name="_Toc9367"/>
      <w:bookmarkStart w:id="31" w:name="_Toc33257219"/>
      <w:bookmarkStart w:id="32" w:name="_Toc6196"/>
      <w:r>
        <w:rPr>
          <w:rFonts w:hint="eastAsia" w:ascii="仿宋" w:hAnsi="仿宋" w:eastAsia="仿宋" w:cs="仿宋"/>
          <w:sz w:val="28"/>
          <w:szCs w:val="28"/>
        </w:rPr>
        <w:t>3. 投标人资格要求</w:t>
      </w:r>
      <w:bookmarkEnd w:id="29"/>
      <w:bookmarkEnd w:id="30"/>
      <w:bookmarkEnd w:id="31"/>
      <w:bookmarkEnd w:id="32"/>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w:t>
      </w:r>
    </w:p>
    <w:p>
      <w:pPr>
        <w:pStyle w:val="4"/>
        <w:adjustRightInd w:val="0"/>
        <w:snapToGrid w:val="0"/>
        <w:spacing w:before="0" w:after="0" w:line="480" w:lineRule="exact"/>
        <w:rPr>
          <w:rFonts w:hint="eastAsia" w:ascii="仿宋" w:hAnsi="仿宋" w:eastAsia="仿宋" w:cs="仿宋"/>
          <w:sz w:val="28"/>
          <w:szCs w:val="28"/>
        </w:rPr>
      </w:pPr>
      <w:bookmarkStart w:id="33" w:name="_Toc16173"/>
      <w:bookmarkStart w:id="34" w:name="_Toc29668"/>
      <w:bookmarkStart w:id="35" w:name="_Toc6419"/>
      <w:bookmarkStart w:id="36" w:name="_Toc33257220"/>
      <w:r>
        <w:rPr>
          <w:rFonts w:hint="eastAsia" w:ascii="仿宋" w:hAnsi="仿宋" w:eastAsia="仿宋" w:cs="仿宋"/>
          <w:sz w:val="28"/>
          <w:szCs w:val="28"/>
        </w:rPr>
        <w:t>4. 招标文件的获取</w:t>
      </w:r>
      <w:bookmarkEnd w:id="33"/>
      <w:bookmarkEnd w:id="34"/>
      <w:bookmarkEnd w:id="35"/>
      <w:bookmarkEnd w:id="36"/>
    </w:p>
    <w:p>
      <w:pPr>
        <w:pStyle w:val="44"/>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26</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28</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4"/>
        <w:adjustRightInd w:val="0"/>
        <w:snapToGrid w:val="0"/>
        <w:spacing w:before="0" w:after="0" w:line="480" w:lineRule="exact"/>
        <w:rPr>
          <w:rFonts w:hint="eastAsia" w:ascii="仿宋" w:hAnsi="仿宋" w:eastAsia="仿宋" w:cs="仿宋"/>
          <w:sz w:val="28"/>
          <w:szCs w:val="28"/>
        </w:rPr>
      </w:pPr>
      <w:bookmarkStart w:id="38" w:name="_Toc1198"/>
      <w:bookmarkStart w:id="39" w:name="_Toc29413"/>
      <w:bookmarkStart w:id="40" w:name="_Toc17747"/>
      <w:r>
        <w:rPr>
          <w:rFonts w:hint="eastAsia" w:ascii="仿宋" w:hAnsi="仿宋" w:eastAsia="仿宋" w:cs="仿宋"/>
          <w:sz w:val="28"/>
          <w:szCs w:val="28"/>
        </w:rPr>
        <w:t>5. 投标文件的递交</w:t>
      </w:r>
      <w:bookmarkEnd w:id="37"/>
      <w:bookmarkEnd w:id="38"/>
      <w:bookmarkEnd w:id="39"/>
      <w:bookmarkEnd w:id="40"/>
    </w:p>
    <w:p>
      <w:pPr>
        <w:pStyle w:val="44"/>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2022年10月28日14时30分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w:t>
      </w:r>
      <w:r>
        <w:rPr>
          <w:rFonts w:hint="eastAsia" w:ascii="仿宋" w:hAnsi="仿宋" w:eastAsia="仿宋" w:cs="仿宋"/>
          <w:strike w:val="0"/>
          <w:dstrike w:val="0"/>
          <w:sz w:val="28"/>
          <w:szCs w:val="28"/>
          <w:highlight w:val="cyan"/>
          <w:u w:val="single"/>
          <w:shd w:val="clear" w:fill="00B0F0"/>
          <w:lang w:val="en-US" w:eastAsia="zh-CN"/>
        </w:rPr>
        <w:t>已递交过该版本入库承诺书的可不携带至现场</w:t>
      </w:r>
      <w:r>
        <w:rPr>
          <w:rFonts w:hint="eastAsia" w:ascii="仿宋" w:hAnsi="仿宋" w:eastAsia="仿宋" w:cs="仿宋"/>
          <w:sz w:val="28"/>
          <w:szCs w:val="28"/>
          <w:highlight w:val="cyan"/>
          <w:shd w:val="clear" w:fill="00B0F0"/>
          <w:lang w:val="en-US" w:eastAsia="zh-CN"/>
        </w:rPr>
        <w:t>）</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4"/>
        <w:adjustRightInd w:val="0"/>
        <w:snapToGrid w:val="0"/>
        <w:spacing w:before="0" w:after="0" w:line="480" w:lineRule="exact"/>
        <w:rPr>
          <w:rFonts w:hint="eastAsia" w:ascii="仿宋" w:hAnsi="仿宋" w:eastAsia="仿宋" w:cs="仿宋"/>
          <w:sz w:val="28"/>
          <w:szCs w:val="28"/>
        </w:rPr>
      </w:pPr>
      <w:bookmarkStart w:id="41" w:name="_Toc6942"/>
      <w:bookmarkStart w:id="42" w:name="_Toc26418"/>
      <w:bookmarkStart w:id="43" w:name="_Toc32544"/>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4"/>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4"/>
        <w:adjustRightInd w:val="0"/>
        <w:snapToGrid w:val="0"/>
        <w:spacing w:before="0" w:after="0" w:line="480" w:lineRule="exact"/>
        <w:rPr>
          <w:rFonts w:hint="eastAsia" w:ascii="仿宋" w:hAnsi="仿宋" w:eastAsia="仿宋" w:cs="仿宋"/>
          <w:sz w:val="28"/>
          <w:szCs w:val="28"/>
        </w:rPr>
      </w:pPr>
      <w:bookmarkStart w:id="45" w:name="_Toc3633"/>
      <w:bookmarkStart w:id="46" w:name="_Toc33257223"/>
      <w:bookmarkStart w:id="47" w:name="_Toc12054"/>
      <w:bookmarkStart w:id="48" w:name="_Toc29871"/>
      <w:r>
        <w:rPr>
          <w:rFonts w:hint="eastAsia" w:ascii="仿宋" w:hAnsi="仿宋" w:eastAsia="仿宋" w:cs="仿宋"/>
          <w:sz w:val="28"/>
          <w:szCs w:val="28"/>
        </w:rPr>
        <w:t>7. 联系方式</w:t>
      </w:r>
      <w:bookmarkEnd w:id="45"/>
      <w:bookmarkEnd w:id="46"/>
      <w:bookmarkEnd w:id="47"/>
      <w:bookmarkEnd w:id="48"/>
    </w:p>
    <w:p>
      <w:pPr>
        <w:pStyle w:val="44"/>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4"/>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lang w:val="en-US" w:eastAsia="zh-CN"/>
        </w:rPr>
        <w:t>一</w:t>
      </w:r>
      <w:r>
        <w:rPr>
          <w:rFonts w:hint="eastAsia" w:ascii="仿宋" w:hAnsi="仿宋" w:eastAsia="仿宋" w:cs="仿宋"/>
          <w:sz w:val="28"/>
          <w:szCs w:val="28"/>
          <w:highlight w:val="yellow"/>
          <w:u w:val="single"/>
        </w:rPr>
        <w:t>楼开标室</w:t>
      </w:r>
      <w:r>
        <w:rPr>
          <w:rFonts w:hint="eastAsia" w:ascii="仿宋" w:hAnsi="仿宋" w:eastAsia="仿宋" w:cs="仿宋"/>
          <w:sz w:val="28"/>
          <w:szCs w:val="28"/>
        </w:rPr>
        <w:t>  </w:t>
      </w:r>
    </w:p>
    <w:bookmarkEnd w:id="20"/>
    <w:p>
      <w:pPr>
        <w:pStyle w:val="44"/>
        <w:adjustRightInd w:val="0"/>
        <w:snapToGrid w:val="0"/>
        <w:spacing w:before="0" w:beforeAutospacing="0" w:after="0" w:afterAutospacing="0" w:line="480" w:lineRule="exact"/>
        <w:rPr>
          <w:rFonts w:hint="eastAsia" w:ascii="仿宋" w:hAnsi="仿宋" w:eastAsia="仿宋" w:cs="仿宋"/>
          <w:sz w:val="28"/>
          <w:szCs w:val="28"/>
        </w:rPr>
      </w:pPr>
      <w:bookmarkStart w:id="49" w:name="_Toc152042303"/>
      <w:bookmarkStart w:id="50" w:name="_Toc246996916"/>
      <w:bookmarkStart w:id="51" w:name="_Toc144974495"/>
      <w:bookmarkStart w:id="52" w:name="_Toc246996173"/>
      <w:bookmarkStart w:id="53" w:name="_Toc247085687"/>
      <w:bookmarkStart w:id="54" w:name="_Toc152045527"/>
      <w:bookmarkStart w:id="55" w:name="_Toc179632544"/>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4"/>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4"/>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1"/>
        <w:ind w:firstLine="280"/>
        <w:rPr>
          <w:rFonts w:ascii="仿宋_GB2312" w:eastAsia="仿宋_GB2312"/>
        </w:rPr>
      </w:pPr>
    </w:p>
    <w:p/>
    <w:p>
      <w:pPr>
        <w:pStyle w:val="47"/>
      </w:pPr>
    </w:p>
    <w:p>
      <w:pPr>
        <w:pStyle w:val="47"/>
      </w:pPr>
    </w:p>
    <w:p>
      <w:pPr>
        <w:pStyle w:val="47"/>
      </w:pPr>
    </w:p>
    <w:p>
      <w:pPr>
        <w:pStyle w:val="47"/>
      </w:pPr>
    </w:p>
    <w:p>
      <w:pPr>
        <w:pStyle w:val="47"/>
        <w:ind w:left="0" w:leftChars="0" w:firstLine="0" w:firstLineChars="0"/>
      </w:pPr>
    </w:p>
    <w:p>
      <w:pPr>
        <w:keepNext w:val="0"/>
        <w:jc w:val="both"/>
        <w:rPr>
          <w:rFonts w:hint="eastAsia" w:ascii="仿宋_GB2312" w:eastAsia="仿宋_GB2312"/>
        </w:rPr>
      </w:pPr>
      <w:bookmarkStart w:id="57" w:name="_Toc1083"/>
      <w:bookmarkStart w:id="58" w:name="_Toc21522"/>
      <w:r>
        <w:rPr>
          <w:rFonts w:hint="eastAsia" w:ascii="仿宋_GB2312" w:eastAsia="仿宋_GB2312"/>
        </w:rPr>
        <w:br w:type="page"/>
      </w:r>
    </w:p>
    <w:p>
      <w:pPr>
        <w:pStyle w:val="3"/>
        <w:keepNext w:val="0"/>
        <w:jc w:val="center"/>
        <w:rPr>
          <w:rFonts w:ascii="仿宋_GB2312" w:eastAsia="仿宋_GB2312"/>
        </w:rPr>
      </w:pPr>
      <w:bookmarkStart w:id="59" w:name="_Toc17921"/>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4"/>
        <w:jc w:val="center"/>
        <w:rPr>
          <w:rFonts w:ascii="仿宋_GB2312" w:eastAsia="仿宋_GB2312"/>
        </w:rPr>
      </w:pPr>
      <w:bookmarkStart w:id="60" w:name="_Toc246996174"/>
      <w:bookmarkStart w:id="61" w:name="_Toc152042304"/>
      <w:bookmarkStart w:id="62" w:name="_Toc247085688"/>
      <w:bookmarkStart w:id="63" w:name="_Toc15081"/>
      <w:bookmarkStart w:id="64" w:name="_Toc3798"/>
      <w:bookmarkStart w:id="65" w:name="_Toc152045528"/>
      <w:bookmarkStart w:id="66" w:name="_Toc27860"/>
      <w:bookmarkStart w:id="67" w:name="_Toc246996917"/>
      <w:bookmarkStart w:id="68" w:name="_Toc144974496"/>
      <w:bookmarkStart w:id="69" w:name="_Toc33257226"/>
      <w:bookmarkStart w:id="70" w:name="_Toc179632545"/>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2022年湖州市下塘小区、金泉花园及凤凰苑三个小区共18台加装电梯土建工程项目</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w:t>
                </w:r>
              </w:sdtContent>
            </w:sdt>
            <w:r>
              <w:rPr>
                <w:rFonts w:hint="eastAsia" w:ascii="仿宋_GB2312" w:eastAsia="仿宋_GB2312"/>
                <w:szCs w:val="21"/>
                <w:highlight w:val="yellow"/>
                <w:u w:val="single"/>
              </w:rPr>
              <w:t>日历天</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29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8"/>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28</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2022年10月28日14时30分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28</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宋体" w:hAnsi="宋体" w:cs="仿宋_GB2312"/>
                <w:color w:val="auto"/>
                <w:kern w:val="0"/>
                <w:sz w:val="21"/>
                <w:szCs w:val="21"/>
              </w:rPr>
              <w:t>此分包</w:t>
            </w:r>
            <w:r>
              <w:rPr>
                <w:rFonts w:hint="eastAsia" w:ascii="宋体" w:hAnsi="宋体" w:cs="仿宋_GB2312"/>
                <w:color w:val="auto"/>
                <w:kern w:val="0"/>
                <w:sz w:val="21"/>
                <w:szCs w:val="21"/>
                <w:lang w:val="en-US" w:eastAsia="zh-CN"/>
              </w:rPr>
              <w:t>工程招标限价</w:t>
            </w:r>
            <w:r>
              <w:rPr>
                <w:rFonts w:hint="eastAsia" w:ascii="宋体" w:hAnsi="宋体" w:cs="仿宋_GB2312"/>
                <w:color w:val="auto"/>
                <w:kern w:val="0"/>
                <w:sz w:val="21"/>
                <w:szCs w:val="21"/>
              </w:rPr>
              <w:t>：</w:t>
            </w:r>
            <w:r>
              <w:rPr>
                <w:rFonts w:hint="eastAsia" w:ascii="宋体" w:hAnsi="宋体" w:cs="仿宋_GB2312"/>
                <w:color w:val="auto"/>
                <w:kern w:val="0"/>
                <w:sz w:val="21"/>
                <w:szCs w:val="21"/>
                <w:u w:val="single"/>
                <w:lang w:val="en-US" w:eastAsia="zh-CN"/>
              </w:rPr>
              <w:t>99万元</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共计18台，</w:t>
            </w:r>
            <w:r>
              <w:rPr>
                <w:rFonts w:hint="eastAsia" w:ascii="宋体" w:hAnsi="宋体" w:cs="仿宋_GB2312"/>
                <w:color w:val="auto"/>
                <w:kern w:val="0"/>
                <w:sz w:val="21"/>
                <w:szCs w:val="21"/>
              </w:rPr>
              <w:t>投标单位投标报价不得</w:t>
            </w:r>
            <w:r>
              <w:rPr>
                <w:rFonts w:hint="eastAsia" w:ascii="宋体" w:hAnsi="宋体" w:cs="仿宋_GB2312"/>
                <w:color w:val="auto"/>
                <w:kern w:val="0"/>
                <w:sz w:val="21"/>
                <w:szCs w:val="21"/>
                <w:lang w:val="en-US" w:eastAsia="zh-CN"/>
              </w:rPr>
              <w:t>高于限价，</w:t>
            </w:r>
            <w:r>
              <w:rPr>
                <w:rFonts w:hint="eastAsia" w:ascii="宋体" w:hAnsi="宋体" w:cs="仿宋_GB2312"/>
                <w:color w:val="auto"/>
                <w:kern w:val="0"/>
                <w:sz w:val="21"/>
                <w:szCs w:val="21"/>
              </w:rPr>
              <w:t>否则作为废标处理</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工程暂估价99万元，其中劳务暂估价29.7万元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2022年10月28日14时30分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eastAsia="仿宋_GB2312" w:cs="MS Mincho"/>
                <w:sz w:val="32"/>
                <w:szCs w:val="32"/>
                <w:highlight w:val="yellow"/>
              </w:rPr>
              <w:sym w:font="Wingdings" w:char="00FE"/>
            </w:r>
            <w:r>
              <w:rPr>
                <w:rFonts w:hint="eastAsia" w:ascii="仿宋_GB2312" w:eastAsia="仿宋_GB2312"/>
                <w:szCs w:val="21"/>
                <w:highlight w:val="yellow"/>
              </w:rPr>
              <w:t>现金：已缴纳入库保证金的单位可以不再缴纳履约保证金，未缴纳入库保证金的</w:t>
            </w:r>
            <w:r>
              <w:rPr>
                <w:rFonts w:hint="eastAsia" w:ascii="仿宋_GB2312" w:eastAsia="仿宋_GB2312"/>
                <w:szCs w:val="21"/>
                <w:highlight w:val="yellow"/>
                <w:lang w:val="en-US" w:eastAsia="zh-CN"/>
              </w:rPr>
              <w:t>在规定的投标截止日前</w:t>
            </w:r>
            <w:r>
              <w:rPr>
                <w:rFonts w:hint="eastAsia" w:ascii="仿宋_GB2312" w:eastAsia="仿宋_GB2312"/>
                <w:szCs w:val="21"/>
                <w:highlight w:val="yellow"/>
              </w:rPr>
              <w:t>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eastAsia="仿宋_GB2312" w:cs="MS Mincho"/>
                <w:sz w:val="32"/>
                <w:szCs w:val="32"/>
                <w:highlight w:val="yellow"/>
              </w:rPr>
              <w:sym w:font="Wingdings" w:char="00A8"/>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eastAsia="仿宋_GB2312" w:cs="MS Mincho"/>
                <w:sz w:val="32"/>
                <w:szCs w:val="32"/>
                <w:highlight w:val="yellow"/>
              </w:rPr>
              <w:sym w:font="Wingdings" w:char="00A8"/>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79632546"/>
            <w:bookmarkStart w:id="112" w:name="_Toc144974497"/>
            <w:bookmarkStart w:id="113" w:name="_Toc246996918"/>
            <w:bookmarkStart w:id="114" w:name="_Toc33257227"/>
            <w:bookmarkStart w:id="115" w:name="_Toc247085689"/>
            <w:bookmarkStart w:id="116" w:name="_Toc246996175"/>
            <w:bookmarkStart w:id="117" w:name="_Toc152042305"/>
            <w:bookmarkStart w:id="118" w:name="_Toc152045529"/>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4"/>
        <w:rPr>
          <w:rFonts w:ascii="仿宋_GB2312" w:eastAsia="仿宋_GB2312"/>
        </w:rPr>
      </w:pPr>
      <w:bookmarkStart w:id="119" w:name="_Toc16245"/>
      <w:bookmarkStart w:id="120" w:name="_Toc26574"/>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52042306"/>
      <w:bookmarkStart w:id="123" w:name="_Toc152045530"/>
      <w:bookmarkStart w:id="124" w:name="_Toc247085690"/>
      <w:bookmarkStart w:id="125" w:name="_Toc246996919"/>
      <w:bookmarkStart w:id="126" w:name="_Toc144974498"/>
      <w:bookmarkStart w:id="127" w:name="_Toc246996176"/>
      <w:bookmarkStart w:id="128" w:name="_Toc179632547"/>
      <w:bookmarkStart w:id="129" w:name="_Toc449509657"/>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246996920"/>
      <w:bookmarkStart w:id="135" w:name="_Toc179632548"/>
      <w:bookmarkStart w:id="136" w:name="_Toc449509658"/>
      <w:bookmarkStart w:id="137" w:name="_Toc144974499"/>
      <w:bookmarkStart w:id="138" w:name="_Toc247085691"/>
      <w:bookmarkStart w:id="139" w:name="_Toc246996177"/>
      <w:bookmarkStart w:id="140" w:name="_Toc152045531"/>
      <w:bookmarkStart w:id="141" w:name="_Toc152042307"/>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6996178"/>
      <w:bookmarkStart w:id="143" w:name="_Toc179632549"/>
      <w:bookmarkStart w:id="144" w:name="_Toc246996921"/>
      <w:bookmarkStart w:id="145" w:name="_Toc152042308"/>
      <w:bookmarkStart w:id="146" w:name="_Toc449509659"/>
      <w:bookmarkStart w:id="147" w:name="_Toc247085692"/>
      <w:bookmarkStart w:id="148" w:name="_Toc152045532"/>
      <w:bookmarkStart w:id="149" w:name="_Toc144974500"/>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79632551"/>
      <w:bookmarkStart w:id="156" w:name="_Toc152042310"/>
      <w:bookmarkStart w:id="157" w:name="_Toc449509660"/>
      <w:bookmarkStart w:id="158" w:name="_Toc247085693"/>
      <w:bookmarkStart w:id="159" w:name="_Toc152045534"/>
      <w:bookmarkStart w:id="160" w:name="_Toc246996179"/>
      <w:bookmarkStart w:id="161" w:name="_Toc144974502"/>
      <w:bookmarkStart w:id="162" w:name="_Toc246996922"/>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2"/>
      <w:bookmarkStart w:id="165" w:name="_Hlt453581641"/>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79632552"/>
      <w:bookmarkStart w:id="167" w:name="_Toc246996923"/>
      <w:bookmarkStart w:id="168" w:name="_Toc247085694"/>
      <w:bookmarkStart w:id="169" w:name="_Toc152042311"/>
      <w:bookmarkStart w:id="170" w:name="_Toc152045535"/>
      <w:bookmarkStart w:id="171" w:name="_Toc246996180"/>
      <w:bookmarkStart w:id="172" w:name="_Toc144974503"/>
      <w:bookmarkStart w:id="173" w:name="_Toc449509661"/>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6996181"/>
      <w:bookmarkStart w:id="175" w:name="_Toc144974504"/>
      <w:bookmarkStart w:id="176" w:name="_Toc247085695"/>
      <w:bookmarkStart w:id="177" w:name="_Toc152045536"/>
      <w:bookmarkStart w:id="178" w:name="_Toc152042312"/>
      <w:bookmarkStart w:id="179" w:name="_Toc246996924"/>
      <w:bookmarkStart w:id="180" w:name="_Toc179632553"/>
      <w:bookmarkStart w:id="181" w:name="_Toc44950966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449509663"/>
      <w:bookmarkStart w:id="184" w:name="_Toc152045537"/>
      <w:bookmarkStart w:id="185" w:name="_Toc246996925"/>
      <w:bookmarkStart w:id="186" w:name="_Toc152042313"/>
      <w:bookmarkStart w:id="187" w:name="_Toc246996182"/>
      <w:bookmarkStart w:id="188" w:name="_Toc247085696"/>
      <w:bookmarkStart w:id="189" w:name="_Toc179632554"/>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44974506"/>
      <w:bookmarkStart w:id="191" w:name="_Toc246996183"/>
      <w:bookmarkStart w:id="192" w:name="_Toc152045538"/>
      <w:bookmarkStart w:id="193" w:name="_Toc152042314"/>
      <w:bookmarkStart w:id="194" w:name="_Toc247085697"/>
      <w:bookmarkStart w:id="195" w:name="_Toc246996926"/>
      <w:bookmarkStart w:id="196" w:name="_Toc179632555"/>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152042315"/>
      <w:bookmarkStart w:id="199" w:name="_Toc152045539"/>
      <w:bookmarkStart w:id="200" w:name="_Toc144974507"/>
      <w:bookmarkStart w:id="201" w:name="_Toc247527563"/>
      <w:bookmarkStart w:id="202" w:name="_Toc247513962"/>
      <w:bookmarkStart w:id="203" w:name="_Toc449509665"/>
      <w:bookmarkStart w:id="204" w:name="_Toc247592876"/>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92877"/>
      <w:bookmarkStart w:id="207" w:name="_Toc449509666"/>
      <w:bookmarkStart w:id="208" w:name="_Toc152045540"/>
      <w:bookmarkStart w:id="209" w:name="_Toc247527564"/>
      <w:bookmarkStart w:id="210" w:name="_Toc152042316"/>
      <w:bookmarkStart w:id="211" w:name="_Toc247513963"/>
      <w:bookmarkStart w:id="212" w:name="_Toc144974508"/>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246996930"/>
      <w:bookmarkStart w:id="215" w:name="_Toc152045542"/>
      <w:bookmarkStart w:id="216" w:name="_Toc152042318"/>
      <w:bookmarkStart w:id="217" w:name="_Toc144974510"/>
      <w:bookmarkStart w:id="218" w:name="_Toc246996187"/>
      <w:bookmarkStart w:id="219" w:name="_Toc247085701"/>
      <w:bookmarkStart w:id="220" w:name="_Toc33257228"/>
      <w:bookmarkStart w:id="221" w:name="_Toc17963256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47"/>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4"/>
        <w:rPr>
          <w:rFonts w:ascii="仿宋_GB2312" w:eastAsia="仿宋_GB2312"/>
        </w:rPr>
      </w:pPr>
      <w:bookmarkStart w:id="223" w:name="_Toc11148"/>
      <w:bookmarkStart w:id="224" w:name="_Toc14448"/>
      <w:bookmarkStart w:id="225" w:name="_Toc17774"/>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79632561"/>
      <w:bookmarkStart w:id="227" w:name="_Toc246996188"/>
      <w:bookmarkStart w:id="228" w:name="_Toc246996931"/>
      <w:bookmarkStart w:id="229" w:name="_Toc152045543"/>
      <w:bookmarkStart w:id="230" w:name="_Toc152042319"/>
      <w:bookmarkStart w:id="231" w:name="_Toc449509669"/>
      <w:bookmarkStart w:id="232" w:name="_Toc247085702"/>
      <w:bookmarkStart w:id="233" w:name="_Toc14497451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246996189"/>
      <w:bookmarkStart w:id="236" w:name="_Toc247085703"/>
      <w:bookmarkStart w:id="237" w:name="_Toc144974512"/>
      <w:bookmarkStart w:id="238" w:name="_Toc179632562"/>
      <w:bookmarkStart w:id="239" w:name="_Toc152042320"/>
      <w:bookmarkStart w:id="240" w:name="_Toc246996932"/>
      <w:bookmarkStart w:id="241" w:name="_Toc152045544"/>
      <w:bookmarkStart w:id="242" w:name="_Toc44950967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434"/>
      <w:bookmarkStart w:id="244" w:name="_Hlt454279009"/>
      <w:bookmarkStart w:id="245" w:name="_Hlt454279010"/>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6996190"/>
      <w:bookmarkStart w:id="250" w:name="_Toc247085704"/>
      <w:bookmarkStart w:id="251" w:name="_Toc144974513"/>
      <w:bookmarkStart w:id="252" w:name="_Toc246996933"/>
      <w:bookmarkStart w:id="253" w:name="_Toc179632563"/>
      <w:bookmarkStart w:id="254" w:name="_Toc152042321"/>
      <w:bookmarkStart w:id="255" w:name="_Toc449509671"/>
      <w:bookmarkStart w:id="256" w:name="_Toc152045545"/>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46996934"/>
      <w:bookmarkStart w:id="258" w:name="_Toc144974514"/>
      <w:bookmarkStart w:id="259" w:name="_Toc179632564"/>
      <w:bookmarkStart w:id="260" w:name="_Toc7713"/>
      <w:bookmarkStart w:id="261" w:name="_Toc246996191"/>
      <w:bookmarkStart w:id="262" w:name="_Toc33257229"/>
      <w:bookmarkStart w:id="263" w:name="_Toc29950"/>
      <w:bookmarkStart w:id="264" w:name="_Toc26728"/>
      <w:bookmarkStart w:id="265" w:name="_Toc152042322"/>
      <w:bookmarkStart w:id="266" w:name="_Toc152045546"/>
      <w:bookmarkStart w:id="267" w:name="_Toc247085705"/>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79632565"/>
      <w:bookmarkStart w:id="269" w:name="_Toc144974515"/>
      <w:bookmarkStart w:id="270" w:name="_Toc246996192"/>
      <w:bookmarkStart w:id="271" w:name="_Toc449509673"/>
      <w:bookmarkStart w:id="272" w:name="_Toc246996935"/>
      <w:bookmarkStart w:id="273" w:name="_Toc152042323"/>
      <w:bookmarkStart w:id="274" w:name="_Toc247085706"/>
      <w:bookmarkStart w:id="275" w:name="_Toc152045547"/>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52042324"/>
      <w:bookmarkStart w:id="279" w:name="_Toc247085707"/>
      <w:bookmarkStart w:id="280" w:name="_Toc152045548"/>
      <w:bookmarkStart w:id="281" w:name="_Toc449509674"/>
      <w:bookmarkStart w:id="282" w:name="_Toc246996936"/>
      <w:bookmarkStart w:id="283" w:name="_Toc179632566"/>
      <w:bookmarkStart w:id="284" w:name="_Toc246996193"/>
      <w:bookmarkStart w:id="285" w:name="_Toc14497451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44974517"/>
      <w:bookmarkStart w:id="288" w:name="_Toc152042325"/>
      <w:bookmarkStart w:id="289"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7085708"/>
      <w:bookmarkStart w:id="291" w:name="_Toc246996194"/>
      <w:bookmarkStart w:id="292" w:name="_Toc246996937"/>
      <w:bookmarkStart w:id="293" w:name="_Toc449509675"/>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52042326"/>
      <w:bookmarkStart w:id="296" w:name="_Toc144974518"/>
      <w:bookmarkStart w:id="297" w:name="_Toc247085709"/>
      <w:bookmarkStart w:id="298" w:name="_Toc246996938"/>
      <w:bookmarkStart w:id="299" w:name="_Toc449509676"/>
      <w:bookmarkStart w:id="300" w:name="_Toc246996195"/>
      <w:bookmarkStart w:id="301" w:name="_Toc179632568"/>
      <w:bookmarkStart w:id="302" w:name="_Toc152045550"/>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1"/>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2328"/>
      <w:bookmarkStart w:id="304" w:name="_Toc246996939"/>
      <w:bookmarkStart w:id="305" w:name="_Toc247085710"/>
      <w:bookmarkStart w:id="306" w:name="_Toc246996196"/>
      <w:bookmarkStart w:id="307" w:name="_Toc144974520"/>
      <w:bookmarkStart w:id="308" w:name="_Toc152045552"/>
      <w:bookmarkStart w:id="309" w:name="_Toc179632570"/>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6996197"/>
      <w:bookmarkStart w:id="312" w:name="_Toc144974521"/>
      <w:bookmarkStart w:id="313" w:name="_Toc247085711"/>
      <w:bookmarkStart w:id="314" w:name="_Toc179632571"/>
      <w:bookmarkStart w:id="315" w:name="_Toc152045553"/>
      <w:bookmarkStart w:id="316" w:name="_Toc246996940"/>
      <w:bookmarkStart w:id="317" w:name="_Toc152042329"/>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6996942"/>
      <w:bookmarkStart w:id="319" w:name="_Toc152042331"/>
      <w:bookmarkStart w:id="320" w:name="_Toc152045555"/>
      <w:bookmarkStart w:id="321" w:name="_Toc247085713"/>
      <w:bookmarkStart w:id="322" w:name="_Toc179632573"/>
      <w:bookmarkStart w:id="323" w:name="_Toc144974523"/>
      <w:bookmarkStart w:id="324" w:name="_Toc246996199"/>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0"/>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4"/>
        <w:rPr>
          <w:rFonts w:ascii="仿宋" w:hAnsi="仿宋" w:eastAsia="仿宋" w:cs="仿宋"/>
          <w:b w:val="0"/>
          <w:bCs w:val="0"/>
          <w:kern w:val="2"/>
          <w:sz w:val="21"/>
          <w:szCs w:val="22"/>
        </w:rPr>
      </w:pPr>
      <w:bookmarkStart w:id="325" w:name="_Toc26518"/>
      <w:bookmarkStart w:id="326" w:name="_Toc33257230"/>
      <w:bookmarkStart w:id="327" w:name="_Toc16086"/>
      <w:bookmarkStart w:id="328" w:name="_Toc5496"/>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79632575"/>
      <w:bookmarkStart w:id="330" w:name="_Toc144974525"/>
      <w:bookmarkStart w:id="331" w:name="_Toc246996944"/>
      <w:bookmarkStart w:id="332" w:name="_Toc449509680"/>
      <w:bookmarkStart w:id="333" w:name="_Toc152042333"/>
      <w:bookmarkStart w:id="334" w:name="_Toc152045557"/>
      <w:bookmarkStart w:id="335" w:name="_Toc247085715"/>
      <w:bookmarkStart w:id="336" w:name="_Toc246996201"/>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246996945"/>
      <w:bookmarkStart w:id="339" w:name="_Toc144974526"/>
      <w:bookmarkStart w:id="340" w:name="_Toc152045558"/>
      <w:bookmarkStart w:id="341" w:name="_Toc152042334"/>
      <w:bookmarkStart w:id="342" w:name="_Toc246996202"/>
      <w:bookmarkStart w:id="343" w:name="_Toc179632576"/>
      <w:bookmarkStart w:id="344" w:name="_Toc449509681"/>
      <w:bookmarkStart w:id="345" w:name="_Toc24708571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4"/>
        <w:rPr>
          <w:rFonts w:ascii="仿宋_GB2312" w:eastAsia="仿宋_GB2312"/>
        </w:rPr>
      </w:pPr>
      <w:bookmarkStart w:id="346" w:name="_Toc564"/>
      <w:bookmarkStart w:id="347" w:name="_Toc247085717"/>
      <w:bookmarkStart w:id="348" w:name="_Toc144974527"/>
      <w:bookmarkStart w:id="349" w:name="_Toc33257231"/>
      <w:bookmarkStart w:id="350" w:name="_Toc28239"/>
      <w:bookmarkStart w:id="351" w:name="_Toc246996946"/>
      <w:bookmarkStart w:id="352" w:name="_Toc152042335"/>
      <w:bookmarkStart w:id="353" w:name="_Toc179632577"/>
      <w:bookmarkStart w:id="354" w:name="_Toc246996203"/>
      <w:bookmarkStart w:id="355" w:name="_Toc152045559"/>
      <w:bookmarkStart w:id="356" w:name="_Toc510"/>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179632578"/>
      <w:bookmarkStart w:id="358" w:name="_Toc247085718"/>
      <w:bookmarkStart w:id="359" w:name="_Toc152042336"/>
      <w:bookmarkStart w:id="360" w:name="_Toc144974528"/>
      <w:bookmarkStart w:id="361" w:name="_Toc246996204"/>
      <w:bookmarkStart w:id="362" w:name="_Toc449509683"/>
      <w:bookmarkStart w:id="363" w:name="_Toc246996947"/>
      <w:bookmarkStart w:id="364" w:name="_Toc152045560"/>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449509684"/>
      <w:bookmarkStart w:id="366" w:name="_Toc179632579"/>
      <w:bookmarkStart w:id="367" w:name="_Toc152045561"/>
      <w:bookmarkStart w:id="368" w:name="_Toc247085719"/>
      <w:bookmarkStart w:id="369" w:name="_Toc246996205"/>
      <w:bookmarkStart w:id="370" w:name="_Toc246996948"/>
      <w:bookmarkStart w:id="371" w:name="_Toc152042337"/>
      <w:bookmarkStart w:id="372" w:name="_Toc14497452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6996206"/>
      <w:bookmarkStart w:id="377" w:name="_Toc179632580"/>
      <w:bookmarkStart w:id="378" w:name="_Toc247085720"/>
      <w:bookmarkStart w:id="379" w:name="_Toc152042338"/>
      <w:bookmarkStart w:id="380" w:name="_Toc144974530"/>
      <w:bookmarkStart w:id="381" w:name="_Toc246996949"/>
      <w:bookmarkStart w:id="382" w:name="_Toc152045562"/>
      <w:r>
        <w:rPr>
          <w:rFonts w:hint="eastAsia" w:ascii="仿宋" w:hAnsi="仿宋" w:eastAsia="仿宋" w:cs="仿宋"/>
        </w:rPr>
        <w:t>投标人对开标有异议的，应当在开标现场直接提出异议或质询，招标人将当场回复。</w:t>
      </w:r>
    </w:p>
    <w:p>
      <w:pPr>
        <w:pStyle w:val="4"/>
        <w:rPr>
          <w:rFonts w:ascii="仿宋_GB2312" w:eastAsia="仿宋_GB2312"/>
        </w:rPr>
      </w:pPr>
      <w:bookmarkStart w:id="383" w:name="_Toc33257232"/>
      <w:bookmarkStart w:id="384" w:name="_Toc16106"/>
      <w:bookmarkStart w:id="385" w:name="_Toc23320"/>
      <w:bookmarkStart w:id="386" w:name="_Toc14879"/>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52042339"/>
      <w:bookmarkStart w:id="388" w:name="_Toc152045563"/>
      <w:bookmarkStart w:id="389" w:name="_Toc247085721"/>
      <w:bookmarkStart w:id="390" w:name="_Toc449509687"/>
      <w:bookmarkStart w:id="391" w:name="_Toc246996950"/>
      <w:bookmarkStart w:id="392" w:name="_Toc144974531"/>
      <w:bookmarkStart w:id="393" w:name="_Toc246996207"/>
      <w:bookmarkStart w:id="394" w:name="_Toc179632581"/>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5564"/>
      <w:bookmarkStart w:id="396" w:name="_Toc246996208"/>
      <w:bookmarkStart w:id="397" w:name="_Toc179632582"/>
      <w:bookmarkStart w:id="398" w:name="_Toc144974532"/>
      <w:bookmarkStart w:id="399" w:name="_Toc152042340"/>
      <w:bookmarkStart w:id="400" w:name="_Toc449509688"/>
      <w:bookmarkStart w:id="401" w:name="_Toc247085722"/>
      <w:bookmarkStart w:id="402" w:name="_Toc246996951"/>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52042341"/>
      <w:bookmarkStart w:id="404" w:name="_Toc144974533"/>
      <w:bookmarkStart w:id="405" w:name="_Toc246996209"/>
      <w:bookmarkStart w:id="406" w:name="_Toc179632583"/>
      <w:bookmarkStart w:id="407" w:name="_Toc246996952"/>
      <w:bookmarkStart w:id="408" w:name="_Toc247085723"/>
      <w:bookmarkStart w:id="409" w:name="_Toc152045565"/>
      <w:bookmarkStart w:id="410" w:name="_Toc44950968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4"/>
        <w:rPr>
          <w:rFonts w:ascii="仿宋_GB2312" w:eastAsia="仿宋_GB2312"/>
        </w:rPr>
      </w:pPr>
      <w:bookmarkStart w:id="411" w:name="_Toc30878"/>
      <w:bookmarkStart w:id="412" w:name="_Toc247085724"/>
      <w:bookmarkStart w:id="413" w:name="_Toc152045566"/>
      <w:bookmarkStart w:id="414" w:name="_Toc179632584"/>
      <w:bookmarkStart w:id="415" w:name="_Toc152042342"/>
      <w:bookmarkStart w:id="416" w:name="_Toc246996210"/>
      <w:bookmarkStart w:id="417" w:name="_Toc2598"/>
      <w:bookmarkStart w:id="418" w:name="_Toc5728"/>
      <w:bookmarkStart w:id="419" w:name="_Toc144974534"/>
      <w:bookmarkStart w:id="420" w:name="_Toc33257233"/>
      <w:bookmarkStart w:id="421" w:name="_Toc246996953"/>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449509691"/>
      <w:bookmarkStart w:id="423" w:name="_Toc152045567"/>
      <w:bookmarkStart w:id="424" w:name="_Toc247085725"/>
      <w:bookmarkStart w:id="425" w:name="_Toc152042343"/>
      <w:bookmarkStart w:id="426" w:name="_Toc179632585"/>
      <w:bookmarkStart w:id="427" w:name="_Toc246996954"/>
      <w:bookmarkStart w:id="428" w:name="_Toc246996211"/>
      <w:bookmarkStart w:id="429" w:name="_Toc14497453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246996955"/>
      <w:bookmarkStart w:id="432" w:name="_Toc144974536"/>
      <w:bookmarkStart w:id="433" w:name="_Toc179632586"/>
      <w:bookmarkStart w:id="434" w:name="_Toc152045568"/>
      <w:bookmarkStart w:id="435" w:name="_Toc449509693"/>
      <w:bookmarkStart w:id="436" w:name="_Toc246996212"/>
      <w:bookmarkStart w:id="437" w:name="_Toc247085726"/>
      <w:bookmarkStart w:id="438" w:name="_Toc152042344"/>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246996213"/>
      <w:bookmarkStart w:id="440" w:name="_Toc247085727"/>
      <w:bookmarkStart w:id="441" w:name="_Toc144974537"/>
      <w:bookmarkStart w:id="442" w:name="_Toc152045569"/>
      <w:bookmarkStart w:id="443" w:name="_Toc179632587"/>
      <w:bookmarkStart w:id="444" w:name="_Toc449509694"/>
      <w:bookmarkStart w:id="445" w:name="_Toc246996956"/>
      <w:bookmarkStart w:id="446" w:name="_Toc152042345"/>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79632588"/>
      <w:bookmarkStart w:id="448" w:name="_Toc152042346"/>
      <w:bookmarkStart w:id="449" w:name="_Toc449509695"/>
      <w:bookmarkStart w:id="450" w:name="_Toc152045570"/>
      <w:bookmarkStart w:id="451" w:name="_Toc246996214"/>
      <w:bookmarkStart w:id="452" w:name="_Toc144974538"/>
      <w:bookmarkStart w:id="453" w:name="_Toc247085728"/>
      <w:bookmarkStart w:id="454" w:name="_Toc246996957"/>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4"/>
        <w:rPr>
          <w:rFonts w:ascii="仿宋_GB2312" w:eastAsia="仿宋_GB2312"/>
        </w:rPr>
      </w:pPr>
      <w:bookmarkStart w:id="455" w:name="_Toc17914"/>
      <w:bookmarkStart w:id="456" w:name="_Toc17888"/>
      <w:bookmarkStart w:id="457" w:name="_Toc20910"/>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47085733"/>
      <w:bookmarkStart w:id="460" w:name="_Toc179632593"/>
      <w:bookmarkStart w:id="461" w:name="_Toc449509697"/>
      <w:bookmarkStart w:id="462" w:name="_Toc152042351"/>
      <w:bookmarkStart w:id="463" w:name="_Toc246996962"/>
      <w:bookmarkStart w:id="464" w:name="_Toc296590983"/>
      <w:bookmarkStart w:id="465" w:name="_Toc246996219"/>
      <w:bookmarkStart w:id="466" w:name="_Toc144974543"/>
      <w:bookmarkStart w:id="467" w:name="_Toc152045575"/>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246996963"/>
      <w:bookmarkStart w:id="469" w:name="_Toc246996220"/>
      <w:bookmarkStart w:id="470" w:name="_Toc144974544"/>
      <w:bookmarkStart w:id="471" w:name="_Toc152045576"/>
      <w:bookmarkStart w:id="472" w:name="_Toc179632594"/>
      <w:bookmarkStart w:id="473" w:name="_Toc449509698"/>
      <w:bookmarkStart w:id="474" w:name="_Toc247085734"/>
      <w:bookmarkStart w:id="475" w:name="_Toc152042352"/>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79632595"/>
      <w:bookmarkStart w:id="477" w:name="_Toc247085735"/>
      <w:bookmarkStart w:id="478" w:name="_Toc449509699"/>
      <w:bookmarkStart w:id="479" w:name="_Toc246996964"/>
      <w:bookmarkStart w:id="480" w:name="_Toc152042353"/>
      <w:bookmarkStart w:id="481" w:name="_Toc246996221"/>
      <w:bookmarkStart w:id="482" w:name="_Toc144974545"/>
      <w:bookmarkStart w:id="483" w:name="_Toc152045577"/>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79632596"/>
      <w:bookmarkStart w:id="485" w:name="_Toc449509700"/>
      <w:bookmarkStart w:id="486" w:name="_Toc246996965"/>
      <w:bookmarkStart w:id="487" w:name="_Toc152045578"/>
      <w:bookmarkStart w:id="488" w:name="_Toc246996222"/>
      <w:bookmarkStart w:id="489" w:name="_Toc247085736"/>
      <w:bookmarkStart w:id="490" w:name="_Toc152042354"/>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6996223"/>
      <w:bookmarkStart w:id="494" w:name="_Toc152042356"/>
      <w:bookmarkStart w:id="495" w:name="_Toc449509701"/>
      <w:bookmarkStart w:id="496" w:name="_Toc247085737"/>
      <w:bookmarkStart w:id="497" w:name="_Toc179632597"/>
      <w:bookmarkStart w:id="498" w:name="_Toc246996966"/>
      <w:bookmarkStart w:id="499" w:name="_Toc152045579"/>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4"/>
        <w:rPr>
          <w:rFonts w:ascii="仿宋_GB2312" w:eastAsia="仿宋_GB2312"/>
        </w:rPr>
      </w:pPr>
      <w:bookmarkStart w:id="500" w:name="_Toc152045580"/>
      <w:bookmarkStart w:id="501" w:name="_Toc246996224"/>
      <w:bookmarkStart w:id="502" w:name="_Toc14793"/>
      <w:bookmarkStart w:id="503" w:name="_Toc144974547"/>
      <w:bookmarkStart w:id="504" w:name="_Toc152042357"/>
      <w:bookmarkStart w:id="505" w:name="_Toc247085738"/>
      <w:bookmarkStart w:id="506" w:name="_Toc31703"/>
      <w:bookmarkStart w:id="507" w:name="_Toc33257235"/>
      <w:bookmarkStart w:id="508" w:name="_Toc246996967"/>
      <w:bookmarkStart w:id="509" w:name="_Toc179632598"/>
      <w:bookmarkStart w:id="510" w:name="_Toc27973"/>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4"/>
        <w:rPr>
          <w:rFonts w:ascii="仿宋_GB2312" w:eastAsia="仿宋_GB2312"/>
          <w:highlight w:val="yellow"/>
        </w:rPr>
      </w:pPr>
      <w:bookmarkStart w:id="511" w:name="_Toc14560"/>
      <w:bookmarkStart w:id="512" w:name="_Toc33257237"/>
      <w:bookmarkStart w:id="513" w:name="_Toc9085"/>
      <w:bookmarkStart w:id="514" w:name="_Toc6246"/>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6996241"/>
      <w:bookmarkStart w:id="516" w:name="_Toc152042375"/>
      <w:bookmarkStart w:id="517" w:name="_Toc144974565"/>
      <w:bookmarkStart w:id="518" w:name="_Toc179632616"/>
      <w:bookmarkStart w:id="519" w:name="_Toc247085756"/>
      <w:bookmarkStart w:id="520" w:name="_Toc246996984"/>
      <w:bookmarkStart w:id="521" w:name="_Toc152045598"/>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47"/>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1"/>
        <w:ind w:firstLine="280"/>
      </w:pPr>
    </w:p>
    <w:p>
      <w:pPr>
        <w:pStyle w:val="21"/>
        <w:ind w:firstLine="280"/>
      </w:pPr>
    </w:p>
    <w:p>
      <w:pPr>
        <w:pStyle w:val="21"/>
        <w:ind w:firstLine="280"/>
      </w:pPr>
    </w:p>
    <w:p>
      <w:pPr>
        <w:pStyle w:val="21"/>
        <w:ind w:firstLine="280"/>
      </w:pPr>
    </w:p>
    <w:p>
      <w:pPr>
        <w:pStyle w:val="21"/>
        <w:ind w:firstLine="280"/>
      </w:pPr>
    </w:p>
    <w:p>
      <w:pPr>
        <w:pStyle w:val="21"/>
        <w:ind w:firstLine="280"/>
      </w:pPr>
    </w:p>
    <w:p>
      <w:pPr>
        <w:pStyle w:val="21"/>
        <w:ind w:firstLine="280"/>
      </w:pPr>
    </w:p>
    <w:p>
      <w:pPr>
        <w:pStyle w:val="21"/>
        <w:ind w:firstLine="280"/>
      </w:pPr>
    </w:p>
    <w:p>
      <w:pPr>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3"/>
        <w:jc w:val="center"/>
        <w:rPr>
          <w:rFonts w:ascii="仿宋_GB2312" w:eastAsia="仿宋_GB2312"/>
        </w:rPr>
      </w:pPr>
      <w:bookmarkStart w:id="525" w:name="_Toc22967"/>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4"/>
        <w:jc w:val="center"/>
        <w:rPr>
          <w:rFonts w:ascii="仿宋_GB2312" w:eastAsia="仿宋_GB2312"/>
        </w:rPr>
      </w:pPr>
      <w:bookmarkStart w:id="526" w:name="_Toc246996242"/>
      <w:bookmarkStart w:id="527" w:name="_Toc179632617"/>
      <w:bookmarkStart w:id="528" w:name="_Toc247085757"/>
      <w:bookmarkStart w:id="529" w:name="_Toc152045599"/>
      <w:bookmarkStart w:id="530" w:name="_Toc18103"/>
      <w:bookmarkStart w:id="531" w:name="_Toc8097"/>
      <w:bookmarkStart w:id="532" w:name="_Toc449509707"/>
      <w:bookmarkStart w:id="533" w:name="_Toc152042376"/>
      <w:bookmarkStart w:id="534" w:name="_Toc246996985"/>
      <w:bookmarkStart w:id="535" w:name="_Toc144974566"/>
      <w:bookmarkStart w:id="536" w:name="第三章评标办法前附表"/>
      <w:bookmarkStart w:id="537" w:name="_Toc7287"/>
      <w:bookmarkStart w:id="538" w:name="_Toc33257239"/>
      <w:bookmarkStart w:id="539" w:name="_Toc247085767"/>
      <w:bookmarkStart w:id="540" w:name="_Toc246996252"/>
      <w:bookmarkStart w:id="541" w:name="_Toc246996995"/>
      <w:bookmarkStart w:id="542" w:name="_Toc152045609"/>
      <w:bookmarkStart w:id="543" w:name="_Toc152042387"/>
      <w:bookmarkStart w:id="544" w:name="_Toc144974577"/>
      <w:bookmarkStart w:id="545" w:name="_Toc17963262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6996243"/>
      <w:bookmarkStart w:id="547" w:name="_Toc152045600"/>
      <w:bookmarkStart w:id="548" w:name="_Toc247085758"/>
      <w:bookmarkStart w:id="549" w:name="_Toc152042377"/>
      <w:bookmarkStart w:id="550" w:name="_Toc449509708"/>
      <w:bookmarkStart w:id="551" w:name="_Toc179632618"/>
      <w:bookmarkStart w:id="552" w:name="_Toc144974567"/>
      <w:bookmarkStart w:id="553" w:name="_Toc246996986"/>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4"/>
        <w:spacing w:line="400" w:lineRule="exact"/>
        <w:rPr>
          <w:rFonts w:ascii="仿宋_GB2312" w:eastAsia="仿宋_GB2312"/>
        </w:rPr>
      </w:pPr>
      <w:bookmarkStart w:id="555" w:name="_Toc23857"/>
      <w:bookmarkStart w:id="556" w:name="_Toc7439"/>
      <w:bookmarkStart w:id="557" w:name="_Toc33257240"/>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4"/>
        <w:spacing w:line="400" w:lineRule="exact"/>
        <w:rPr>
          <w:rFonts w:ascii="仿宋_GB2312" w:eastAsia="仿宋_GB2312"/>
        </w:rPr>
      </w:pPr>
      <w:bookmarkStart w:id="559" w:name="_Toc246996244"/>
      <w:bookmarkStart w:id="560" w:name="_Toc23877"/>
      <w:bookmarkStart w:id="561" w:name="_Toc27119"/>
      <w:bookmarkStart w:id="562" w:name="_Toc246996987"/>
      <w:bookmarkStart w:id="563" w:name="_Toc152042378"/>
      <w:bookmarkStart w:id="564" w:name="_Toc28726"/>
      <w:bookmarkStart w:id="565" w:name="_Toc449509709"/>
      <w:bookmarkStart w:id="566" w:name="_Toc247085759"/>
      <w:bookmarkStart w:id="567" w:name="_Toc144974568"/>
      <w:bookmarkStart w:id="568" w:name="_Toc152045601"/>
      <w:bookmarkStart w:id="569" w:name="_Toc179632619"/>
      <w:bookmarkStart w:id="570" w:name="_Toc33257241"/>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247085760"/>
      <w:bookmarkStart w:id="572" w:name="_Toc246996245"/>
      <w:bookmarkStart w:id="573" w:name="_Toc152045602"/>
      <w:bookmarkStart w:id="574" w:name="_Toc152042379"/>
      <w:bookmarkStart w:id="575" w:name="_Toc144974569"/>
      <w:bookmarkStart w:id="576" w:name="_Toc449509710"/>
      <w:bookmarkStart w:id="577" w:name="_Toc246996988"/>
      <w:bookmarkStart w:id="578" w:name="_Toc179632620"/>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449509711"/>
      <w:bookmarkStart w:id="580" w:name="_Toc179632621"/>
      <w:bookmarkStart w:id="581" w:name="_Toc247085761"/>
      <w:bookmarkStart w:id="582" w:name="_Toc152042380"/>
      <w:bookmarkStart w:id="583" w:name="_Toc144974570"/>
      <w:bookmarkStart w:id="584" w:name="_Toc246996246"/>
      <w:bookmarkStart w:id="585" w:name="_Toc246996989"/>
      <w:bookmarkStart w:id="586" w:name="_Toc152045603"/>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449509712"/>
      <w:bookmarkStart w:id="588" w:name="_Toc246996990"/>
      <w:bookmarkStart w:id="589" w:name="_Toc247085762"/>
      <w:bookmarkStart w:id="590" w:name="_Toc33257242"/>
      <w:bookmarkStart w:id="591" w:name="_Toc152045604"/>
      <w:bookmarkStart w:id="592" w:name="_Toc179632622"/>
      <w:bookmarkStart w:id="593" w:name="_Toc144974571"/>
      <w:bookmarkStart w:id="594" w:name="_Toc152042381"/>
      <w:bookmarkStart w:id="595" w:name="_Toc246996247"/>
      <w:r>
        <w:rPr>
          <w:rFonts w:hint="eastAsia" w:ascii="仿宋_GB2312" w:hAnsi="仿宋" w:eastAsia="仿宋_GB2312" w:cs="仿宋"/>
        </w:rPr>
        <w:t>注：如出现投标报价相同者，采用随机抽签或评标委员会商议决定。</w:t>
      </w:r>
    </w:p>
    <w:p>
      <w:pPr>
        <w:pStyle w:val="4"/>
        <w:spacing w:line="400" w:lineRule="exact"/>
        <w:rPr>
          <w:rFonts w:ascii="仿宋_GB2312" w:eastAsia="仿宋_GB2312"/>
        </w:rPr>
      </w:pPr>
      <w:bookmarkStart w:id="596" w:name="_Toc5486"/>
      <w:bookmarkStart w:id="597" w:name="_Toc23499"/>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52045605"/>
      <w:bookmarkStart w:id="600" w:name="_Toc247085763"/>
      <w:bookmarkStart w:id="601" w:name="_Toc179632623"/>
      <w:bookmarkStart w:id="602" w:name="_Toc152042382"/>
      <w:bookmarkStart w:id="603" w:name="_Toc144974572"/>
      <w:bookmarkStart w:id="604" w:name="_Toc246996991"/>
      <w:bookmarkStart w:id="605" w:name="_Toc449509713"/>
      <w:bookmarkStart w:id="606" w:name="_Toc246996248"/>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7085764"/>
      <w:bookmarkStart w:id="609" w:name="_Toc152045606"/>
      <w:bookmarkStart w:id="610" w:name="_Toc246996992"/>
      <w:bookmarkStart w:id="611" w:name="_Toc246996249"/>
      <w:bookmarkStart w:id="612" w:name="_Toc152042384"/>
      <w:bookmarkStart w:id="613" w:name="_Toc449509714"/>
      <w:bookmarkStart w:id="614" w:name="_Toc179632624"/>
      <w:bookmarkStart w:id="615" w:name="_Toc144974573"/>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449509715"/>
      <w:bookmarkStart w:id="618" w:name="_Toc246996993"/>
      <w:bookmarkStart w:id="619" w:name="_Toc246996250"/>
      <w:bookmarkStart w:id="620" w:name="_Toc179632625"/>
      <w:bookmarkStart w:id="621" w:name="_Toc152042385"/>
      <w:bookmarkStart w:id="622" w:name="_Toc247085765"/>
      <w:bookmarkStart w:id="623" w:name="_Toc152045607"/>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rFonts w:hint="eastAsia" w:ascii="仿宋_GB2312" w:eastAsia="仿宋_GB2312"/>
          <w:highlight w:val="cyan"/>
          <w:lang w:val="en-US" w:eastAsia="zh-C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ind w:firstLineChars="200"/>
        <w:rPr>
          <w:rFonts w:hint="default" w:ascii="仿宋_GB2312" w:eastAsia="仿宋_GB2312"/>
          <w:highlight w:val="cyan"/>
          <w:lang w:val="en-US" w:eastAsia="zh-CN"/>
        </w:rPr>
      </w:pPr>
      <w:r>
        <w:rPr>
          <w:rFonts w:hint="eastAsia" w:ascii="仿宋_GB2312" w:eastAsia="仿宋_GB2312"/>
          <w:highlight w:val="cyan"/>
          <w:lang w:val="en-US" w:eastAsia="zh-CN"/>
        </w:rPr>
        <w:t>3.3.6第一次参加招标人公司招投标活动的，应当在投标文件中提供《入库承诺书》，并缴纳10万元入库保证金，否则视为废标。项目完成后可根据中标人自身意愿决定留在公司班组库中或申请退出库，如中标人申请退库的，则10万元入库保证金由招标人根据中标人项目履约情况结算后原路退回。</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firstLine="400"/>
        <w:rPr>
          <w:rFonts w:ascii="仿宋_GB2312" w:eastAsia="仿宋_GB2312"/>
        </w:rPr>
      </w:pPr>
    </w:p>
    <w:p>
      <w:pPr>
        <w:pStyle w:val="47"/>
        <w:ind w:left="0" w:leftChars="0" w:firstLine="0" w:firstLineChars="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3"/>
        <w:jc w:val="center"/>
        <w:rPr>
          <w:rFonts w:ascii="仿宋_GB2312" w:eastAsia="仿宋_GB2312"/>
        </w:rPr>
      </w:pPr>
      <w:bookmarkStart w:id="632" w:name="_Toc28528"/>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360" w:lineRule="auto"/>
        <w:jc w:val="center"/>
        <w:rPr>
          <w:rFonts w:ascii="仿宋" w:hAnsi="仿宋" w:eastAsia="仿宋" w:cs="仿宋"/>
          <w:b/>
          <w:bCs/>
          <w:sz w:val="30"/>
          <w:szCs w:val="30"/>
          <w:lang w:val="zh-CN"/>
        </w:rPr>
      </w:pPr>
      <w:bookmarkStart w:id="633" w:name="_Toc152042571"/>
      <w:bookmarkStart w:id="634" w:name="_Toc144974851"/>
      <w:bookmarkStart w:id="635" w:name="_Toc33257265"/>
      <w:bookmarkStart w:id="636" w:name="_Toc152045782"/>
      <w:bookmarkStart w:id="637" w:name="_Toc179632800"/>
      <w:bookmarkStart w:id="638" w:name="_Toc247096438"/>
      <w:bookmarkStart w:id="639" w:name="_Toc246997093"/>
      <w:bookmarkStart w:id="640" w:name="_Toc246996350"/>
      <w:bookmarkStart w:id="641" w:name="_Toc247085866"/>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1"/>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1"/>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2022年湖州市下塘小区、金泉花园及凤凰苑三个小区共18台加装电梯土建工程项目</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 xml:space="preserve">  湖州市下塘小区、金泉花园及凤凰苑</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施工内容主要包括电梯基坑内的开挖、回填、人工挖探沟，预制桩、基础、垫层、预埋件等施工，场地内余土、渣土处理及外运、场地周围设施的原状修复，以及与本项目有关的其他施工内容，包括但不限于安全文明施工、为施工需要进行的成品保护及修复等，直至本工程竣工验收为止，具体的施工范围和工作内容以施工图、现场情况、招标人要求为准，直至满足功能性要求及设计单位、业主单位要求并达到竣工验收合格为止。其中基坑原则上须采用预制基础（如现场客观情况无法采用预制基础时，待业主单位确认后可以采用现浇基</w:t>
          </w:r>
          <w:bookmarkStart w:id="695" w:name="_GoBack"/>
          <w:bookmarkEnd w:id="695"/>
          <w:r>
            <w:rPr>
              <w:rFonts w:hint="eastAsia" w:ascii="仿宋" w:hAnsi="仿宋" w:eastAsia="仿宋"/>
              <w:sz w:val="21"/>
              <w:szCs w:val="21"/>
              <w:highlight w:val="yellow"/>
              <w:u w:val="single"/>
              <w:lang w:val="en-US" w:eastAsia="zh-CN"/>
            </w:rPr>
            <w:t>础，中标价不变，未经业主确认不可擅自更改做法）。</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lang w:val="en-US" w:eastAsia="zh-CN"/>
        </w:rPr>
        <w:t>中标价</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工程暂估价99万元，其中劳务暂估价29.7万元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w:t>
      </w:r>
      <w:r>
        <w:rPr>
          <w:rFonts w:hint="eastAsia" w:ascii="仿宋" w:hAnsi="仿宋" w:eastAsia="仿宋" w:cs="仿宋"/>
          <w:color w:val="000000"/>
          <w:szCs w:val="21"/>
          <w:highlight w:val="yellow"/>
        </w:rPr>
        <w:t>不含招标人与业主单位的合同下浮费率</w:t>
      </w:r>
      <w:r>
        <w:rPr>
          <w:rFonts w:hint="eastAsia" w:ascii="仿宋" w:hAnsi="仿宋" w:eastAsia="仿宋" w:cs="仿宋"/>
          <w:color w:val="000000"/>
          <w:szCs w:val="21"/>
          <w:highlight w:val="yellow"/>
          <w:lang w:val="en-US" w:eastAsia="zh-CN"/>
        </w:rPr>
        <w:t>/</w:t>
      </w:r>
      <w:r>
        <w:rPr>
          <w:rFonts w:hint="eastAsia" w:ascii="仿宋" w:hAnsi="仿宋" w:eastAsia="仿宋" w:cs="仿宋"/>
          <w:color w:val="000000"/>
          <w:szCs w:val="21"/>
          <w:highlight w:val="yellow"/>
          <w:u w:val="none"/>
        </w:rPr>
        <w:t>%</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30</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1"/>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1"/>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hint="eastAsia" w:ascii="仿宋" w:hAnsi="仿宋" w:eastAsia="仿宋" w:cs="仿宋"/>
          <w:bCs/>
          <w:szCs w:val="21"/>
          <w:highlight w:val="yellow"/>
        </w:rPr>
      </w:pPr>
      <w:r>
        <w:rPr>
          <w:rFonts w:hint="eastAsia" w:ascii="仿宋" w:hAnsi="仿宋" w:eastAsia="仿宋" w:cs="仿宋"/>
          <w:bCs/>
          <w:szCs w:val="21"/>
          <w:highlight w:val="yellow"/>
        </w:rPr>
        <w:t>1.费用支付方式：</w:t>
      </w:r>
      <w:r>
        <w:rPr>
          <w:rFonts w:hint="eastAsia" w:ascii="仿宋" w:hAnsi="仿宋" w:eastAsia="仿宋" w:cs="仿宋"/>
          <w:bCs/>
          <w:szCs w:val="21"/>
          <w:highlight w:val="yellow"/>
          <w:u w:val="single"/>
          <w:lang w:val="en-US" w:eastAsia="zh-CN"/>
        </w:rPr>
        <w:t>每完成5台基坑就位具备钢结构及电梯安装条件后即支付实际完成工程量的50%，全部完成合同及图纸约定工程量后并提交结算资料审核完成后支付至实际工程量的75%，竣工验收及存档备案完成并提交结算资料后支付至实际完成工程量的80%，结算审计完成后支付至审计金额的95%，余款两年保修期满后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1"/>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1"/>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1"/>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1"/>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1"/>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1"/>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1"/>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1"/>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仿宋" w:hAnsi="仿宋" w:eastAsia="仿宋" w:cs="仿宋"/>
          <w:b w:val="0"/>
          <w:bCs w:val="0"/>
          <w:caps w:val="0"/>
          <w:kern w:val="2"/>
          <w:sz w:val="21"/>
          <w:szCs w:val="21"/>
          <w:lang w:val="en-US" w:eastAsia="zh-CN" w:bidi="ar-SA"/>
        </w:rPr>
      </w:pPr>
      <w:r>
        <w:rPr>
          <w:rFonts w:hint="eastAsia" w:ascii="仿宋" w:hAnsi="仿宋" w:eastAsia="仿宋" w:cs="仿宋"/>
          <w:b w:val="0"/>
          <w:bCs w:val="0"/>
          <w:caps w:val="0"/>
          <w:kern w:val="2"/>
          <w:sz w:val="21"/>
          <w:szCs w:val="21"/>
          <w:lang w:val="en-US" w:eastAsia="zh-CN" w:bidi="ar-SA"/>
        </w:rPr>
        <w:t>51</w:t>
      </w:r>
      <w:r>
        <w:rPr>
          <w:rFonts w:hint="default" w:ascii="仿宋" w:hAnsi="仿宋" w:eastAsia="仿宋" w:cs="仿宋"/>
          <w:b w:val="0"/>
          <w:bCs w:val="0"/>
          <w:caps w:val="0"/>
          <w:kern w:val="2"/>
          <w:sz w:val="21"/>
          <w:szCs w:val="21"/>
          <w:lang w:val="en-US" w:eastAsia="zh-CN" w:bidi="ar-SA"/>
        </w:rPr>
        <w:t>、中标人须按照工程质监和建设局档案馆标准进行资料编制和整理工作，工程施工所涉及的原材料、进场试验等须严格按照相关规范和标准进行，并服从发包人的要求。如中标人未按照要求送检、编制资料的，招标人有权自行委托第三方单位或人员进行资料编制和整理工作，同时中标人须严格按照招标人要求进行相关检试验工作，中标人拒不送检的，发包人可以将已进场的材料进行送检，由此产生的一切费用均由中标人承担。招标人自行委托人员进行资料编制工作的，按照5000元每台电梯的标准向中标人收取资料整理费用，招标人委托送检的费用以实际发生费用为准，不设上限，该费用由招标人在工程款中直接扣除，对此中标人完全知晓并接受。</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仿宋" w:hAnsi="仿宋" w:eastAsia="仿宋" w:cs="仿宋"/>
          <w:b w:val="0"/>
          <w:bCs w:val="0"/>
          <w:caps w:val="0"/>
          <w:kern w:val="2"/>
          <w:sz w:val="21"/>
          <w:szCs w:val="21"/>
          <w:lang w:val="en-US" w:eastAsia="zh-CN" w:bidi="ar-SA"/>
        </w:rPr>
      </w:pPr>
      <w:r>
        <w:rPr>
          <w:rFonts w:hint="eastAsia" w:ascii="仿宋" w:hAnsi="仿宋" w:eastAsia="仿宋" w:cs="仿宋"/>
          <w:b w:val="0"/>
          <w:bCs w:val="0"/>
          <w:caps w:val="0"/>
          <w:kern w:val="2"/>
          <w:sz w:val="21"/>
          <w:szCs w:val="21"/>
          <w:lang w:val="en-US" w:eastAsia="zh-CN" w:bidi="ar-SA"/>
        </w:rPr>
        <w:t>5</w:t>
      </w:r>
      <w:r>
        <w:rPr>
          <w:rFonts w:hint="default" w:ascii="仿宋" w:hAnsi="仿宋" w:eastAsia="仿宋" w:cs="仿宋"/>
          <w:b w:val="0"/>
          <w:bCs w:val="0"/>
          <w:caps w:val="0"/>
          <w:kern w:val="2"/>
          <w:sz w:val="21"/>
          <w:szCs w:val="21"/>
          <w:lang w:val="en-US" w:eastAsia="zh-CN" w:bidi="ar-SA"/>
        </w:rPr>
        <w:t>2、中标人须无条件配合资料编制、验收、材料试样送检等为了工程阶段验收、竣工验收和档案馆存档所发生的一切工作，服从招标人委托的资料员的一切安排，否则招标人有权对中标人进行10000元每次的罚款，不设上限，情节严重的，招标人在以后其他项目招标时有权拒绝中标人的投标。</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仿宋" w:hAnsi="仿宋" w:eastAsia="仿宋" w:cs="仿宋"/>
          <w:b w:val="0"/>
          <w:bCs w:val="0"/>
          <w:caps w:val="0"/>
          <w:kern w:val="2"/>
          <w:sz w:val="21"/>
          <w:szCs w:val="21"/>
          <w:lang w:val="en-US" w:eastAsia="zh-CN" w:bidi="ar-SA"/>
        </w:rPr>
      </w:pPr>
      <w:r>
        <w:rPr>
          <w:rFonts w:hint="eastAsia" w:ascii="仿宋" w:hAnsi="仿宋" w:eastAsia="仿宋" w:cs="仿宋"/>
          <w:b w:val="0"/>
          <w:bCs w:val="0"/>
          <w:caps w:val="0"/>
          <w:kern w:val="2"/>
          <w:sz w:val="21"/>
          <w:szCs w:val="21"/>
          <w:lang w:val="en-US" w:eastAsia="zh-CN" w:bidi="ar-SA"/>
        </w:rPr>
        <w:t>5</w:t>
      </w:r>
      <w:r>
        <w:rPr>
          <w:rFonts w:hint="default" w:ascii="仿宋" w:hAnsi="仿宋" w:eastAsia="仿宋" w:cs="仿宋"/>
          <w:b w:val="0"/>
          <w:bCs w:val="0"/>
          <w:caps w:val="0"/>
          <w:kern w:val="2"/>
          <w:sz w:val="21"/>
          <w:szCs w:val="21"/>
          <w:lang w:val="en-US" w:eastAsia="zh-CN" w:bidi="ar-SA"/>
        </w:rPr>
        <w:t>3、土建基坑原则上须采用预制成品基础（电梯基坑），并提供有效的产品合格证和出场检试验报告，否则视为产品不合格，不得用于本工程。</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widowControl/>
        <w:spacing w:line="380" w:lineRule="exact"/>
        <w:rPr>
          <w:rFonts w:hint="default" w:ascii="仿宋" w:hAnsi="仿宋" w:eastAsia="仿宋" w:cs="仿宋"/>
          <w:szCs w:val="21"/>
          <w:highlight w:val="yellow"/>
          <w:lang w:val="en-US" w:eastAsia="zh-CN"/>
        </w:rPr>
      </w:pPr>
      <w:r>
        <w:rPr>
          <w:rFonts w:hint="eastAsia" w:ascii="仿宋" w:hAnsi="仿宋" w:eastAsia="仿宋" w:cs="仿宋"/>
          <w:szCs w:val="21"/>
          <w:highlight w:val="yellow"/>
          <w:lang w:val="en-US" w:eastAsia="zh-CN"/>
        </w:rPr>
        <w:t>以招标人或者业主委托的第三方结算审计为准。</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1"/>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1"/>
              <w:widowControl/>
              <w:spacing w:line="300" w:lineRule="exact"/>
              <w:ind w:right="63" w:firstLine="0" w:firstLineChars="0"/>
              <w:rPr>
                <w:rFonts w:ascii="仿宋" w:hAnsi="仿宋" w:eastAsia="仿宋" w:cs="仿宋"/>
                <w:sz w:val="21"/>
                <w:szCs w:val="21"/>
              </w:rPr>
            </w:pPr>
          </w:p>
        </w:tc>
        <w:tc>
          <w:tcPr>
            <w:tcW w:w="2265" w:type="dxa"/>
          </w:tcPr>
          <w:p>
            <w:pPr>
              <w:pStyle w:val="21"/>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1"/>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1"/>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1"/>
              <w:widowControl/>
              <w:spacing w:line="300" w:lineRule="exact"/>
              <w:ind w:right="63" w:firstLine="0" w:firstLineChars="0"/>
              <w:rPr>
                <w:rFonts w:ascii="仿宋" w:hAnsi="仿宋" w:eastAsia="仿宋" w:cs="仿宋"/>
                <w:sz w:val="21"/>
                <w:szCs w:val="21"/>
              </w:rPr>
            </w:pPr>
          </w:p>
        </w:tc>
        <w:tc>
          <w:tcPr>
            <w:tcW w:w="2265" w:type="dxa"/>
            <w:vAlign w:val="center"/>
          </w:tcPr>
          <w:p>
            <w:pPr>
              <w:pStyle w:val="21"/>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1"/>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1"/>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1"/>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1"/>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1"/>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1"/>
        <w:widowControl/>
        <w:spacing w:line="300" w:lineRule="exact"/>
        <w:ind w:left="63" w:right="63" w:firstLine="210"/>
        <w:rPr>
          <w:rFonts w:ascii="仿宋" w:hAnsi="仿宋" w:eastAsia="仿宋" w:cs="仿宋"/>
          <w:sz w:val="21"/>
          <w:szCs w:val="21"/>
        </w:rPr>
      </w:pPr>
    </w:p>
    <w:p>
      <w:pPr>
        <w:pStyle w:val="22"/>
      </w:pPr>
    </w:p>
    <w:p/>
    <w:p>
      <w:pPr>
        <w:pStyle w:val="21"/>
        <w:ind w:firstLine="280"/>
      </w:pPr>
    </w:p>
    <w:p>
      <w:pPr>
        <w:pStyle w:val="22"/>
      </w:pPr>
    </w:p>
    <w:p/>
    <w:p>
      <w:pPr>
        <w:pStyle w:val="2"/>
      </w:pPr>
    </w:p>
    <w:p/>
    <w:p>
      <w:pPr>
        <w:pStyle w:val="2"/>
      </w:pPr>
    </w:p>
    <w:p/>
    <w:p>
      <w:pPr>
        <w:pStyle w:val="2"/>
      </w:pPr>
    </w:p>
    <w:p/>
    <w:p>
      <w:pPr>
        <w:pStyle w:val="2"/>
      </w:pPr>
    </w:p>
    <w:p/>
    <w:p>
      <w:pPr>
        <w:pStyle w:val="2"/>
      </w:pPr>
    </w:p>
    <w:p/>
    <w:p>
      <w:pPr>
        <w:pStyle w:val="2"/>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2182" w:firstLineChars="494"/>
        <w:textAlignment w:val="auto"/>
        <w:rPr>
          <w:rFonts w:hint="eastAsia" w:ascii="仿宋" w:hAnsi="仿宋" w:eastAsia="仿宋" w:cs="仿宋"/>
          <w:kern w:val="2"/>
          <w:sz w:val="21"/>
          <w:szCs w:val="21"/>
          <w:lang w:val="zh-CN" w:eastAsia="zh-CN" w:bidi="ar-SA"/>
        </w:rPr>
      </w:pPr>
      <w:r>
        <w:rPr>
          <w:rFonts w:hint="eastAsia" w:ascii="仿宋_GB2312" w:eastAsia="仿宋_GB2312" w:cs="Times New Roman"/>
          <w:b/>
          <w:bCs/>
          <w:kern w:val="44"/>
          <w:sz w:val="44"/>
          <w:szCs w:val="44"/>
          <w:lang w:val="en-US" w:eastAsia="zh-CN" w:bidi="ar-SA"/>
        </w:rPr>
        <w:t>第五章</w:t>
      </w:r>
      <w:r>
        <w:rPr>
          <w:rFonts w:hint="eastAsia" w:ascii="仿宋_GB2312" w:hAnsi="Times New Roman" w:eastAsia="仿宋_GB2312" w:cs="Times New Roman"/>
          <w:b/>
          <w:bCs/>
          <w:kern w:val="44"/>
          <w:sz w:val="44"/>
          <w:szCs w:val="44"/>
          <w:lang w:val="en-US" w:eastAsia="zh-CN" w:bidi="ar-SA"/>
        </w:rPr>
        <w:t>工程量清单编制</w:t>
      </w:r>
      <w:r>
        <w:rPr>
          <w:rFonts w:hint="eastAsia" w:ascii="仿宋_GB2312" w:hAnsi="Times New Roman" w:eastAsia="仿宋_GB2312" w:cs="Times New Roman"/>
          <w:b/>
          <w:bCs/>
          <w:kern w:val="44"/>
          <w:sz w:val="44"/>
          <w:szCs w:val="44"/>
          <w:lang w:val="en-US" w:eastAsia="zh-CN" w:bidi="ar-SA"/>
        </w:rPr>
        <w:br w:type="textWrapping"/>
      </w:r>
      <w:r>
        <w:rPr>
          <w:rFonts w:hint="eastAsia" w:ascii="仿宋" w:hAnsi="仿宋" w:eastAsia="仿宋" w:cs="仿宋"/>
          <w:b/>
          <w:bCs/>
          <w:kern w:val="2"/>
          <w:sz w:val="21"/>
          <w:szCs w:val="21"/>
          <w:lang w:val="zh-CN" w:eastAsia="zh-CN" w:bidi="ar-SA"/>
        </w:rPr>
        <w:t>1.工程量清单说明</w:t>
      </w:r>
      <w:r>
        <w:rPr>
          <w:rFonts w:hint="eastAsia" w:ascii="仿宋" w:hAnsi="仿宋" w:eastAsia="仿宋" w:cs="仿宋"/>
          <w:b/>
          <w:bCs/>
          <w:kern w:val="2"/>
          <w:sz w:val="21"/>
          <w:szCs w:val="21"/>
          <w:lang w:val="zh-CN" w:eastAsia="zh-CN" w:bidi="ar-SA"/>
        </w:rPr>
        <w:br w:type="textWrapping"/>
      </w:r>
      <w:r>
        <w:rPr>
          <w:rFonts w:hint="eastAsia" w:ascii="仿宋" w:hAnsi="仿宋" w:eastAsia="仿宋" w:cs="仿宋"/>
          <w:kern w:val="2"/>
          <w:sz w:val="21"/>
          <w:szCs w:val="21"/>
          <w:lang w:val="zh-CN" w:eastAsia="zh-CN" w:bidi="ar-SA"/>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1.2 本工程量清单应与招标文件中的投标人须知、通用合同条款、专用合同条款、技术标准和要求及图纸等一起阅读和理解。</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1.3 本工程量清单仅是投标报价的共同基础，实际工程计量和工程价款的支付应遵循合同条款的约定和施工图纸中对技术标准和要求的有关规定。</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1.4 补充子目工程量计算规则及子目工作内容说明：</w:t>
      </w:r>
      <w:r>
        <w:rPr>
          <w:rFonts w:hint="eastAsia" w:ascii="仿宋" w:hAnsi="仿宋" w:eastAsia="仿宋" w:cs="仿宋"/>
          <w:kern w:val="2"/>
          <w:sz w:val="21"/>
          <w:szCs w:val="21"/>
          <w:u w:val="single"/>
          <w:lang w:val="en-US" w:eastAsia="zh-CN" w:bidi="ar-SA"/>
        </w:rPr>
        <w:t xml:space="preserve">                     </w:t>
      </w:r>
      <w:r>
        <w:rPr>
          <w:rFonts w:hint="eastAsia" w:ascii="仿宋" w:hAnsi="仿宋" w:eastAsia="仿宋" w:cs="仿宋"/>
          <w:kern w:val="2"/>
          <w:sz w:val="21"/>
          <w:szCs w:val="21"/>
          <w:lang w:val="zh-CN" w:eastAsia="zh-CN" w:bidi="ar-SA"/>
        </w:rPr>
        <w:t xml:space="preserve"> 。</w:t>
      </w:r>
      <w:r>
        <w:rPr>
          <w:rFonts w:hint="eastAsia" w:ascii="仿宋" w:hAnsi="仿宋" w:eastAsia="仿宋" w:cs="仿宋"/>
          <w:kern w:val="2"/>
          <w:sz w:val="21"/>
          <w:szCs w:val="21"/>
          <w:lang w:val="zh-CN" w:eastAsia="zh-CN" w:bidi="ar-SA"/>
        </w:rPr>
        <w:br w:type="textWrapping"/>
      </w:r>
      <w:r>
        <w:rPr>
          <w:rFonts w:hint="eastAsia" w:ascii="仿宋" w:hAnsi="仿宋" w:eastAsia="仿宋" w:cs="仿宋"/>
          <w:b/>
          <w:bCs/>
          <w:kern w:val="2"/>
          <w:sz w:val="21"/>
          <w:szCs w:val="21"/>
          <w:lang w:val="zh-CN" w:eastAsia="zh-CN" w:bidi="ar-SA"/>
        </w:rPr>
        <w:t>2.投标报价说明</w:t>
      </w:r>
      <w:r>
        <w:rPr>
          <w:rFonts w:hint="eastAsia" w:ascii="仿宋" w:hAnsi="仿宋" w:eastAsia="仿宋" w:cs="仿宋"/>
          <w:b/>
          <w:bCs/>
          <w:kern w:val="2"/>
          <w:sz w:val="21"/>
          <w:szCs w:val="21"/>
          <w:lang w:val="zh-CN" w:eastAsia="zh-CN" w:bidi="ar-SA"/>
        </w:rPr>
        <w:br w:type="textWrapping"/>
      </w:r>
      <w:r>
        <w:rPr>
          <w:rFonts w:hint="eastAsia" w:ascii="仿宋" w:hAnsi="仿宋" w:eastAsia="仿宋" w:cs="仿宋"/>
          <w:kern w:val="2"/>
          <w:sz w:val="21"/>
          <w:szCs w:val="21"/>
          <w:lang w:val="zh-CN" w:eastAsia="zh-CN" w:bidi="ar-SA"/>
        </w:rPr>
        <w:t>2.1 本报价依据本工程投标须知和合同文件的有关条款进行编制。本工程采用一般计税法；施工组织措施项目费中的安全文明施工基本费、标化工地增加费（如有）按市区工程取费。</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2.2 投标人报价表式应采用《浙江省建设工程计价规则》（2018版）格式。</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2.3 工程量清单报价表中所填入的综合单价，是指完成工程量清单中的一个规定计量单位项目所需的人工费、材料费、机械费和对应的企业管理费、利润和风险费用之和。</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2.4 投标人的投标报价，应是完成本招标文件（含合同条款）上所列招标工程范围及工期的全部。投标人投标报价的计算应符合《浙江省建设工程计价依据》（2018版）有关规定。</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2.5 安全文明施工基本费费率不得低于《浙江省建设工程计价规则》（2018版）规定的下限。规费由投标人根据国家法律法规及自身缴纳规费的实际情况，自主确定其投标费率，但不得低于《浙江省建设工程计价规则》（2018版）规定的标准费率的30%。税金为不可竞争费用，按《浙江省建设工程计价规则》（2018版）和浙建建发〔2019〕92号文件规定计取。</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2.6 措施项目报价表中所填入的措施项目报价，包括采用的各种措施的费用。</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2.7 本工程量清单报价表中的每一单项均应填写单价和合价，对没有填写单价和合价的项目费用，视为已包括在工程量清单的其他单价或合价之中。</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2.8 本报价的币种为人民币。</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2.9 投标人应将投标报价需要说明的事项，用文字书写与投标报价表一并报送。</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2.10 投标人在本工程商务投标报价时应按规定格式要求在《投标总价》封页上应加盖企业公章和法定代表人或其投标授权代理人电子签章。</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2.11 工程量清单附后。</w:t>
      </w:r>
      <w:r>
        <w:rPr>
          <w:rFonts w:hint="eastAsia" w:ascii="仿宋" w:hAnsi="仿宋" w:eastAsia="仿宋" w:cs="仿宋"/>
          <w:kern w:val="2"/>
          <w:sz w:val="21"/>
          <w:szCs w:val="21"/>
          <w:lang w:val="zh-CN" w:eastAsia="zh-CN" w:bidi="ar-SA"/>
        </w:rPr>
        <w:br w:type="textWrapping"/>
      </w:r>
      <w:r>
        <w:rPr>
          <w:rFonts w:hint="eastAsia" w:ascii="仿宋" w:hAnsi="仿宋" w:eastAsia="仿宋" w:cs="仿宋"/>
          <w:b/>
          <w:bCs/>
          <w:kern w:val="2"/>
          <w:sz w:val="21"/>
          <w:szCs w:val="21"/>
          <w:lang w:val="zh-CN" w:eastAsia="zh-CN" w:bidi="ar-SA"/>
        </w:rPr>
        <w:t>3.其他说明</w:t>
      </w:r>
      <w:r>
        <w:rPr>
          <w:rFonts w:hint="eastAsia" w:ascii="仿宋" w:hAnsi="仿宋" w:eastAsia="仿宋" w:cs="仿宋"/>
          <w:b/>
          <w:bCs/>
          <w:kern w:val="2"/>
          <w:sz w:val="21"/>
          <w:szCs w:val="21"/>
          <w:lang w:val="zh-CN" w:eastAsia="zh-CN" w:bidi="ar-SA"/>
        </w:rPr>
        <w:br w:type="textWrapping"/>
      </w:r>
      <w:r>
        <w:rPr>
          <w:rFonts w:hint="eastAsia" w:ascii="仿宋" w:hAnsi="仿宋" w:eastAsia="仿宋" w:cs="仿宋"/>
          <w:kern w:val="2"/>
          <w:sz w:val="21"/>
          <w:szCs w:val="21"/>
          <w:lang w:val="zh-CN" w:eastAsia="zh-CN" w:bidi="ar-SA"/>
        </w:rPr>
        <w:t>3.1 投标文件包括第二章投标人须知所规定的内容，投标人提交的投标文件应当使用招标文件所提供的投标文件全部格式；</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3.2 本工程由招标人负责编制工程量清单，各投标人根据招标人提供的工程量清单内容进行综合单价报价。工程量清单中所列的工程数量是设计的预计数量，仅作为投标的共同基础。结算与支付应以监理工程师签证、招标人认可的，按技术规范要求完成的实际工程数量为依据，按投标人投标报价中的综合单价和招标文件规定的计算方式进行结算与支付；</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3.3 除非招标人对招标文件予以修改，投标人应按招标人提供的工程量清单中列出的工程项目和工程量填报综合单价和合价。每一项目只允许有一个报价。任何有选择的报价将不予接受。投标人未填单价或合价的工程项目，在实施后，招标人将不予以支付，并视为该项费用已包括在其他有价款的单价或合价内。招标人不接受备选方案和一次性降价，所有降价均应体现在综合单价中；</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3.4 工程量清单作为投标人投标报价的共同依据，投标人对工程量清单中所列的项目编码、项目名称、项目特征、计量单位、工程数量、暂定价均不能更改，否则视为不响应招标文件，作无效标处理；</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3.5 投标人的投标材料价格，除暂定价材料及招标人提供的材料外，均由各投标人根据各自的市场采购价格，考虑市场变化因素自行确定或按投标人须知前附表10.6要求计取；</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3.6 投标人的投标人工费，由各投标人根据市场人工价格或按投标人须知前附表10.6要求计取；</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3.7 本工程设招标控制价，招标控制价根据施工图纸、工程量清单、《浙江省建设工程计价规则（2018版）》以及有关政策性文件规定、结合本招标项目施工现场实际情况、常规施工方案和施工组织设计编制。主要材料价格、人工费按投标人须知前附表9.3要求计取；安全文明施工基本费、企业管理费及利润根据按《浙江省建设工程计价规则》（2018版）规定计取的中值计取；规费、税金按《浙江省建设工程计价规则》（2018版）规定计取。投标人认为招标控制价未按规定编制的，可按《浙江省建设工程计价规则》（2018版）规定提出质疑，投诉；</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3.8 投标文件中的单价、合价、总报价全部采用人民币表示；</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t>3.9 其他：各投标人需认真摸底人工、材料及机械的市场价并结合我市造价部门发布的信息价进行自主报价，但不得采取恶意竞标及恶性不平衡报价，扰乱招投标市场。一经评标委员会确认为恶意竞标及恶性不平衡报价属实，一律作无效标处理。</w:t>
      </w:r>
      <w:r>
        <w:rPr>
          <w:rFonts w:hint="eastAsia" w:ascii="仿宋" w:hAnsi="仿宋" w:eastAsia="仿宋" w:cs="仿宋"/>
          <w:kern w:val="2"/>
          <w:sz w:val="21"/>
          <w:szCs w:val="21"/>
          <w:lang w:val="zh-CN" w:eastAsia="zh-CN" w:bidi="ar-SA"/>
        </w:rPr>
        <w:br w:type="textWrapping"/>
      </w:r>
      <w:r>
        <w:rPr>
          <w:rFonts w:hint="eastAsia" w:ascii="仿宋" w:hAnsi="仿宋" w:eastAsia="仿宋" w:cs="仿宋"/>
          <w:kern w:val="2"/>
          <w:sz w:val="21"/>
          <w:szCs w:val="21"/>
          <w:lang w:val="zh-CN" w:eastAsia="zh-CN" w:bidi="ar-SA"/>
        </w:rPr>
        <w:br w:type="textWrapping"/>
      </w:r>
      <w:r>
        <w:rPr>
          <w:rFonts w:hint="eastAsia" w:ascii="仿宋" w:hAnsi="仿宋" w:eastAsia="仿宋" w:cs="仿宋"/>
          <w:b/>
          <w:bCs/>
          <w:kern w:val="2"/>
          <w:sz w:val="21"/>
          <w:szCs w:val="21"/>
          <w:lang w:val="zh-CN" w:eastAsia="zh-CN" w:bidi="ar-SA"/>
        </w:rPr>
        <w:t>4.工程量清单</w:t>
      </w:r>
      <w:r>
        <w:rPr>
          <w:rFonts w:hint="eastAsia" w:ascii="仿宋" w:hAnsi="仿宋" w:eastAsia="仿宋" w:cs="仿宋"/>
          <w:b/>
          <w:bCs/>
          <w:kern w:val="2"/>
          <w:sz w:val="21"/>
          <w:szCs w:val="21"/>
          <w:lang w:val="zh-CN" w:eastAsia="zh-CN" w:bidi="ar-SA"/>
        </w:rPr>
        <w:br w:type="textWrapping"/>
      </w:r>
      <w:r>
        <w:rPr>
          <w:rFonts w:hint="eastAsia" w:ascii="仿宋" w:hAnsi="仿宋" w:eastAsia="仿宋" w:cs="仿宋"/>
          <w:kern w:val="2"/>
          <w:sz w:val="21"/>
          <w:szCs w:val="21"/>
          <w:lang w:val="zh-CN" w:eastAsia="zh-CN" w:bidi="ar-SA"/>
        </w:rPr>
        <w:t>后附，投标人自行下载</w:t>
      </w:r>
    </w:p>
    <w:p>
      <w:pPr>
        <w:sectPr>
          <w:footerReference r:id="rId5" w:type="default"/>
          <w:pgSz w:w="11906" w:h="16838"/>
          <w:pgMar w:top="1440" w:right="1531" w:bottom="1440" w:left="1531" w:header="851" w:footer="992" w:gutter="0"/>
          <w:cols w:space="720" w:num="1"/>
          <w:docGrid w:type="lines" w:linePitch="312" w:charSpace="0"/>
        </w:sectPr>
      </w:pPr>
    </w:p>
    <w:bookmarkEnd w:id="633"/>
    <w:bookmarkEnd w:id="634"/>
    <w:bookmarkEnd w:id="635"/>
    <w:bookmarkEnd w:id="636"/>
    <w:bookmarkEnd w:id="637"/>
    <w:bookmarkEnd w:id="638"/>
    <w:bookmarkEnd w:id="639"/>
    <w:bookmarkEnd w:id="640"/>
    <w:bookmarkEnd w:id="641"/>
    <w:p>
      <w:pPr>
        <w:pStyle w:val="3"/>
        <w:jc w:val="center"/>
        <w:rPr>
          <w:rFonts w:ascii="仿宋_GB2312" w:eastAsia="仿宋_GB2312"/>
        </w:rPr>
      </w:pPr>
      <w:bookmarkStart w:id="642" w:name="_Toc15038"/>
      <w:bookmarkStart w:id="643" w:name="_Toc25069"/>
      <w:bookmarkStart w:id="644" w:name="_Toc24774"/>
      <w:r>
        <w:rPr>
          <w:rFonts w:hint="eastAsia" w:ascii="仿宋_GB2312" w:eastAsia="仿宋_GB2312"/>
        </w:rPr>
        <w:t>第</w:t>
      </w:r>
      <w:r>
        <w:rPr>
          <w:rFonts w:hint="eastAsia" w:ascii="仿宋_GB2312" w:eastAsia="仿宋_GB2312"/>
          <w:lang w:val="en-US" w:eastAsia="zh-CN"/>
        </w:rPr>
        <w:t>六</w:t>
      </w:r>
      <w:r>
        <w:rPr>
          <w:rFonts w:hint="eastAsia" w:ascii="仿宋_GB2312" w:eastAsia="仿宋_GB2312"/>
        </w:rPr>
        <w:t>章  投标文件格式</w:t>
      </w:r>
      <w:bookmarkEnd w:id="642"/>
      <w:bookmarkEnd w:id="643"/>
      <w:bookmarkEnd w:id="644"/>
    </w:p>
    <w:p>
      <w:pPr>
        <w:rPr>
          <w:rFonts w:ascii="仿宋_GB2312" w:eastAsia="仿宋_GB2312"/>
        </w:rPr>
        <w:sectPr>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4"/>
        <w:jc w:val="center"/>
        <w:rPr>
          <w:rFonts w:ascii="仿宋_GB2312" w:eastAsia="仿宋_GB2312"/>
          <w:b w:val="0"/>
          <w:bCs w:val="0"/>
        </w:rPr>
      </w:pPr>
      <w:bookmarkStart w:id="645" w:name="_Toc4135"/>
      <w:bookmarkStart w:id="646" w:name="_Toc33257267"/>
      <w:bookmarkStart w:id="647" w:name="_Toc30150"/>
      <w:bookmarkStart w:id="648" w:name="_Toc6894"/>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3"/>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3"/>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3"/>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3"/>
        <w:spacing w:line="500" w:lineRule="exact"/>
        <w:ind w:firstLine="840" w:firstLineChars="350"/>
        <w:rPr>
          <w:rFonts w:ascii="仿宋_GB2312" w:eastAsia="仿宋_GB2312"/>
          <w:sz w:val="24"/>
        </w:rPr>
      </w:pPr>
    </w:p>
    <w:p>
      <w:pPr>
        <w:pStyle w:val="13"/>
        <w:spacing w:line="500" w:lineRule="exact"/>
        <w:ind w:firstLine="840" w:firstLineChars="350"/>
        <w:rPr>
          <w:rFonts w:ascii="仿宋_GB2312" w:eastAsia="仿宋_GB2312"/>
          <w:sz w:val="24"/>
        </w:rPr>
      </w:pPr>
    </w:p>
    <w:p>
      <w:pPr>
        <w:pStyle w:val="13"/>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4"/>
        <w:jc w:val="center"/>
        <w:rPr>
          <w:rFonts w:ascii="仿宋_GB2312" w:eastAsia="仿宋_GB2312"/>
          <w:b w:val="0"/>
          <w:bCs w:val="0"/>
        </w:rPr>
      </w:pPr>
      <w:bookmarkStart w:id="649" w:name="_Toc5517"/>
      <w:bookmarkStart w:id="650" w:name="_Toc179632828"/>
      <w:bookmarkStart w:id="651" w:name="_Toc8010"/>
      <w:bookmarkStart w:id="652" w:name="_Toc247085891"/>
      <w:bookmarkStart w:id="653" w:name="_Toc33257268"/>
      <w:bookmarkStart w:id="654" w:name="_Toc246996373"/>
      <w:bookmarkStart w:id="655" w:name="_Toc449509920"/>
      <w:bookmarkStart w:id="656" w:name="_Toc152045808"/>
      <w:bookmarkStart w:id="657" w:name="_Toc152042597"/>
      <w:bookmarkStart w:id="658" w:name="_Toc144974876"/>
      <w:bookmarkStart w:id="659" w:name="_Toc246997116"/>
      <w:bookmarkStart w:id="660" w:name="_Toc2501"/>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4"/>
        <w:jc w:val="center"/>
      </w:pPr>
      <w:bookmarkStart w:id="661" w:name="_Toc25714"/>
      <w:bookmarkStart w:id="662" w:name="_Toc33257269"/>
      <w:bookmarkStart w:id="663" w:name="_Toc1337"/>
      <w:bookmarkStart w:id="664" w:name="_Toc25534"/>
      <w:r>
        <w:rPr>
          <w:rFonts w:hint="eastAsia" w:ascii="仿宋_GB2312" w:eastAsia="仿宋_GB2312"/>
          <w:b w:val="0"/>
          <w:bCs w:val="0"/>
        </w:rPr>
        <w:t>3、法定代表人身份证明书</w:t>
      </w:r>
      <w:bookmarkEnd w:id="661"/>
      <w:bookmarkEnd w:id="662"/>
      <w:bookmarkEnd w:id="663"/>
      <w:bookmarkEnd w:id="664"/>
    </w:p>
    <w:p>
      <w:pPr>
        <w:pStyle w:val="13"/>
        <w:spacing w:line="500" w:lineRule="exact"/>
        <w:ind w:firstLine="761" w:firstLineChars="156"/>
        <w:jc w:val="center"/>
        <w:rPr>
          <w:rFonts w:ascii="仿宋_GB2312" w:eastAsia="仿宋_GB2312"/>
          <w:bCs/>
          <w:spacing w:val="24"/>
          <w:sz w:val="44"/>
        </w:rPr>
      </w:pPr>
    </w:p>
    <w:p>
      <w:pPr>
        <w:pStyle w:val="13"/>
        <w:spacing w:line="500" w:lineRule="exact"/>
        <w:ind w:firstLine="761" w:firstLineChars="156"/>
        <w:jc w:val="center"/>
        <w:rPr>
          <w:rFonts w:ascii="仿宋_GB2312" w:eastAsia="仿宋_GB2312"/>
          <w:bCs/>
          <w:spacing w:val="24"/>
          <w:sz w:val="44"/>
        </w:rPr>
      </w:pPr>
    </w:p>
    <w:p>
      <w:pPr>
        <w:pStyle w:val="13"/>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3"/>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3"/>
        <w:spacing w:line="500" w:lineRule="exact"/>
        <w:ind w:firstLine="374" w:firstLineChars="156"/>
        <w:rPr>
          <w:rFonts w:ascii="仿宋_GB2312" w:eastAsia="仿宋_GB2312"/>
          <w:sz w:val="24"/>
        </w:rPr>
      </w:pPr>
    </w:p>
    <w:p>
      <w:pPr>
        <w:pStyle w:val="13"/>
        <w:spacing w:line="500" w:lineRule="exact"/>
        <w:ind w:firstLine="480"/>
        <w:rPr>
          <w:rFonts w:ascii="仿宋_GB2312" w:eastAsia="仿宋_GB2312"/>
          <w:sz w:val="24"/>
        </w:rPr>
      </w:pPr>
    </w:p>
    <w:p>
      <w:pPr>
        <w:pStyle w:val="13"/>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3"/>
        <w:spacing w:line="500" w:lineRule="exact"/>
        <w:ind w:firstLine="374" w:firstLineChars="156"/>
        <w:rPr>
          <w:rFonts w:ascii="仿宋_GB2312" w:eastAsia="仿宋_GB2312"/>
          <w:sz w:val="24"/>
        </w:rPr>
      </w:pPr>
    </w:p>
    <w:p>
      <w:pPr>
        <w:pStyle w:val="13"/>
        <w:spacing w:line="500" w:lineRule="exact"/>
        <w:ind w:firstLine="374" w:firstLineChars="156"/>
        <w:rPr>
          <w:rFonts w:ascii="仿宋_GB2312" w:eastAsia="仿宋_GB2312"/>
          <w:sz w:val="24"/>
        </w:rPr>
      </w:pPr>
    </w:p>
    <w:p>
      <w:pPr>
        <w:pStyle w:val="13"/>
        <w:spacing w:line="500" w:lineRule="exact"/>
        <w:ind w:firstLine="374" w:firstLineChars="156"/>
        <w:rPr>
          <w:rFonts w:ascii="仿宋_GB2312" w:eastAsia="仿宋_GB2312"/>
          <w:sz w:val="24"/>
        </w:rPr>
      </w:pPr>
    </w:p>
    <w:p>
      <w:pPr>
        <w:pStyle w:val="13"/>
        <w:spacing w:line="500" w:lineRule="exact"/>
        <w:ind w:firstLine="374" w:firstLineChars="156"/>
        <w:rPr>
          <w:rFonts w:ascii="仿宋_GB2312" w:eastAsia="仿宋_GB2312"/>
          <w:sz w:val="24"/>
        </w:rPr>
      </w:pPr>
    </w:p>
    <w:p>
      <w:pPr>
        <w:pStyle w:val="13"/>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3"/>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3"/>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3"/>
        <w:spacing w:line="500" w:lineRule="exact"/>
        <w:ind w:firstLine="312" w:firstLineChars="156"/>
        <w:jc w:val="center"/>
        <w:rPr>
          <w:rFonts w:ascii="仿宋_GB2312" w:eastAsia="仿宋_GB2312"/>
          <w:szCs w:val="21"/>
        </w:rPr>
      </w:pPr>
    </w:p>
    <w:p>
      <w:pPr>
        <w:pStyle w:val="13"/>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3"/>
        <w:spacing w:line="500" w:lineRule="exact"/>
        <w:ind w:firstLine="436" w:firstLineChars="156"/>
        <w:jc w:val="center"/>
        <w:rPr>
          <w:rFonts w:ascii="仿宋_GB2312" w:eastAsia="仿宋_GB2312"/>
          <w:sz w:val="28"/>
        </w:rPr>
      </w:pPr>
    </w:p>
    <w:p>
      <w:pPr>
        <w:pStyle w:val="13"/>
        <w:spacing w:line="500" w:lineRule="exact"/>
        <w:ind w:firstLine="560"/>
        <w:rPr>
          <w:rFonts w:ascii="仿宋_GB2312" w:eastAsia="仿宋_GB2312"/>
          <w:sz w:val="28"/>
        </w:rPr>
      </w:pPr>
    </w:p>
    <w:p>
      <w:pPr>
        <w:pStyle w:val="13"/>
        <w:spacing w:line="500" w:lineRule="exact"/>
        <w:ind w:firstLine="560"/>
        <w:rPr>
          <w:rFonts w:ascii="仿宋_GB2312" w:eastAsia="仿宋_GB2312"/>
          <w:sz w:val="28"/>
        </w:rPr>
      </w:pPr>
    </w:p>
    <w:p>
      <w:pPr>
        <w:pStyle w:val="13"/>
        <w:spacing w:line="500" w:lineRule="exact"/>
        <w:ind w:firstLine="560"/>
        <w:rPr>
          <w:rFonts w:ascii="仿宋_GB2312" w:eastAsia="仿宋_GB2312"/>
          <w:sz w:val="28"/>
        </w:rPr>
      </w:pPr>
      <w:r>
        <w:rPr>
          <w:rFonts w:hint="eastAsia" w:ascii="仿宋_GB2312" w:eastAsia="仿宋_GB2312"/>
          <w:sz w:val="28"/>
        </w:rPr>
        <w:t xml:space="preserve">             </w:t>
      </w:r>
    </w:p>
    <w:p>
      <w:pPr>
        <w:pStyle w:val="13"/>
        <w:spacing w:line="500" w:lineRule="exact"/>
        <w:ind w:firstLine="560"/>
        <w:rPr>
          <w:rFonts w:ascii="仿宋_GB2312" w:eastAsia="仿宋_GB2312"/>
          <w:sz w:val="28"/>
        </w:rPr>
      </w:pPr>
    </w:p>
    <w:p>
      <w:pPr>
        <w:pStyle w:val="4"/>
        <w:jc w:val="center"/>
        <w:rPr>
          <w:rFonts w:ascii="仿宋_GB2312" w:eastAsia="仿宋_GB2312"/>
        </w:rPr>
      </w:pPr>
      <w:bookmarkStart w:id="665" w:name="_Toc9148"/>
      <w:bookmarkStart w:id="666" w:name="_Toc6244"/>
      <w:bookmarkStart w:id="667" w:name="_Toc33257270"/>
      <w:bookmarkStart w:id="668" w:name="_Toc27783"/>
      <w:r>
        <w:rPr>
          <w:rFonts w:hint="eastAsia" w:ascii="仿宋_GB2312" w:eastAsia="仿宋_GB2312"/>
          <w:b w:val="0"/>
          <w:bCs w:val="0"/>
        </w:rPr>
        <w:t>4、投标代表授权委托书</w:t>
      </w:r>
      <w:bookmarkEnd w:id="665"/>
      <w:bookmarkEnd w:id="666"/>
      <w:bookmarkEnd w:id="667"/>
      <w:bookmarkEnd w:id="668"/>
    </w:p>
    <w:p>
      <w:pPr>
        <w:pStyle w:val="13"/>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3"/>
        <w:spacing w:line="500" w:lineRule="exact"/>
        <w:ind w:firstLine="700" w:firstLineChars="350"/>
        <w:rPr>
          <w:rFonts w:ascii="仿宋_GB2312" w:eastAsia="仿宋_GB2312"/>
          <w:szCs w:val="21"/>
        </w:rPr>
      </w:pPr>
    </w:p>
    <w:p>
      <w:pPr>
        <w:pStyle w:val="13"/>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3"/>
        <w:spacing w:line="500" w:lineRule="exact"/>
        <w:ind w:firstLine="700" w:firstLineChars="350"/>
        <w:rPr>
          <w:rFonts w:ascii="仿宋_GB2312" w:eastAsia="仿宋_GB2312"/>
          <w:szCs w:val="21"/>
        </w:rPr>
      </w:pPr>
    </w:p>
    <w:p>
      <w:pPr>
        <w:pStyle w:val="13"/>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3"/>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3"/>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3"/>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3"/>
        <w:spacing w:line="500" w:lineRule="exact"/>
        <w:ind w:firstLine="700" w:firstLineChars="350"/>
        <w:rPr>
          <w:rFonts w:ascii="仿宋_GB2312" w:eastAsia="仿宋_GB2312"/>
          <w:szCs w:val="21"/>
        </w:rPr>
      </w:pPr>
    </w:p>
    <w:p>
      <w:pPr>
        <w:pStyle w:val="13"/>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3"/>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246997099"/>
      <w:bookmarkStart w:id="670" w:name="_Toc30207"/>
      <w:bookmarkStart w:id="671" w:name="_Toc246996356"/>
      <w:bookmarkStart w:id="672" w:name="_Toc152042577"/>
      <w:bookmarkStart w:id="673" w:name="_Toc449509906"/>
      <w:bookmarkStart w:id="674" w:name="_Toc152045788"/>
      <w:bookmarkStart w:id="675" w:name="_Toc33257275"/>
      <w:bookmarkStart w:id="676" w:name="_Toc144974857"/>
      <w:bookmarkStart w:id="677" w:name="_Toc179632808"/>
      <w:bookmarkStart w:id="678" w:name="_Toc14250"/>
      <w:bookmarkStart w:id="679" w:name="_Toc247085874"/>
      <w:r>
        <w:rPr>
          <w:rFonts w:hint="eastAsia" w:ascii="仿宋_GB2312" w:eastAsia="仿宋_GB2312"/>
          <w:b w:val="0"/>
          <w:bCs w:val="0"/>
        </w:rPr>
        <w:br w:type="page"/>
      </w:r>
    </w:p>
    <w:p>
      <w:pPr>
        <w:pStyle w:val="4"/>
        <w:jc w:val="center"/>
        <w:rPr>
          <w:rFonts w:ascii="仿宋_GB2312" w:eastAsia="仿宋_GB2312"/>
          <w:b w:val="0"/>
          <w:bCs w:val="0"/>
        </w:rPr>
      </w:pPr>
      <w:bookmarkStart w:id="680" w:name="_Toc21214"/>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lang w:val="en-US" w:eastAsia="zh-CN"/>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lang w:val="en-US" w:eastAsia="zh-CN"/>
        </w:rPr>
        <w:t xml:space="preserve"> </w:t>
      </w:r>
      <w:r>
        <w:rPr>
          <w:rFonts w:hint="eastAsia" w:ascii="仿宋_GB2312" w:hAnsi="宋体" w:eastAsia="仿宋_GB2312"/>
          <w:szCs w:val="21"/>
          <w:u w:val="single"/>
        </w:rPr>
        <w:t xml:space="preserve">    </w:t>
      </w:r>
      <w:r>
        <w:rPr>
          <w:rFonts w:hint="eastAsia" w:ascii="仿宋_GB2312" w:hAnsi="宋体" w:eastAsia="仿宋_GB2312"/>
          <w:szCs w:val="21"/>
          <w:lang w:val="en-US" w:eastAsia="zh-CN"/>
        </w:rPr>
        <w:t>元</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pPr>
      <w:r>
        <w:rPr>
          <w:rFonts w:hint="eastAsia" w:ascii="仿宋_GB2312" w:hAnsi="Arial" w:eastAsia="仿宋_GB2312"/>
          <w:b/>
          <w:bCs/>
          <w:sz w:val="32"/>
          <w:szCs w:val="32"/>
        </w:rPr>
        <w:t xml:space="preserve"> </w:t>
      </w:r>
    </w:p>
    <w:p>
      <w:pPr>
        <w:pStyle w:val="4"/>
        <w:jc w:val="center"/>
        <w:rPr>
          <w:rFonts w:ascii="仿宋_GB2312" w:hAnsi="仿宋" w:eastAsia="仿宋_GB2312" w:cs="仿宋"/>
          <w:b w:val="0"/>
          <w:bCs w:val="0"/>
        </w:rPr>
      </w:pPr>
      <w:bookmarkStart w:id="681" w:name="_Toc33257276"/>
      <w:bookmarkStart w:id="682" w:name="_Toc9996"/>
      <w:bookmarkStart w:id="683" w:name="_Toc535502723"/>
      <w:bookmarkStart w:id="684" w:name="_Toc24776"/>
      <w:bookmarkStart w:id="685" w:name="_Toc29333"/>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47"/>
        <w:ind w:firstLine="400"/>
      </w:pPr>
    </w:p>
    <w:p>
      <w:pPr>
        <w:pStyle w:val="47"/>
        <w:ind w:firstLine="400"/>
      </w:pPr>
    </w:p>
    <w:p/>
    <w:p>
      <w:pPr>
        <w:pStyle w:val="4"/>
        <w:jc w:val="center"/>
        <w:rPr>
          <w:rFonts w:ascii="仿宋_GB2312" w:eastAsia="仿宋_GB2312"/>
        </w:rPr>
      </w:pPr>
      <w:bookmarkStart w:id="687" w:name="_Toc33257277"/>
      <w:bookmarkStart w:id="688" w:name="_Toc31445"/>
      <w:bookmarkStart w:id="689" w:name="_Toc23755"/>
      <w:bookmarkStart w:id="690" w:name="_Toc13752"/>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47"/>
        <w:ind w:firstLine="643"/>
        <w:rPr>
          <w:rFonts w:ascii="仿宋_GB2312" w:hAnsi="Arial" w:eastAsia="仿宋_GB2312"/>
          <w:b/>
          <w:bCs/>
          <w:sz w:val="32"/>
          <w:szCs w:val="32"/>
        </w:rPr>
      </w:pPr>
    </w:p>
    <w:p>
      <w:pPr>
        <w:pStyle w:val="47"/>
        <w:ind w:firstLine="643"/>
        <w:rPr>
          <w:rFonts w:ascii="仿宋_GB2312" w:hAnsi="Arial" w:eastAsia="仿宋_GB2312"/>
          <w:b/>
          <w:bCs/>
          <w:sz w:val="32"/>
          <w:szCs w:val="32"/>
        </w:rPr>
      </w:pPr>
    </w:p>
    <w:p>
      <w:pPr>
        <w:pStyle w:val="47"/>
        <w:ind w:firstLine="643"/>
        <w:rPr>
          <w:rFonts w:ascii="仿宋_GB2312" w:hAnsi="Arial" w:eastAsia="仿宋_GB2312"/>
          <w:b/>
          <w:bCs/>
          <w:sz w:val="32"/>
          <w:szCs w:val="32"/>
        </w:rPr>
      </w:pPr>
    </w:p>
    <w:p>
      <w:pPr>
        <w:pStyle w:val="47"/>
        <w:ind w:firstLine="643"/>
        <w:rPr>
          <w:rFonts w:ascii="仿宋_GB2312" w:hAnsi="Arial" w:eastAsia="仿宋_GB2312"/>
          <w:b/>
          <w:bCs/>
          <w:sz w:val="32"/>
          <w:szCs w:val="32"/>
        </w:rPr>
      </w:pPr>
    </w:p>
    <w:p>
      <w:pPr>
        <w:pStyle w:val="4"/>
        <w:numPr>
          <w:ilvl w:val="0"/>
          <w:numId w:val="3"/>
        </w:numPr>
        <w:spacing w:line="440" w:lineRule="exact"/>
        <w:jc w:val="center"/>
        <w:rPr>
          <w:rFonts w:ascii="仿宋" w:hAnsi="仿宋" w:eastAsia="仿宋" w:cs="仿宋"/>
          <w:sz w:val="30"/>
          <w:szCs w:val="30"/>
          <w:shd w:val="clear" w:color="auto" w:fill="FFFFFF"/>
        </w:rPr>
      </w:pPr>
      <w:bookmarkStart w:id="691" w:name="_Toc11746"/>
      <w:bookmarkStart w:id="692" w:name="_Toc17838"/>
      <w:bookmarkStart w:id="693" w:name="_Toc4104"/>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47"/>
        <w:ind w:firstLine="643"/>
        <w:rPr>
          <w:rFonts w:ascii="仿宋_GB2312" w:hAnsi="Arial" w:eastAsia="仿宋_GB2312"/>
          <w:b/>
          <w:bCs/>
          <w:sz w:val="32"/>
          <w:szCs w:val="32"/>
        </w:rPr>
      </w:pPr>
    </w:p>
    <w:p>
      <w:pPr>
        <w:spacing w:line="600" w:lineRule="exact"/>
      </w:pPr>
    </w:p>
    <w:p>
      <w:pPr>
        <w:pStyle w:val="4"/>
        <w:spacing w:line="440" w:lineRule="exact"/>
        <w:jc w:val="center"/>
        <w:rPr>
          <w:rFonts w:ascii="仿宋_GB2312" w:eastAsia="仿宋_GB2312"/>
        </w:rPr>
      </w:pPr>
      <w:bookmarkStart w:id="694" w:name="_Toc30435"/>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47"/>
      </w:pPr>
    </w:p>
    <w:p>
      <w:pPr>
        <w:pStyle w:val="47"/>
      </w:pPr>
    </w:p>
    <w:p>
      <w:pPr>
        <w:pStyle w:val="47"/>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仿宋" w:hAnsi="仿宋" w:eastAsia="仿宋" w:cs="仿宋"/>
          <w:kern w:val="2"/>
          <w:sz w:val="21"/>
          <w:szCs w:val="21"/>
          <w:lang w:val="zh-CN" w:eastAsia="zh-CN" w:bidi="ar-SA"/>
        </w:rPr>
      </w:pPr>
    </w:p>
    <w:p>
      <w:pPr>
        <w:pStyle w:val="47"/>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19"/>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DYyNzgzZDBmODAyZThkZTNlY2Q5MzgzZjJjMW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E66D8D"/>
    <w:rsid w:val="01EE084F"/>
    <w:rsid w:val="01F628FC"/>
    <w:rsid w:val="026B1259"/>
    <w:rsid w:val="038A3CD4"/>
    <w:rsid w:val="03D83F85"/>
    <w:rsid w:val="041B0A34"/>
    <w:rsid w:val="0475138C"/>
    <w:rsid w:val="04B02891"/>
    <w:rsid w:val="04DB3674"/>
    <w:rsid w:val="04EF2A2E"/>
    <w:rsid w:val="052676B9"/>
    <w:rsid w:val="059C797B"/>
    <w:rsid w:val="05C62D38"/>
    <w:rsid w:val="06135E8F"/>
    <w:rsid w:val="061600A7"/>
    <w:rsid w:val="06B4725F"/>
    <w:rsid w:val="06CE26DA"/>
    <w:rsid w:val="06E4238C"/>
    <w:rsid w:val="06F54B11"/>
    <w:rsid w:val="070B60EB"/>
    <w:rsid w:val="07182547"/>
    <w:rsid w:val="071C09FE"/>
    <w:rsid w:val="07744992"/>
    <w:rsid w:val="0840679C"/>
    <w:rsid w:val="08C362A9"/>
    <w:rsid w:val="09590CB8"/>
    <w:rsid w:val="09B057EB"/>
    <w:rsid w:val="0A2949DB"/>
    <w:rsid w:val="0A573E5E"/>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457182"/>
    <w:rsid w:val="13533D6F"/>
    <w:rsid w:val="13D12EE6"/>
    <w:rsid w:val="13DE71C4"/>
    <w:rsid w:val="14A449C1"/>
    <w:rsid w:val="15954BDF"/>
    <w:rsid w:val="159E338F"/>
    <w:rsid w:val="15AB3C47"/>
    <w:rsid w:val="15E45152"/>
    <w:rsid w:val="16195D41"/>
    <w:rsid w:val="16AF3382"/>
    <w:rsid w:val="16B46372"/>
    <w:rsid w:val="16F2325F"/>
    <w:rsid w:val="17605AF9"/>
    <w:rsid w:val="17620A24"/>
    <w:rsid w:val="17DB07D7"/>
    <w:rsid w:val="17ED5B62"/>
    <w:rsid w:val="180B67BF"/>
    <w:rsid w:val="183741A5"/>
    <w:rsid w:val="18751665"/>
    <w:rsid w:val="189D7B53"/>
    <w:rsid w:val="18B50F5C"/>
    <w:rsid w:val="195E16BF"/>
    <w:rsid w:val="19CD421E"/>
    <w:rsid w:val="19D27BCD"/>
    <w:rsid w:val="19E92E4A"/>
    <w:rsid w:val="1A230245"/>
    <w:rsid w:val="1A501008"/>
    <w:rsid w:val="1A51550A"/>
    <w:rsid w:val="1A646F27"/>
    <w:rsid w:val="1B38440C"/>
    <w:rsid w:val="1B835255"/>
    <w:rsid w:val="1BA04B6A"/>
    <w:rsid w:val="1BCF0653"/>
    <w:rsid w:val="1BDA39E6"/>
    <w:rsid w:val="1BDD3117"/>
    <w:rsid w:val="1C2C7853"/>
    <w:rsid w:val="1C7F7983"/>
    <w:rsid w:val="1C867196"/>
    <w:rsid w:val="1CBE2821"/>
    <w:rsid w:val="1CEC2EBE"/>
    <w:rsid w:val="1D9D3542"/>
    <w:rsid w:val="1DB418AE"/>
    <w:rsid w:val="1DBF436E"/>
    <w:rsid w:val="1DF5197B"/>
    <w:rsid w:val="1E6A6411"/>
    <w:rsid w:val="1EC260BF"/>
    <w:rsid w:val="1EEA2AA6"/>
    <w:rsid w:val="1EF63B7C"/>
    <w:rsid w:val="1FA871F0"/>
    <w:rsid w:val="1FD1262B"/>
    <w:rsid w:val="1FEE0112"/>
    <w:rsid w:val="200C6A27"/>
    <w:rsid w:val="207E43F5"/>
    <w:rsid w:val="20953B01"/>
    <w:rsid w:val="20A466BE"/>
    <w:rsid w:val="20AD1830"/>
    <w:rsid w:val="20CC5310"/>
    <w:rsid w:val="20EC10FC"/>
    <w:rsid w:val="20FF18F7"/>
    <w:rsid w:val="2143688A"/>
    <w:rsid w:val="21444070"/>
    <w:rsid w:val="21901C38"/>
    <w:rsid w:val="21970CBD"/>
    <w:rsid w:val="22352827"/>
    <w:rsid w:val="22534B02"/>
    <w:rsid w:val="22B67E4F"/>
    <w:rsid w:val="22E10930"/>
    <w:rsid w:val="23105FBA"/>
    <w:rsid w:val="23146CED"/>
    <w:rsid w:val="2327693B"/>
    <w:rsid w:val="23D1331D"/>
    <w:rsid w:val="23EE4518"/>
    <w:rsid w:val="240864B0"/>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D96984"/>
    <w:rsid w:val="2C2C6323"/>
    <w:rsid w:val="2C4D66A5"/>
    <w:rsid w:val="2C935876"/>
    <w:rsid w:val="2CF06607"/>
    <w:rsid w:val="2D704DFB"/>
    <w:rsid w:val="2D7F4A5E"/>
    <w:rsid w:val="2D9C517F"/>
    <w:rsid w:val="2E6F23D6"/>
    <w:rsid w:val="2E776189"/>
    <w:rsid w:val="2EC456C9"/>
    <w:rsid w:val="2EFE0BDB"/>
    <w:rsid w:val="2F204FF5"/>
    <w:rsid w:val="2F61560E"/>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C97623"/>
    <w:rsid w:val="32F20A02"/>
    <w:rsid w:val="335864C3"/>
    <w:rsid w:val="33BC4DB7"/>
    <w:rsid w:val="33CF62D7"/>
    <w:rsid w:val="33EC2138"/>
    <w:rsid w:val="34AD6241"/>
    <w:rsid w:val="34F87600"/>
    <w:rsid w:val="353377AB"/>
    <w:rsid w:val="353C15CE"/>
    <w:rsid w:val="35EE4E77"/>
    <w:rsid w:val="36035EE7"/>
    <w:rsid w:val="36AB722F"/>
    <w:rsid w:val="37381B0D"/>
    <w:rsid w:val="375241BA"/>
    <w:rsid w:val="37783E0C"/>
    <w:rsid w:val="37C618BA"/>
    <w:rsid w:val="37D22C05"/>
    <w:rsid w:val="381150B8"/>
    <w:rsid w:val="381D08BC"/>
    <w:rsid w:val="38571548"/>
    <w:rsid w:val="38D63ED7"/>
    <w:rsid w:val="38E5700B"/>
    <w:rsid w:val="38F45AF9"/>
    <w:rsid w:val="3A0A5326"/>
    <w:rsid w:val="3A255EE2"/>
    <w:rsid w:val="3A4D18CB"/>
    <w:rsid w:val="3A504BE6"/>
    <w:rsid w:val="3A874573"/>
    <w:rsid w:val="3AA13DE9"/>
    <w:rsid w:val="3AAD6C8A"/>
    <w:rsid w:val="3BB6342C"/>
    <w:rsid w:val="3BF64C14"/>
    <w:rsid w:val="3C6D238B"/>
    <w:rsid w:val="3C7F7346"/>
    <w:rsid w:val="3D1F59C6"/>
    <w:rsid w:val="3D3954D4"/>
    <w:rsid w:val="3DE77EEA"/>
    <w:rsid w:val="3DEE2A3A"/>
    <w:rsid w:val="3E412892"/>
    <w:rsid w:val="3E611186"/>
    <w:rsid w:val="3E727B5B"/>
    <w:rsid w:val="3EF44548"/>
    <w:rsid w:val="3EFA5766"/>
    <w:rsid w:val="3F220916"/>
    <w:rsid w:val="3F3E25DD"/>
    <w:rsid w:val="3F647DBA"/>
    <w:rsid w:val="3FE37250"/>
    <w:rsid w:val="40183AC7"/>
    <w:rsid w:val="405505DB"/>
    <w:rsid w:val="40B557B9"/>
    <w:rsid w:val="413E57AF"/>
    <w:rsid w:val="41C16E43"/>
    <w:rsid w:val="41CE08E1"/>
    <w:rsid w:val="425D1C65"/>
    <w:rsid w:val="42A479C0"/>
    <w:rsid w:val="42EB101F"/>
    <w:rsid w:val="42F8373B"/>
    <w:rsid w:val="4355563F"/>
    <w:rsid w:val="436F4936"/>
    <w:rsid w:val="43782C30"/>
    <w:rsid w:val="43BD6713"/>
    <w:rsid w:val="43D46CFC"/>
    <w:rsid w:val="445C130F"/>
    <w:rsid w:val="44600808"/>
    <w:rsid w:val="45B147A1"/>
    <w:rsid w:val="45EF0E26"/>
    <w:rsid w:val="460B4B06"/>
    <w:rsid w:val="46321F5A"/>
    <w:rsid w:val="46496788"/>
    <w:rsid w:val="47DB5B06"/>
    <w:rsid w:val="482C4183"/>
    <w:rsid w:val="483E7986"/>
    <w:rsid w:val="48AC2FFE"/>
    <w:rsid w:val="49375232"/>
    <w:rsid w:val="4A1962B3"/>
    <w:rsid w:val="4AE93A6A"/>
    <w:rsid w:val="4B1A519B"/>
    <w:rsid w:val="4B636241"/>
    <w:rsid w:val="4B903DD3"/>
    <w:rsid w:val="4BA6467C"/>
    <w:rsid w:val="4BBD17BB"/>
    <w:rsid w:val="4BDB1432"/>
    <w:rsid w:val="4C2061DD"/>
    <w:rsid w:val="4C704E49"/>
    <w:rsid w:val="4C8C3A02"/>
    <w:rsid w:val="4CAA7543"/>
    <w:rsid w:val="4CAD6366"/>
    <w:rsid w:val="4CC56F7F"/>
    <w:rsid w:val="4CDD1145"/>
    <w:rsid w:val="4D752DF9"/>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C2A66"/>
    <w:rsid w:val="544C4ADD"/>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96FA1"/>
    <w:rsid w:val="5E703332"/>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906150"/>
    <w:rsid w:val="66B36060"/>
    <w:rsid w:val="67551E8A"/>
    <w:rsid w:val="67C3777C"/>
    <w:rsid w:val="683E5486"/>
    <w:rsid w:val="6907617B"/>
    <w:rsid w:val="69687C2A"/>
    <w:rsid w:val="699C3EAE"/>
    <w:rsid w:val="69A231ED"/>
    <w:rsid w:val="69A71894"/>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6FE77C38"/>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46B734C"/>
    <w:rsid w:val="7477515C"/>
    <w:rsid w:val="75507BBA"/>
    <w:rsid w:val="76236746"/>
    <w:rsid w:val="76440C1D"/>
    <w:rsid w:val="76607052"/>
    <w:rsid w:val="77652BC3"/>
    <w:rsid w:val="7769765B"/>
    <w:rsid w:val="77A8537B"/>
    <w:rsid w:val="77D47CF8"/>
    <w:rsid w:val="78710B8F"/>
    <w:rsid w:val="78DB28BE"/>
    <w:rsid w:val="79126BB3"/>
    <w:rsid w:val="794D08AF"/>
    <w:rsid w:val="79916E98"/>
    <w:rsid w:val="7A5F2D03"/>
    <w:rsid w:val="7A67439E"/>
    <w:rsid w:val="7B4C03E2"/>
    <w:rsid w:val="7B9D6653"/>
    <w:rsid w:val="7BD90BF1"/>
    <w:rsid w:val="7BEB7330"/>
    <w:rsid w:val="7C0C660D"/>
    <w:rsid w:val="7C354ADD"/>
    <w:rsid w:val="7C7E6484"/>
    <w:rsid w:val="7C9B4C9D"/>
    <w:rsid w:val="7CF46746"/>
    <w:rsid w:val="7D035D77"/>
    <w:rsid w:val="7D880543"/>
    <w:rsid w:val="7DA66207"/>
    <w:rsid w:val="7DA82DA1"/>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8">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9">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0">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1">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12">
    <w:name w:val="toc 7"/>
    <w:basedOn w:val="1"/>
    <w:next w:val="1"/>
    <w:qFormat/>
    <w:uiPriority w:val="0"/>
    <w:pPr>
      <w:ind w:left="1260"/>
      <w:jc w:val="left"/>
    </w:pPr>
    <w:rPr>
      <w:sz w:val="18"/>
      <w:szCs w:val="18"/>
    </w:rPr>
  </w:style>
  <w:style w:type="paragraph" w:styleId="13">
    <w:name w:val="Normal Indent"/>
    <w:basedOn w:val="1"/>
    <w:link w:val="76"/>
    <w:qFormat/>
    <w:uiPriority w:val="0"/>
    <w:pPr>
      <w:ind w:firstLine="420" w:firstLineChars="200"/>
    </w:pPr>
    <w:rPr>
      <w:kern w:val="0"/>
      <w:sz w:val="20"/>
      <w:szCs w:val="24"/>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7"/>
    <w:qFormat/>
    <w:uiPriority w:val="99"/>
    <w:pPr>
      <w:shd w:val="clear" w:color="auto" w:fill="000080"/>
    </w:pPr>
    <w:rPr>
      <w:rFonts w:ascii="宋体"/>
      <w:kern w:val="0"/>
      <w:sz w:val="18"/>
      <w:szCs w:val="18"/>
    </w:rPr>
  </w:style>
  <w:style w:type="paragraph" w:styleId="16">
    <w:name w:val="toa heading"/>
    <w:basedOn w:val="1"/>
    <w:next w:val="1"/>
    <w:qFormat/>
    <w:uiPriority w:val="0"/>
    <w:pPr>
      <w:spacing w:before="120"/>
      <w:jc w:val="left"/>
    </w:pPr>
    <w:rPr>
      <w:rFonts w:ascii="Arial" w:hAnsi="Arial"/>
      <w:color w:val="000000"/>
      <w:kern w:val="0"/>
      <w:sz w:val="24"/>
      <w:szCs w:val="20"/>
      <w:lang w:eastAsia="en-US"/>
    </w:rPr>
  </w:style>
  <w:style w:type="paragraph" w:styleId="17">
    <w:name w:val="annotation text"/>
    <w:basedOn w:val="1"/>
    <w:link w:val="78"/>
    <w:qFormat/>
    <w:uiPriority w:val="0"/>
    <w:pPr>
      <w:jc w:val="left"/>
    </w:pPr>
    <w:rPr>
      <w:kern w:val="0"/>
      <w:sz w:val="20"/>
      <w:szCs w:val="24"/>
    </w:rPr>
  </w:style>
  <w:style w:type="paragraph" w:styleId="18">
    <w:name w:val="Body Text 3"/>
    <w:basedOn w:val="1"/>
    <w:link w:val="79"/>
    <w:qFormat/>
    <w:uiPriority w:val="0"/>
    <w:rPr>
      <w:rFonts w:ascii="宋体"/>
      <w:kern w:val="0"/>
      <w:sz w:val="24"/>
      <w:szCs w:val="20"/>
    </w:rPr>
  </w:style>
  <w:style w:type="paragraph" w:styleId="19">
    <w:name w:val="List Bullet 3"/>
    <w:basedOn w:val="1"/>
    <w:qFormat/>
    <w:uiPriority w:val="0"/>
    <w:pPr>
      <w:numPr>
        <w:ilvl w:val="0"/>
        <w:numId w:val="1"/>
      </w:numPr>
    </w:pPr>
  </w:style>
  <w:style w:type="paragraph" w:styleId="20">
    <w:name w:val="Body Text"/>
    <w:basedOn w:val="1"/>
    <w:next w:val="21"/>
    <w:link w:val="66"/>
    <w:qFormat/>
    <w:uiPriority w:val="0"/>
    <w:pPr>
      <w:spacing w:after="120"/>
    </w:pPr>
    <w:rPr>
      <w:kern w:val="0"/>
      <w:sz w:val="20"/>
      <w:szCs w:val="24"/>
    </w:rPr>
  </w:style>
  <w:style w:type="paragraph" w:styleId="21">
    <w:name w:val="Body Text First Indent"/>
    <w:basedOn w:val="20"/>
    <w:next w:val="22"/>
    <w:qFormat/>
    <w:uiPriority w:val="0"/>
    <w:pPr>
      <w:ind w:firstLine="420" w:firstLineChars="100"/>
    </w:pPr>
    <w:rPr>
      <w:sz w:val="28"/>
    </w:rPr>
  </w:style>
  <w:style w:type="paragraph" w:styleId="22">
    <w:name w:val="toc 6"/>
    <w:basedOn w:val="1"/>
    <w:next w:val="1"/>
    <w:qFormat/>
    <w:uiPriority w:val="0"/>
    <w:pPr>
      <w:ind w:left="1050"/>
      <w:jc w:val="left"/>
    </w:pPr>
    <w:rPr>
      <w:sz w:val="18"/>
      <w:szCs w:val="18"/>
    </w:rPr>
  </w:style>
  <w:style w:type="paragraph" w:styleId="23">
    <w:name w:val="Body Text Indent"/>
    <w:basedOn w:val="1"/>
    <w:link w:val="80"/>
    <w:qFormat/>
    <w:uiPriority w:val="0"/>
    <w:pPr>
      <w:spacing w:after="120"/>
      <w:ind w:left="420" w:leftChars="200"/>
    </w:pPr>
    <w:rPr>
      <w:kern w:val="0"/>
      <w:sz w:val="20"/>
      <w:szCs w:val="24"/>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4"/>
    <w:basedOn w:val="1"/>
    <w:next w:val="1"/>
    <w:qFormat/>
    <w:uiPriority w:val="0"/>
    <w:pPr>
      <w:ind w:left="630"/>
      <w:jc w:val="left"/>
    </w:pPr>
    <w:rPr>
      <w:sz w:val="18"/>
      <w:szCs w:val="18"/>
    </w:rPr>
  </w:style>
  <w:style w:type="paragraph" w:styleId="36">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Cs w:val="20"/>
    </w:rPr>
  </w:style>
  <w:style w:type="paragraph" w:styleId="38">
    <w:name w:val="footnote text"/>
    <w:basedOn w:val="1"/>
    <w:link w:val="88"/>
    <w:qFormat/>
    <w:uiPriority w:val="0"/>
    <w:rPr>
      <w:kern w:val="0"/>
      <w:sz w:val="20"/>
      <w:szCs w:val="20"/>
    </w:rPr>
  </w:style>
  <w:style w:type="paragraph" w:styleId="39">
    <w:name w:val="Body Text Indent 3"/>
    <w:basedOn w:val="1"/>
    <w:link w:val="89"/>
    <w:qFormat/>
    <w:uiPriority w:val="99"/>
    <w:pPr>
      <w:spacing w:after="120"/>
      <w:ind w:left="420" w:leftChars="200"/>
    </w:pPr>
    <w:rPr>
      <w:kern w:val="0"/>
      <w:sz w:val="16"/>
      <w:szCs w:val="16"/>
    </w:rPr>
  </w:style>
  <w:style w:type="paragraph" w:styleId="40">
    <w:name w:val="table of figures"/>
    <w:basedOn w:val="1"/>
    <w:next w:val="1"/>
    <w:qFormat/>
    <w:uiPriority w:val="0"/>
    <w:pPr>
      <w:ind w:left="200" w:leftChars="200" w:hanging="200" w:hangingChars="200"/>
    </w:pPr>
    <w:rPr>
      <w:szCs w:val="24"/>
    </w:rPr>
  </w:style>
  <w:style w:type="paragraph" w:styleId="41">
    <w:name w:val="toc 2"/>
    <w:basedOn w:val="1"/>
    <w:next w:val="1"/>
    <w:qFormat/>
    <w:uiPriority w:val="39"/>
    <w:pPr>
      <w:ind w:left="210"/>
      <w:jc w:val="left"/>
    </w:pPr>
    <w:rPr>
      <w:smallCaps/>
      <w:sz w:val="20"/>
      <w:szCs w:val="20"/>
    </w:rPr>
  </w:style>
  <w:style w:type="paragraph" w:styleId="42">
    <w:name w:val="toc 9"/>
    <w:basedOn w:val="1"/>
    <w:next w:val="1"/>
    <w:qFormat/>
    <w:uiPriority w:val="0"/>
    <w:pPr>
      <w:ind w:left="1680"/>
      <w:jc w:val="left"/>
    </w:pPr>
    <w:rPr>
      <w:sz w:val="18"/>
      <w:szCs w:val="18"/>
    </w:rPr>
  </w:style>
  <w:style w:type="paragraph" w:styleId="43">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4">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5">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6">
    <w:name w:val="annotation subject"/>
    <w:basedOn w:val="17"/>
    <w:next w:val="17"/>
    <w:link w:val="92"/>
    <w:qFormat/>
    <w:uiPriority w:val="99"/>
    <w:rPr>
      <w:b/>
      <w:bCs/>
      <w:szCs w:val="20"/>
    </w:rPr>
  </w:style>
  <w:style w:type="paragraph" w:styleId="47">
    <w:name w:val="Body Text First Indent 2"/>
    <w:basedOn w:val="23"/>
    <w:qFormat/>
    <w:uiPriority w:val="0"/>
    <w:pPr>
      <w:tabs>
        <w:tab w:val="left" w:pos="0"/>
        <w:tab w:val="left" w:pos="993"/>
        <w:tab w:val="left" w:pos="1134"/>
        <w:tab w:val="left" w:pos="7060"/>
      </w:tabs>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0"/>
    <w:semiHidden/>
    <w:qFormat/>
    <w:uiPriority w:val="99"/>
    <w:rPr>
      <w:rFonts w:ascii="Times New Roman" w:hAnsi="Times New Roman" w:eastAsia="宋体" w:cs="Times New Roman"/>
      <w:kern w:val="0"/>
      <w:sz w:val="20"/>
      <w:szCs w:val="24"/>
    </w:rPr>
  </w:style>
  <w:style w:type="character" w:customStyle="1" w:styleId="67">
    <w:name w:val="标题 1 字符"/>
    <w:link w:val="3"/>
    <w:qFormat/>
    <w:uiPriority w:val="0"/>
    <w:rPr>
      <w:rFonts w:ascii="Times New Roman" w:hAnsi="Times New Roman" w:eastAsia="宋体" w:cs="Times New Roman"/>
      <w:b/>
      <w:bCs/>
      <w:kern w:val="44"/>
      <w:sz w:val="44"/>
      <w:szCs w:val="44"/>
    </w:rPr>
  </w:style>
  <w:style w:type="character" w:customStyle="1" w:styleId="68">
    <w:name w:val="标题 2 字符1"/>
    <w:link w:val="4"/>
    <w:qFormat/>
    <w:uiPriority w:val="0"/>
    <w:rPr>
      <w:rFonts w:ascii="Arial" w:hAnsi="Arial" w:eastAsia="黑体" w:cs="Times New Roman"/>
      <w:b/>
      <w:bCs/>
      <w:kern w:val="0"/>
      <w:sz w:val="32"/>
      <w:szCs w:val="32"/>
    </w:rPr>
  </w:style>
  <w:style w:type="character" w:customStyle="1" w:styleId="69">
    <w:name w:val="标题 3 字符"/>
    <w:link w:val="5"/>
    <w:qFormat/>
    <w:uiPriority w:val="0"/>
    <w:rPr>
      <w:rFonts w:ascii="Times New Roman" w:hAnsi="Times New Roman" w:eastAsia="宋体" w:cs="Times New Roman"/>
      <w:b/>
      <w:bCs/>
      <w:kern w:val="0"/>
      <w:sz w:val="32"/>
      <w:szCs w:val="32"/>
    </w:rPr>
  </w:style>
  <w:style w:type="character" w:customStyle="1" w:styleId="70">
    <w:name w:val="标题 4 字符"/>
    <w:link w:val="6"/>
    <w:qFormat/>
    <w:uiPriority w:val="0"/>
    <w:rPr>
      <w:rFonts w:ascii="Arial" w:hAnsi="Arial" w:eastAsia="黑体" w:cs="Times New Roman"/>
      <w:b/>
      <w:bCs/>
      <w:kern w:val="0"/>
      <w:sz w:val="28"/>
      <w:szCs w:val="28"/>
    </w:rPr>
  </w:style>
  <w:style w:type="character" w:customStyle="1" w:styleId="71">
    <w:name w:val="标题 5 字符"/>
    <w:link w:val="7"/>
    <w:qFormat/>
    <w:uiPriority w:val="0"/>
    <w:rPr>
      <w:rFonts w:ascii="Calibri" w:hAnsi="Calibri" w:eastAsia="宋体" w:cs="Times New Roman"/>
      <w:b/>
      <w:bCs/>
      <w:kern w:val="0"/>
      <w:sz w:val="28"/>
      <w:szCs w:val="28"/>
    </w:rPr>
  </w:style>
  <w:style w:type="character" w:customStyle="1" w:styleId="72">
    <w:name w:val="标题 6 字符"/>
    <w:link w:val="8"/>
    <w:qFormat/>
    <w:uiPriority w:val="0"/>
    <w:rPr>
      <w:rFonts w:ascii="Arial" w:hAnsi="Arial" w:eastAsia="黑体" w:cs="Times New Roman"/>
      <w:b/>
      <w:bCs/>
      <w:kern w:val="0"/>
      <w:sz w:val="24"/>
      <w:szCs w:val="24"/>
    </w:rPr>
  </w:style>
  <w:style w:type="character" w:customStyle="1" w:styleId="73">
    <w:name w:val="标题 7 字符"/>
    <w:link w:val="9"/>
    <w:qFormat/>
    <w:uiPriority w:val="0"/>
    <w:rPr>
      <w:rFonts w:ascii="Times New Roman" w:hAnsi="Times New Roman" w:eastAsia="宋体" w:cs="Times New Roman"/>
      <w:b/>
      <w:bCs/>
      <w:kern w:val="0"/>
      <w:sz w:val="24"/>
      <w:szCs w:val="24"/>
    </w:rPr>
  </w:style>
  <w:style w:type="character" w:customStyle="1" w:styleId="74">
    <w:name w:val="标题 8 字符"/>
    <w:link w:val="10"/>
    <w:qFormat/>
    <w:uiPriority w:val="0"/>
    <w:rPr>
      <w:rFonts w:ascii="Arial" w:hAnsi="Arial" w:eastAsia="黑体" w:cs="Times New Roman"/>
      <w:kern w:val="0"/>
      <w:sz w:val="24"/>
      <w:szCs w:val="24"/>
    </w:rPr>
  </w:style>
  <w:style w:type="character" w:customStyle="1" w:styleId="75">
    <w:name w:val="标题 9 字符"/>
    <w:link w:val="11"/>
    <w:qFormat/>
    <w:uiPriority w:val="0"/>
    <w:rPr>
      <w:rFonts w:ascii="Arial" w:hAnsi="Arial" w:eastAsia="黑体" w:cs="Times New Roman"/>
      <w:kern w:val="0"/>
      <w:sz w:val="20"/>
      <w:szCs w:val="21"/>
    </w:rPr>
  </w:style>
  <w:style w:type="character" w:customStyle="1" w:styleId="76">
    <w:name w:val="正文缩进 字符"/>
    <w:link w:val="13"/>
    <w:qFormat/>
    <w:uiPriority w:val="0"/>
    <w:rPr>
      <w:rFonts w:ascii="Times New Roman" w:hAnsi="Times New Roman" w:eastAsia="宋体" w:cs="Times New Roman"/>
      <w:kern w:val="0"/>
      <w:sz w:val="20"/>
      <w:szCs w:val="24"/>
    </w:rPr>
  </w:style>
  <w:style w:type="character" w:customStyle="1" w:styleId="77">
    <w:name w:val="文档结构图 字符"/>
    <w:link w:val="15"/>
    <w:semiHidden/>
    <w:qFormat/>
    <w:uiPriority w:val="99"/>
    <w:rPr>
      <w:rFonts w:ascii="宋体" w:hAnsi="Times New Roman" w:eastAsia="宋体" w:cs="Times New Roman"/>
      <w:kern w:val="0"/>
      <w:sz w:val="18"/>
      <w:szCs w:val="18"/>
    </w:rPr>
  </w:style>
  <w:style w:type="character" w:customStyle="1" w:styleId="78">
    <w:name w:val="批注文字 字符"/>
    <w:basedOn w:val="50"/>
    <w:link w:val="17"/>
    <w:semiHidden/>
    <w:qFormat/>
    <w:uiPriority w:val="99"/>
    <w:rPr>
      <w:rFonts w:ascii="Times New Roman" w:hAnsi="Times New Roman" w:eastAsia="宋体" w:cs="Times New Roman"/>
      <w:kern w:val="0"/>
      <w:sz w:val="20"/>
      <w:szCs w:val="24"/>
    </w:rPr>
  </w:style>
  <w:style w:type="character" w:customStyle="1" w:styleId="79">
    <w:name w:val="正文文本 3 字符"/>
    <w:link w:val="18"/>
    <w:qFormat/>
    <w:uiPriority w:val="0"/>
    <w:rPr>
      <w:rFonts w:ascii="宋体" w:hAnsi="Times New Roman" w:eastAsia="宋体" w:cs="Times New Roman"/>
      <w:kern w:val="0"/>
      <w:sz w:val="24"/>
      <w:szCs w:val="20"/>
    </w:rPr>
  </w:style>
  <w:style w:type="character" w:customStyle="1" w:styleId="80">
    <w:name w:val="正文文本缩进 字符"/>
    <w:basedOn w:val="50"/>
    <w:link w:val="2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6"/>
    <w:qFormat/>
    <w:uiPriority w:val="11"/>
    <w:rPr>
      <w:rFonts w:ascii="Cambria" w:hAnsi="Cambria" w:eastAsia="宋体" w:cs="Times New Roman"/>
      <w:b/>
      <w:bCs/>
      <w:kern w:val="28"/>
      <w:sz w:val="32"/>
      <w:szCs w:val="32"/>
    </w:rPr>
  </w:style>
  <w:style w:type="character" w:customStyle="1" w:styleId="88">
    <w:name w:val="脚注文本 字符"/>
    <w:link w:val="38"/>
    <w:qFormat/>
    <w:uiPriority w:val="0"/>
    <w:rPr>
      <w:rFonts w:ascii="Times New Roman" w:hAnsi="Times New Roman" w:eastAsia="宋体" w:cs="Times New Roman"/>
      <w:kern w:val="0"/>
      <w:sz w:val="20"/>
      <w:szCs w:val="20"/>
    </w:rPr>
  </w:style>
  <w:style w:type="character" w:customStyle="1" w:styleId="89">
    <w:name w:val="正文文本缩进 3 字符"/>
    <w:link w:val="39"/>
    <w:semiHidden/>
    <w:qFormat/>
    <w:uiPriority w:val="99"/>
    <w:rPr>
      <w:rFonts w:ascii="Times New Roman" w:hAnsi="Times New Roman" w:eastAsia="宋体" w:cs="Times New Roman"/>
      <w:kern w:val="0"/>
      <w:sz w:val="16"/>
      <w:szCs w:val="16"/>
    </w:rPr>
  </w:style>
  <w:style w:type="character" w:customStyle="1" w:styleId="90">
    <w:name w:val="HTML 预设格式 字符"/>
    <w:link w:val="43"/>
    <w:semiHidden/>
    <w:qFormat/>
    <w:uiPriority w:val="99"/>
    <w:rPr>
      <w:rFonts w:ascii="Courier New" w:hAnsi="Courier New" w:eastAsia="宋体" w:cs="Times New Roman"/>
      <w:kern w:val="0"/>
      <w:sz w:val="20"/>
      <w:szCs w:val="20"/>
    </w:rPr>
  </w:style>
  <w:style w:type="character" w:customStyle="1" w:styleId="91">
    <w:name w:val="标题 字符"/>
    <w:link w:val="45"/>
    <w:qFormat/>
    <w:uiPriority w:val="10"/>
    <w:rPr>
      <w:rFonts w:ascii="Cambria" w:hAnsi="Cambria" w:eastAsia="宋体" w:cs="Times New Roman"/>
      <w:b/>
      <w:bCs/>
      <w:kern w:val="0"/>
      <w:sz w:val="32"/>
      <w:szCs w:val="32"/>
    </w:rPr>
  </w:style>
  <w:style w:type="character" w:customStyle="1" w:styleId="92">
    <w:name w:val="批注主题 字符"/>
    <w:link w:val="46"/>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4"/>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5"/>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5"/>
    <w:qFormat/>
    <w:uiPriority w:val="0"/>
    <w:rPr>
      <w:rFonts w:ascii="Tahoma" w:hAnsi="Tahoma"/>
      <w:sz w:val="24"/>
    </w:rPr>
  </w:style>
  <w:style w:type="paragraph" w:customStyle="1" w:styleId="21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5"/>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5"/>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5"/>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5"/>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5"/>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5"/>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3"/>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3"/>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2022-09-016</Company>
  <Pages>51</Pages>
  <Words>32899</Words>
  <Characters>34239</Characters>
  <Lines>260</Lines>
  <Paragraphs>73</Paragraphs>
  <TotalTime>15</TotalTime>
  <ScaleCrop>false</ScaleCrop>
  <LinksUpToDate>false</LinksUpToDate>
  <CharactersWithSpaces>37244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2022年10月28日14时30分</cp:category>
  <dcterms:created xsi:type="dcterms:W3CDTF">2022-07-28T01:06:00Z</dcterms:created>
  <dc:creator>湖州南浔城投城市建设集团有限公司</dc:creator>
  <dc:description>施工内容主要包括电梯基坑内的开挖、回填、人工挖探沟，预制桩、基础、垫层、预埋件等施工，场地内余土、渣土处理及外运、场地周围设施的原状修复，以及与本项目有关的其他施工内容，包括但不限于安全文明施工、为施工需要进行的成品保护及修复等，直至本工程竣工验收为止，具体的施工范围和工作内容以施工图、现场情况、招标人要求为准，直至满足功能性要求及设计单位、业主单位要求并达到竣工验收合格为止。其中基坑原则上须采用预制基础（如现场客观情况无法采用预制基础时，待业主单位确认后可以采用现浇基础，中标价不变，未经业主确认不可擅自更改做法）。</dc:description>
  <cp:keywords>  湖州市下塘小区、金泉花园及凤凰苑</cp:keywords>
  <cp:lastModifiedBy>微信用户</cp:lastModifiedBy>
  <cp:lastPrinted>2022-10-26T09:33:00Z</cp:lastPrinted>
  <dcterms:modified xsi:type="dcterms:W3CDTF">2022-10-26T10:19:38Z</dcterms:modified>
  <dc:subject>30</dc:subject>
  <dc:title>2022年湖州市下塘小区、金泉花园及凤凰苑三个小区共18台加装电梯土建工程项目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97E413E21B8E42598B697E16FF348312</vt:lpwstr>
  </property>
  <property fmtid="{D5CDD505-2E9C-101B-9397-08002B2CF9AE}" pid="4" name="commondata">
    <vt:lpwstr>eyJoZGlkIjoiODEzY2QwNzY3ZmUyOGMxNzc1MjU2ZTAyZWEzNWMxOTkifQ==</vt:lpwstr>
  </property>
</Properties>
</file>