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2022年頔塘厨余垃圾处理设备基础配套劳务分包工程（重新招标）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2022-11-003</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2287"/>
      <w:bookmarkStart w:id="2" w:name="_Toc152045511"/>
      <w:bookmarkStart w:id="3"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_Toc16513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_Toc16513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_Toc12565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_Toc12565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_Toc12399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_Toc12399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_Toc30614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_Toc30614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_Toc26926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_Toc26926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_Toc15149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_Toc15149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_Toc7440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_Toc7440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_Toc19253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_Toc19253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_Toc29447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_Toc29447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_Toc7104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_Toc7104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_Toc23612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_Toc23612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_Toc22845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_Toc22845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_Toc7052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_Toc7052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_Toc2719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_Toc2719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_Toc13714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_Toc13714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_Toc15777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_Toc15777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_Toc30319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_Toc30319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_Toc22020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_Toc22020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_Toc25204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_Toc25204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_Toc8202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_Toc8202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_Toc20810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_Toc20810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_Toc1910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_Toc12125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_Toc12125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_Toc8150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_Toc8150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_Toc32654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_Toc32654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_Toc20460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_Toc20460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_Toc18292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_Toc18292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_Toc16737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_Toc16737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_Toc8891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_Toc8891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_Toc32565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_Toc32565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_Toc24161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_Toc24161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_Toc16516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_Toc16516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_Toc17111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_Toc17111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_Toc2711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_Toc2711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_Toc11359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_Toc11359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_Toc27740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_Toc27740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900"/>
      <w:bookmarkStart w:id="5" w:name="_Toc247096243"/>
      <w:bookmarkStart w:id="6" w:name="_Toc16513"/>
      <w:bookmarkStart w:id="7" w:name="_Toc247085671"/>
      <w:bookmarkStart w:id="8" w:name="_Toc25400"/>
      <w:bookmarkStart w:id="9" w:name="_Toc246996157"/>
      <w:bookmarkStart w:id="10" w:name="_Toc12516"/>
      <w:bookmarkStart w:id="11" w:name="_Toc33257216"/>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79632530"/>
      <w:bookmarkStart w:id="13" w:name="_Toc449509649"/>
      <w:bookmarkStart w:id="14" w:name="_Toc144974482"/>
      <w:bookmarkStart w:id="15" w:name="_Toc247085674"/>
      <w:bookmarkStart w:id="16" w:name="_Toc152042290"/>
      <w:bookmarkStart w:id="17" w:name="_Toc152045514"/>
      <w:bookmarkStart w:id="18" w:name="_Toc246996903"/>
      <w:bookmarkStart w:id="19" w:name="_Toc24699616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2022年頔塘厨余垃圾处理设备基础配套劳务分包工程（重新招标）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565"/>
      <w:bookmarkStart w:id="22" w:name="_Toc30476"/>
      <w:bookmarkStart w:id="23" w:name="_Toc33257217"/>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2022年頔塘厨余垃圾处理设备基础配套劳务分包工程（重新招标）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2022-11-003</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7853"/>
      <w:bookmarkStart w:id="27" w:name="_Toc11431"/>
      <w:bookmarkStart w:id="28" w:name="_Toc12399"/>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湖州市南浔区頔塘府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頔塘南岸东、西区块共三处厨余垃圾处理设备混凝土基础及三通实施（基础3500*4800，厚度150，6mm圆钢100*100双向。电源6平方5芯，水普通家用小龙头）。具体的施工范围和工作内容以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按现场实际</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30614"/>
      <w:bookmarkStart w:id="31" w:name="_Toc33257219"/>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土建或市政绿化劳务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26926"/>
      <w:bookmarkStart w:id="34" w:name="_Toc6419"/>
      <w:bookmarkStart w:id="35" w:name="_Toc16173"/>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18</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20</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15149"/>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2022年11月21日9时30分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7440"/>
      <w:bookmarkStart w:id="42" w:name="_Toc32544"/>
      <w:bookmarkStart w:id="43" w:name="_Toc33257222"/>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29871"/>
      <w:bookmarkStart w:id="47" w:name="_Toc19253"/>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6996173"/>
      <w:bookmarkStart w:id="50" w:name="_Toc247085687"/>
      <w:bookmarkStart w:id="51" w:name="_Toc152042303"/>
      <w:bookmarkStart w:id="52" w:name="_Toc152045527"/>
      <w:bookmarkStart w:id="53" w:name="_Toc179632544"/>
      <w:bookmarkStart w:id="54" w:name="_Toc144974495"/>
      <w:bookmarkStart w:id="55" w:name="_Toc246996916"/>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9447"/>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7104"/>
      <w:bookmarkStart w:id="61" w:name="_Toc246996174"/>
      <w:bookmarkStart w:id="62" w:name="_Toc152042304"/>
      <w:bookmarkStart w:id="63" w:name="_Toc15081"/>
      <w:bookmarkStart w:id="64" w:name="_Toc247085688"/>
      <w:bookmarkStart w:id="65" w:name="_Toc144974496"/>
      <w:bookmarkStart w:id="66" w:name="_Toc27860"/>
      <w:bookmarkStart w:id="67" w:name="_Toc152045528"/>
      <w:bookmarkStart w:id="68" w:name="_Toc33257226"/>
      <w:bookmarkStart w:id="69" w:name="_Toc246996917"/>
      <w:bookmarkStart w:id="70" w:name="_Toc179632545"/>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2022年頔塘厨余垃圾处理设备基础配套劳务分包工程（重新招标）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按现场实际</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21</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2022年11月21日9时30分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11</w:t>
            </w:r>
            <w:r>
              <w:rPr>
                <w:rFonts w:hint="eastAsia" w:ascii="仿宋_GB2312" w:eastAsia="仿宋_GB2312"/>
                <w:szCs w:val="21"/>
              </w:rPr>
              <w:t>月</w:t>
            </w:r>
            <w:r>
              <w:rPr>
                <w:rFonts w:hint="eastAsia" w:ascii="仿宋_GB2312" w:eastAsia="仿宋_GB2312"/>
                <w:szCs w:val="21"/>
                <w:u w:val="single"/>
                <w:lang w:val="en-US" w:eastAsia="zh-CN"/>
              </w:rPr>
              <w:t>20</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6</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工程暂估价2.4万元，其中劳务暂估价7000元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2022年11月21日9时30分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33257227"/>
            <w:bookmarkStart w:id="112" w:name="_Toc152045529"/>
            <w:bookmarkStart w:id="113" w:name="_Toc179632546"/>
            <w:bookmarkStart w:id="114" w:name="_Toc246996918"/>
            <w:bookmarkStart w:id="115" w:name="_Toc152042305"/>
            <w:bookmarkStart w:id="116" w:name="_Toc246996175"/>
            <w:bookmarkStart w:id="117" w:name="_Toc247085689"/>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6574"/>
      <w:bookmarkStart w:id="121" w:name="_Toc23612"/>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2306"/>
      <w:bookmarkStart w:id="123" w:name="_Toc449509657"/>
      <w:bookmarkStart w:id="124" w:name="_Toc152045530"/>
      <w:bookmarkStart w:id="125" w:name="_Toc144974498"/>
      <w:bookmarkStart w:id="126" w:name="_Toc179632547"/>
      <w:bookmarkStart w:id="127" w:name="_Toc246996176"/>
      <w:bookmarkStart w:id="128" w:name="_Toc247085690"/>
      <w:bookmarkStart w:id="129" w:name="_Toc246996919"/>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449509658"/>
      <w:bookmarkStart w:id="135" w:name="_Toc152042307"/>
      <w:bookmarkStart w:id="136" w:name="_Toc152045531"/>
      <w:bookmarkStart w:id="137" w:name="_Toc246996177"/>
      <w:bookmarkStart w:id="138" w:name="_Toc179632548"/>
      <w:bookmarkStart w:id="139" w:name="_Toc247085691"/>
      <w:bookmarkStart w:id="140" w:name="_Toc246996920"/>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178"/>
      <w:bookmarkStart w:id="143" w:name="_Toc247085692"/>
      <w:bookmarkStart w:id="144" w:name="_Toc246996921"/>
      <w:bookmarkStart w:id="145" w:name="_Toc144974500"/>
      <w:bookmarkStart w:id="146" w:name="_Toc152045532"/>
      <w:bookmarkStart w:id="147" w:name="_Toc152042308"/>
      <w:bookmarkStart w:id="148" w:name="_Toc449509659"/>
      <w:bookmarkStart w:id="149" w:name="_Toc179632549"/>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5534"/>
      <w:bookmarkStart w:id="156" w:name="_Toc179632551"/>
      <w:bookmarkStart w:id="157" w:name="_Toc247085693"/>
      <w:bookmarkStart w:id="158" w:name="_Toc144974502"/>
      <w:bookmarkStart w:id="159" w:name="_Toc152042310"/>
      <w:bookmarkStart w:id="160" w:name="_Toc246996179"/>
      <w:bookmarkStart w:id="161" w:name="_Toc246996922"/>
      <w:bookmarkStart w:id="162" w:name="_Toc44950966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152042311"/>
      <w:bookmarkStart w:id="168" w:name="_Toc247085694"/>
      <w:bookmarkStart w:id="169" w:name="_Toc179632552"/>
      <w:bookmarkStart w:id="170" w:name="_Toc152045535"/>
      <w:bookmarkStart w:id="171" w:name="_Toc449509661"/>
      <w:bookmarkStart w:id="172" w:name="_Toc144974503"/>
      <w:bookmarkStart w:id="173" w:name="_Toc24699692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7085695"/>
      <w:bookmarkStart w:id="175" w:name="_Toc246996181"/>
      <w:bookmarkStart w:id="176" w:name="_Toc152042312"/>
      <w:bookmarkStart w:id="177" w:name="_Toc144974504"/>
      <w:bookmarkStart w:id="178" w:name="_Toc449509662"/>
      <w:bookmarkStart w:id="179" w:name="_Toc179632553"/>
      <w:bookmarkStart w:id="180" w:name="_Toc246996924"/>
      <w:bookmarkStart w:id="181" w:name="_Toc152045536"/>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5537"/>
      <w:bookmarkStart w:id="184" w:name="_Toc152042313"/>
      <w:bookmarkStart w:id="185" w:name="_Toc179632554"/>
      <w:bookmarkStart w:id="186" w:name="_Toc246996182"/>
      <w:bookmarkStart w:id="187" w:name="_Toc247085696"/>
      <w:bookmarkStart w:id="188" w:name="_Toc246996925"/>
      <w:bookmarkStart w:id="189" w:name="_Toc44950966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44974506"/>
      <w:bookmarkStart w:id="191" w:name="_Toc246996183"/>
      <w:bookmarkStart w:id="192" w:name="_Toc247085697"/>
      <w:bookmarkStart w:id="193" w:name="_Toc152045538"/>
      <w:bookmarkStart w:id="194" w:name="_Toc246996926"/>
      <w:bookmarkStart w:id="195" w:name="_Toc152042314"/>
      <w:bookmarkStart w:id="196"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44974507"/>
      <w:bookmarkStart w:id="199" w:name="_Toc247513962"/>
      <w:bookmarkStart w:id="200" w:name="_Toc152045539"/>
      <w:bookmarkStart w:id="201" w:name="_Toc152042315"/>
      <w:bookmarkStart w:id="202" w:name="_Toc247592876"/>
      <w:bookmarkStart w:id="203" w:name="_Toc247527563"/>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2316"/>
      <w:bookmarkStart w:id="207" w:name="_Toc247592877"/>
      <w:bookmarkStart w:id="208" w:name="_Toc247527564"/>
      <w:bookmarkStart w:id="209" w:name="_Toc144974508"/>
      <w:bookmarkStart w:id="210" w:name="_Toc247513963"/>
      <w:bookmarkStart w:id="211" w:name="_Toc152045540"/>
      <w:bookmarkStart w:id="212" w:name="_Toc44950966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44974510"/>
      <w:bookmarkStart w:id="215" w:name="_Toc179632560"/>
      <w:bookmarkStart w:id="216" w:name="_Toc152042318"/>
      <w:bookmarkStart w:id="217" w:name="_Toc246996187"/>
      <w:bookmarkStart w:id="218" w:name="_Toc247085701"/>
      <w:bookmarkStart w:id="219" w:name="_Toc246996930"/>
      <w:bookmarkStart w:id="220" w:name="_Toc152045542"/>
      <w:bookmarkStart w:id="221" w:name="_Toc3325722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7774"/>
      <w:bookmarkStart w:id="224" w:name="_Toc22845"/>
      <w:bookmarkStart w:id="225" w:name="_Toc11148"/>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79632561"/>
      <w:bookmarkStart w:id="227" w:name="_Toc144974511"/>
      <w:bookmarkStart w:id="228" w:name="_Toc449509669"/>
      <w:bookmarkStart w:id="229" w:name="_Toc246996931"/>
      <w:bookmarkStart w:id="230" w:name="_Toc152042319"/>
      <w:bookmarkStart w:id="231" w:name="_Toc152045543"/>
      <w:bookmarkStart w:id="232" w:name="_Toc247085702"/>
      <w:bookmarkStart w:id="233" w:name="_Toc246996188"/>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bookmarkStart w:id="695" w:name="_GoBack"/>
      <w:bookmarkEnd w:id="695"/>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932"/>
      <w:bookmarkStart w:id="236" w:name="_Toc144974512"/>
      <w:bookmarkStart w:id="237" w:name="_Toc247085703"/>
      <w:bookmarkStart w:id="238" w:name="_Toc246996189"/>
      <w:bookmarkStart w:id="239" w:name="_Toc152042320"/>
      <w:bookmarkStart w:id="240" w:name="_Toc179632562"/>
      <w:bookmarkStart w:id="241" w:name="_Toc152045544"/>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44974513"/>
      <w:bookmarkStart w:id="250" w:name="_Toc152045545"/>
      <w:bookmarkStart w:id="251" w:name="_Toc179632563"/>
      <w:bookmarkStart w:id="252" w:name="_Toc246996933"/>
      <w:bookmarkStart w:id="253" w:name="_Toc246996190"/>
      <w:bookmarkStart w:id="254" w:name="_Toc247085704"/>
      <w:bookmarkStart w:id="255" w:name="_Toc449509671"/>
      <w:bookmarkStart w:id="256" w:name="_Toc15204232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7085705"/>
      <w:bookmarkStart w:id="258" w:name="_Toc152042322"/>
      <w:bookmarkStart w:id="259" w:name="_Toc7713"/>
      <w:bookmarkStart w:id="260" w:name="_Toc144974514"/>
      <w:bookmarkStart w:id="261" w:name="_Toc29950"/>
      <w:bookmarkStart w:id="262" w:name="_Toc179632564"/>
      <w:bookmarkStart w:id="263" w:name="_Toc246996934"/>
      <w:bookmarkStart w:id="264" w:name="_Toc7052"/>
      <w:bookmarkStart w:id="265" w:name="_Toc152045546"/>
      <w:bookmarkStart w:id="266" w:name="_Toc246996191"/>
      <w:bookmarkStart w:id="267" w:name="_Toc33257229"/>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449509673"/>
      <w:bookmarkStart w:id="269" w:name="_Toc246996192"/>
      <w:bookmarkStart w:id="270" w:name="_Toc246996935"/>
      <w:bookmarkStart w:id="271" w:name="_Toc152045547"/>
      <w:bookmarkStart w:id="272" w:name="_Toc152042323"/>
      <w:bookmarkStart w:id="273" w:name="_Toc179632565"/>
      <w:bookmarkStart w:id="274" w:name="_Toc144974515"/>
      <w:bookmarkStart w:id="275" w:name="_Toc247085706"/>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5548"/>
      <w:bookmarkStart w:id="279" w:name="_Toc152042324"/>
      <w:bookmarkStart w:id="280" w:name="_Toc144974516"/>
      <w:bookmarkStart w:id="281" w:name="_Toc246996936"/>
      <w:bookmarkStart w:id="282" w:name="_Toc246996193"/>
      <w:bookmarkStart w:id="283" w:name="_Toc449509674"/>
      <w:bookmarkStart w:id="284" w:name="_Toc247085707"/>
      <w:bookmarkStart w:id="285" w:name="_Toc17963256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79632567"/>
      <w:bookmarkStart w:id="288" w:name="_Toc152042325"/>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246996194"/>
      <w:bookmarkStart w:id="292" w:name="_Toc449509675"/>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44974518"/>
      <w:bookmarkStart w:id="296" w:name="_Toc179632568"/>
      <w:bookmarkStart w:id="297" w:name="_Toc246996938"/>
      <w:bookmarkStart w:id="298" w:name="_Toc246996195"/>
      <w:bookmarkStart w:id="299" w:name="_Toc247085709"/>
      <w:bookmarkStart w:id="300" w:name="_Toc152042326"/>
      <w:bookmarkStart w:id="301" w:name="_Toc449509676"/>
      <w:bookmarkStart w:id="302" w:name="_Toc152045550"/>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44974520"/>
      <w:bookmarkStart w:id="304" w:name="_Toc246996939"/>
      <w:bookmarkStart w:id="305" w:name="_Toc247085710"/>
      <w:bookmarkStart w:id="306" w:name="_Toc152042328"/>
      <w:bookmarkStart w:id="307" w:name="_Toc246996196"/>
      <w:bookmarkStart w:id="308" w:name="_Toc152045552"/>
      <w:bookmarkStart w:id="309" w:name="_Toc17963257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940"/>
      <w:bookmarkStart w:id="312" w:name="_Toc247085711"/>
      <w:bookmarkStart w:id="313" w:name="_Toc152045553"/>
      <w:bookmarkStart w:id="314" w:name="_Toc152042329"/>
      <w:bookmarkStart w:id="315" w:name="_Toc246996197"/>
      <w:bookmarkStart w:id="316" w:name="_Toc144974521"/>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44974523"/>
      <w:bookmarkStart w:id="319" w:name="_Toc246996199"/>
      <w:bookmarkStart w:id="320" w:name="_Toc246996942"/>
      <w:bookmarkStart w:id="321" w:name="_Toc179632573"/>
      <w:bookmarkStart w:id="322" w:name="_Toc152042331"/>
      <w:bookmarkStart w:id="323" w:name="_Toc152045555"/>
      <w:bookmarkStart w:id="324" w:name="_Toc24708571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26518"/>
      <w:bookmarkStart w:id="327" w:name="_Toc33257230"/>
      <w:bookmarkStart w:id="328" w:name="_Toc2719"/>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79632575"/>
      <w:bookmarkStart w:id="330" w:name="_Toc246996201"/>
      <w:bookmarkStart w:id="331" w:name="_Toc144974525"/>
      <w:bookmarkStart w:id="332" w:name="_Toc152042333"/>
      <w:bookmarkStart w:id="333" w:name="_Toc247085715"/>
      <w:bookmarkStart w:id="334" w:name="_Toc152045557"/>
      <w:bookmarkStart w:id="335" w:name="_Toc449509680"/>
      <w:bookmarkStart w:id="336" w:name="_Toc246996944"/>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202"/>
      <w:bookmarkStart w:id="339" w:name="_Toc152042334"/>
      <w:bookmarkStart w:id="340" w:name="_Toc247085716"/>
      <w:bookmarkStart w:id="341" w:name="_Toc449509681"/>
      <w:bookmarkStart w:id="342" w:name="_Toc179632576"/>
      <w:bookmarkStart w:id="343" w:name="_Toc144974526"/>
      <w:bookmarkStart w:id="344" w:name="_Toc246996945"/>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6996203"/>
      <w:bookmarkStart w:id="347" w:name="_Toc246996946"/>
      <w:bookmarkStart w:id="348" w:name="_Toc13714"/>
      <w:bookmarkStart w:id="349" w:name="_Toc33257231"/>
      <w:bookmarkStart w:id="350" w:name="_Toc152042335"/>
      <w:bookmarkStart w:id="351" w:name="_Toc564"/>
      <w:bookmarkStart w:id="352" w:name="_Toc144974527"/>
      <w:bookmarkStart w:id="353" w:name="_Toc247085717"/>
      <w:bookmarkStart w:id="354" w:name="_Toc152045559"/>
      <w:bookmarkStart w:id="355" w:name="_Toc179632577"/>
      <w:bookmarkStart w:id="356" w:name="_Toc510"/>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44974528"/>
      <w:bookmarkStart w:id="358" w:name="_Toc449509683"/>
      <w:bookmarkStart w:id="359" w:name="_Toc152042336"/>
      <w:bookmarkStart w:id="360" w:name="_Toc246996947"/>
      <w:bookmarkStart w:id="361" w:name="_Toc179632578"/>
      <w:bookmarkStart w:id="362" w:name="_Toc152045560"/>
      <w:bookmarkStart w:id="363" w:name="_Toc246996204"/>
      <w:bookmarkStart w:id="364" w:name="_Toc24708571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179632579"/>
      <w:bookmarkStart w:id="367" w:name="_Toc247085719"/>
      <w:bookmarkStart w:id="368" w:name="_Toc246996205"/>
      <w:bookmarkStart w:id="369" w:name="_Toc152042337"/>
      <w:bookmarkStart w:id="370" w:name="_Toc246996948"/>
      <w:bookmarkStart w:id="371" w:name="_Toc152045561"/>
      <w:bookmarkStart w:id="372" w:name="_Toc14497452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949"/>
      <w:bookmarkStart w:id="377" w:name="_Toc247085720"/>
      <w:bookmarkStart w:id="378" w:name="_Toc152042338"/>
      <w:bookmarkStart w:id="379" w:name="_Toc246996206"/>
      <w:bookmarkStart w:id="380" w:name="_Toc179632580"/>
      <w:bookmarkStart w:id="381" w:name="_Toc144974530"/>
      <w:bookmarkStart w:id="382" w:name="_Toc152045562"/>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33257232"/>
      <w:bookmarkStart w:id="385" w:name="_Toc14879"/>
      <w:bookmarkStart w:id="386" w:name="_Toc15777"/>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6996950"/>
      <w:bookmarkStart w:id="388" w:name="_Toc449509687"/>
      <w:bookmarkStart w:id="389" w:name="_Toc152045563"/>
      <w:bookmarkStart w:id="390" w:name="_Toc152042339"/>
      <w:bookmarkStart w:id="391" w:name="_Toc144974531"/>
      <w:bookmarkStart w:id="392" w:name="_Toc179632581"/>
      <w:bookmarkStart w:id="393" w:name="_Toc246996207"/>
      <w:bookmarkStart w:id="394" w:name="_Toc24708572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951"/>
      <w:bookmarkStart w:id="396" w:name="_Toc152045564"/>
      <w:bookmarkStart w:id="397" w:name="_Toc152042340"/>
      <w:bookmarkStart w:id="398" w:name="_Toc246996208"/>
      <w:bookmarkStart w:id="399" w:name="_Toc449509688"/>
      <w:bookmarkStart w:id="400" w:name="_Toc247085722"/>
      <w:bookmarkStart w:id="401" w:name="_Toc144974532"/>
      <w:bookmarkStart w:id="402" w:name="_Toc17963258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449509689"/>
      <w:bookmarkStart w:id="404" w:name="_Toc144974533"/>
      <w:bookmarkStart w:id="405" w:name="_Toc179632583"/>
      <w:bookmarkStart w:id="406" w:name="_Toc152045565"/>
      <w:bookmarkStart w:id="407" w:name="_Toc246996952"/>
      <w:bookmarkStart w:id="408" w:name="_Toc152042341"/>
      <w:bookmarkStart w:id="409" w:name="_Toc247085723"/>
      <w:bookmarkStart w:id="410" w:name="_Toc24699620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6996953"/>
      <w:bookmarkStart w:id="412" w:name="_Toc5728"/>
      <w:bookmarkStart w:id="413" w:name="_Toc247085724"/>
      <w:bookmarkStart w:id="414" w:name="_Toc144974534"/>
      <w:bookmarkStart w:id="415" w:name="_Toc152042342"/>
      <w:bookmarkStart w:id="416" w:name="_Toc179632584"/>
      <w:bookmarkStart w:id="417" w:name="_Toc246996210"/>
      <w:bookmarkStart w:id="418" w:name="_Toc30878"/>
      <w:bookmarkStart w:id="419" w:name="_Toc33257233"/>
      <w:bookmarkStart w:id="420" w:name="_Toc30319"/>
      <w:bookmarkStart w:id="421" w:name="_Toc152045566"/>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7085725"/>
      <w:bookmarkStart w:id="423" w:name="_Toc179632585"/>
      <w:bookmarkStart w:id="424" w:name="_Toc152042343"/>
      <w:bookmarkStart w:id="425" w:name="_Toc449509691"/>
      <w:bookmarkStart w:id="426" w:name="_Toc144974535"/>
      <w:bookmarkStart w:id="427" w:name="_Toc246996211"/>
      <w:bookmarkStart w:id="428" w:name="_Toc246996954"/>
      <w:bookmarkStart w:id="429" w:name="_Toc152045567"/>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52042344"/>
      <w:bookmarkStart w:id="432" w:name="_Toc247085726"/>
      <w:bookmarkStart w:id="433" w:name="_Toc179632586"/>
      <w:bookmarkStart w:id="434" w:name="_Toc246996212"/>
      <w:bookmarkStart w:id="435" w:name="_Toc144974536"/>
      <w:bookmarkStart w:id="436" w:name="_Toc449509693"/>
      <w:bookmarkStart w:id="437" w:name="_Toc152045568"/>
      <w:bookmarkStart w:id="438" w:name="_Toc246996955"/>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213"/>
      <w:bookmarkStart w:id="440" w:name="_Toc246996956"/>
      <w:bookmarkStart w:id="441" w:name="_Toc179632587"/>
      <w:bookmarkStart w:id="442" w:name="_Toc247085727"/>
      <w:bookmarkStart w:id="443" w:name="_Toc152042345"/>
      <w:bookmarkStart w:id="444" w:name="_Toc449509694"/>
      <w:bookmarkStart w:id="445" w:name="_Toc152045569"/>
      <w:bookmarkStart w:id="446" w:name="_Toc14497453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449509695"/>
      <w:bookmarkStart w:id="448" w:name="_Toc144974538"/>
      <w:bookmarkStart w:id="449" w:name="_Toc179632588"/>
      <w:bookmarkStart w:id="450" w:name="_Toc246996957"/>
      <w:bookmarkStart w:id="451" w:name="_Toc152045570"/>
      <w:bookmarkStart w:id="452" w:name="_Toc247085728"/>
      <w:bookmarkStart w:id="453" w:name="_Toc246996214"/>
      <w:bookmarkStart w:id="454" w:name="_Toc152042346"/>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33257234"/>
      <w:bookmarkStart w:id="457" w:name="_Toc17888"/>
      <w:bookmarkStart w:id="458" w:name="_Toc2202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449509697"/>
      <w:bookmarkStart w:id="460" w:name="_Toc144974543"/>
      <w:bookmarkStart w:id="461" w:name="_Toc246996962"/>
      <w:bookmarkStart w:id="462" w:name="_Toc179632593"/>
      <w:bookmarkStart w:id="463" w:name="_Toc152045575"/>
      <w:bookmarkStart w:id="464" w:name="_Toc246996219"/>
      <w:bookmarkStart w:id="465" w:name="_Toc296590983"/>
      <w:bookmarkStart w:id="466" w:name="_Toc247085733"/>
      <w:bookmarkStart w:id="467" w:name="_Toc152042351"/>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44974544"/>
      <w:bookmarkStart w:id="469" w:name="_Toc152045576"/>
      <w:bookmarkStart w:id="470" w:name="_Toc152042352"/>
      <w:bookmarkStart w:id="471" w:name="_Toc449509698"/>
      <w:bookmarkStart w:id="472" w:name="_Toc179632594"/>
      <w:bookmarkStart w:id="473" w:name="_Toc246996963"/>
      <w:bookmarkStart w:id="474" w:name="_Toc247085734"/>
      <w:bookmarkStart w:id="475" w:name="_Toc246996220"/>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52042353"/>
      <w:bookmarkStart w:id="477" w:name="_Toc144974545"/>
      <w:bookmarkStart w:id="478" w:name="_Toc449509699"/>
      <w:bookmarkStart w:id="479" w:name="_Toc247085735"/>
      <w:bookmarkStart w:id="480" w:name="_Toc179632595"/>
      <w:bookmarkStart w:id="481" w:name="_Toc246996964"/>
      <w:bookmarkStart w:id="482" w:name="_Toc152045577"/>
      <w:bookmarkStart w:id="483" w:name="_Toc246996221"/>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449509700"/>
      <w:bookmarkStart w:id="485" w:name="_Toc179632596"/>
      <w:bookmarkStart w:id="486" w:name="_Toc152045578"/>
      <w:bookmarkStart w:id="487" w:name="_Toc247085736"/>
      <w:bookmarkStart w:id="488" w:name="_Toc152042354"/>
      <w:bookmarkStart w:id="489" w:name="_Toc246996222"/>
      <w:bookmarkStart w:id="490" w:name="_Toc246996965"/>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246996223"/>
      <w:bookmarkStart w:id="495" w:name="_Toc449509701"/>
      <w:bookmarkStart w:id="496" w:name="_Toc246996966"/>
      <w:bookmarkStart w:id="497" w:name="_Toc152042356"/>
      <w:bookmarkStart w:id="498" w:name="_Toc152045579"/>
      <w:bookmarkStart w:id="499" w:name="_Toc17963259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6996224"/>
      <w:bookmarkStart w:id="501" w:name="_Toc25204"/>
      <w:bookmarkStart w:id="502" w:name="_Toc152042357"/>
      <w:bookmarkStart w:id="503" w:name="_Toc246996967"/>
      <w:bookmarkStart w:id="504" w:name="_Toc14793"/>
      <w:bookmarkStart w:id="505" w:name="_Toc179632598"/>
      <w:bookmarkStart w:id="506" w:name="_Toc152045580"/>
      <w:bookmarkStart w:id="507" w:name="_Toc33257235"/>
      <w:bookmarkStart w:id="508" w:name="_Toc27973"/>
      <w:bookmarkStart w:id="509" w:name="_Toc144974547"/>
      <w:bookmarkStart w:id="510" w:name="_Toc24708573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8202"/>
      <w:bookmarkStart w:id="513" w:name="_Toc9085"/>
      <w:bookmarkStart w:id="514" w:name="_Toc14560"/>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2375"/>
      <w:bookmarkStart w:id="516" w:name="_Toc246996984"/>
      <w:bookmarkStart w:id="517" w:name="_Toc144974565"/>
      <w:bookmarkStart w:id="518" w:name="_Toc247085756"/>
      <w:bookmarkStart w:id="519" w:name="_Toc246996241"/>
      <w:bookmarkStart w:id="520" w:name="_Toc152045598"/>
      <w:bookmarkStart w:id="52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2081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52045599"/>
      <w:bookmarkStart w:id="527" w:name="_Toc152042376"/>
      <w:bookmarkStart w:id="528" w:name="_Toc247085757"/>
      <w:bookmarkStart w:id="529" w:name="_Toc18103"/>
      <w:bookmarkStart w:id="530" w:name="_Toc449509707"/>
      <w:bookmarkStart w:id="531" w:name="_Toc246996242"/>
      <w:bookmarkStart w:id="532" w:name="_Toc144974566"/>
      <w:bookmarkStart w:id="533" w:name="_Toc1910"/>
      <w:bookmarkStart w:id="534" w:name="_Toc179632617"/>
      <w:bookmarkStart w:id="535" w:name="第三章评标办法前附表"/>
      <w:bookmarkStart w:id="536" w:name="_Toc8097"/>
      <w:bookmarkStart w:id="537" w:name="_Toc33257239"/>
      <w:bookmarkStart w:id="538" w:name="_Toc246996985"/>
      <w:bookmarkStart w:id="539" w:name="_Toc152045609"/>
      <w:bookmarkStart w:id="540" w:name="_Toc246996995"/>
      <w:bookmarkStart w:id="541" w:name="_Toc246996252"/>
      <w:bookmarkStart w:id="542" w:name="_Toc144974577"/>
      <w:bookmarkStart w:id="543" w:name="_Toc179632627"/>
      <w:bookmarkStart w:id="544" w:name="_Toc247085767"/>
      <w:bookmarkStart w:id="545" w:name="_Toc15204238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土建</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986"/>
      <w:bookmarkStart w:id="547" w:name="_Toc247085758"/>
      <w:bookmarkStart w:id="548" w:name="_Toc152045600"/>
      <w:bookmarkStart w:id="549" w:name="_Toc144974567"/>
      <w:bookmarkStart w:id="550" w:name="_Toc449509708"/>
      <w:bookmarkStart w:id="551" w:name="_Toc246996243"/>
      <w:bookmarkStart w:id="552" w:name="_Toc179632618"/>
      <w:bookmarkStart w:id="553" w:name="_Toc15204237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31379"/>
      <w:bookmarkStart w:id="557" w:name="_Toc23857"/>
      <w:bookmarkStart w:id="558" w:name="_Toc12125"/>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44974568"/>
      <w:bookmarkStart w:id="560" w:name="_Toc449509709"/>
      <w:bookmarkStart w:id="561" w:name="_Toc8150"/>
      <w:bookmarkStart w:id="562" w:name="_Toc33257241"/>
      <w:bookmarkStart w:id="563" w:name="_Toc28726"/>
      <w:bookmarkStart w:id="564" w:name="_Toc152045601"/>
      <w:bookmarkStart w:id="565" w:name="_Toc152042378"/>
      <w:bookmarkStart w:id="566" w:name="_Toc246996244"/>
      <w:bookmarkStart w:id="567" w:name="_Toc23877"/>
      <w:bookmarkStart w:id="568" w:name="_Toc179632619"/>
      <w:bookmarkStart w:id="569" w:name="_Toc247085759"/>
      <w:bookmarkStart w:id="570" w:name="_Toc246996987"/>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245"/>
      <w:bookmarkStart w:id="572" w:name="_Toc152045602"/>
      <w:bookmarkStart w:id="573" w:name="_Toc246996988"/>
      <w:bookmarkStart w:id="574" w:name="_Toc152042379"/>
      <w:bookmarkStart w:id="575" w:name="_Toc179632620"/>
      <w:bookmarkStart w:id="576" w:name="_Toc247085760"/>
      <w:bookmarkStart w:id="577" w:name="_Toc144974569"/>
      <w:bookmarkStart w:id="578" w:name="_Toc44950971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989"/>
      <w:bookmarkStart w:id="580" w:name="_Toc449509711"/>
      <w:bookmarkStart w:id="581" w:name="_Toc152045603"/>
      <w:bookmarkStart w:id="582" w:name="_Toc152042380"/>
      <w:bookmarkStart w:id="583" w:name="_Toc144974570"/>
      <w:bookmarkStart w:id="584" w:name="_Toc246996246"/>
      <w:bookmarkStart w:id="585" w:name="_Toc179632621"/>
      <w:bookmarkStart w:id="586" w:name="_Toc24708576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52042381"/>
      <w:bookmarkStart w:id="588" w:name="_Toc144974571"/>
      <w:bookmarkStart w:id="589" w:name="_Toc179632622"/>
      <w:bookmarkStart w:id="590" w:name="_Toc246996247"/>
      <w:bookmarkStart w:id="591" w:name="_Toc449509712"/>
      <w:bookmarkStart w:id="592" w:name="_Toc33257242"/>
      <w:bookmarkStart w:id="593" w:name="_Toc246996990"/>
      <w:bookmarkStart w:id="594" w:name="_Toc247085762"/>
      <w:bookmarkStart w:id="595" w:name="_Toc152045604"/>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32654"/>
      <w:bookmarkStart w:id="597" w:name="_Toc2888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7085763"/>
      <w:bookmarkStart w:id="600" w:name="_Toc144974572"/>
      <w:bookmarkStart w:id="601" w:name="_Toc246996248"/>
      <w:bookmarkStart w:id="602" w:name="_Toc449509713"/>
      <w:bookmarkStart w:id="603" w:name="_Toc246996991"/>
      <w:bookmarkStart w:id="604" w:name="_Toc179632623"/>
      <w:bookmarkStart w:id="605" w:name="_Toc152045605"/>
      <w:bookmarkStart w:id="606" w:name="_Toc15204238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7085764"/>
      <w:bookmarkStart w:id="609" w:name="_Toc152042384"/>
      <w:bookmarkStart w:id="610" w:name="_Toc152045606"/>
      <w:bookmarkStart w:id="611" w:name="_Toc246996992"/>
      <w:bookmarkStart w:id="612" w:name="_Toc449509714"/>
      <w:bookmarkStart w:id="613" w:name="_Toc179632624"/>
      <w:bookmarkStart w:id="614" w:name="_Toc144974573"/>
      <w:bookmarkStart w:id="615" w:name="_Toc246996249"/>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79632625"/>
      <w:bookmarkStart w:id="618" w:name="_Toc152045607"/>
      <w:bookmarkStart w:id="619" w:name="_Toc449509715"/>
      <w:bookmarkStart w:id="620" w:name="_Toc152042385"/>
      <w:bookmarkStart w:id="621" w:name="_Toc247085765"/>
      <w:bookmarkStart w:id="622" w:name="_Toc246996250"/>
      <w:bookmarkStart w:id="623" w:name="_Toc246996993"/>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jc w:val="center"/>
        <w:rPr>
          <w:rFonts w:ascii="仿宋_GB2312" w:eastAsia="仿宋_GB2312"/>
        </w:rPr>
      </w:pPr>
      <w:bookmarkStart w:id="632" w:name="_Toc20460"/>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246997093"/>
      <w:bookmarkStart w:id="634" w:name="_Toc152042571"/>
      <w:bookmarkStart w:id="635" w:name="_Toc152045782"/>
      <w:bookmarkStart w:id="636" w:name="_Toc33257265"/>
      <w:bookmarkStart w:id="637" w:name="_Toc247096438"/>
      <w:bookmarkStart w:id="638" w:name="_Toc247085866"/>
      <w:bookmarkStart w:id="639" w:name="_Toc179632800"/>
      <w:bookmarkStart w:id="640" w:name="_Toc144974851"/>
      <w:bookmarkStart w:id="641" w:name="_Toc24699635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2022年頔塘厨余垃圾处理设备基础配套劳务分包工程（重新招标）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湖州市南浔区頔塘府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頔塘南岸东、西区块共三处厨余垃圾处理设备混凝土基础及三通实施（基础3500*4800，厚度150，6mm圆钢100*100双向。电源6平方5芯，水普通家用小龙头）。具体的施工范围和工作内容以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工程暂估价2.4万元，其中劳务暂估价7000元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rPr>
        <w:t>不含招标人与业主单位的合同下浮费率</w:t>
      </w:r>
      <w:r>
        <w:rPr>
          <w:rFonts w:hint="eastAsia" w:ascii="仿宋" w:hAnsi="仿宋" w:eastAsia="仿宋" w:cs="仿宋"/>
          <w:color w:val="000000"/>
          <w:szCs w:val="21"/>
          <w:highlight w:val="yellow"/>
          <w:u w:val="none"/>
          <w:lang w:val="en-US" w:eastAsia="zh-CN"/>
        </w:rPr>
        <w:t>3</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按现场实际</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 xml:space="preserve">的50%， </w:t>
      </w:r>
      <w:r>
        <w:rPr>
          <w:rFonts w:hint="eastAsia" w:ascii="仿宋" w:hAnsi="仿宋" w:eastAsia="仿宋" w:cs="仿宋"/>
          <w:szCs w:val="21"/>
          <w:highlight w:val="yellow"/>
          <w:lang w:val="en-US" w:eastAsia="zh-CN"/>
        </w:rPr>
        <w:t>工程完工后</w:t>
      </w:r>
      <w:r>
        <w:rPr>
          <w:rFonts w:hint="eastAsia" w:ascii="仿宋" w:hAnsi="仿宋" w:eastAsia="仿宋" w:cs="仿宋"/>
          <w:szCs w:val="21"/>
          <w:highlight w:val="yellow"/>
          <w:lang w:val="zh-CN"/>
        </w:rPr>
        <w:t>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bookmarkEnd w:id="633"/>
    <w:bookmarkEnd w:id="634"/>
    <w:bookmarkEnd w:id="635"/>
    <w:bookmarkEnd w:id="636"/>
    <w:bookmarkEnd w:id="637"/>
    <w:bookmarkEnd w:id="638"/>
    <w:bookmarkEnd w:id="639"/>
    <w:bookmarkEnd w:id="640"/>
    <w:bookmarkEnd w:id="641"/>
    <w:p>
      <w:pPr>
        <w:jc w:val="both"/>
        <w:rPr>
          <w:rFonts w:hint="eastAsia" w:ascii="仿宋_GB2312" w:eastAsia="仿宋_GB2312"/>
        </w:rPr>
      </w:pPr>
      <w:bookmarkStart w:id="642" w:name="_Toc25069"/>
      <w:bookmarkStart w:id="643" w:name="_Toc15038"/>
    </w:p>
    <w:p>
      <w:pPr>
        <w:pStyle w:val="4"/>
        <w:jc w:val="center"/>
        <w:rPr>
          <w:rFonts w:ascii="仿宋_GB2312" w:eastAsia="仿宋_GB2312"/>
        </w:rPr>
      </w:pPr>
      <w:bookmarkStart w:id="644" w:name="_Toc18292"/>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16737"/>
      <w:bookmarkStart w:id="646" w:name="_Toc30150"/>
      <w:bookmarkStart w:id="647" w:name="_Toc33257267"/>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152042597"/>
      <w:bookmarkStart w:id="650" w:name="_Toc144974876"/>
      <w:bookmarkStart w:id="651" w:name="_Toc5517"/>
      <w:bookmarkStart w:id="652" w:name="_Toc246996373"/>
      <w:bookmarkStart w:id="653" w:name="_Toc33257268"/>
      <w:bookmarkStart w:id="654" w:name="_Toc247085891"/>
      <w:bookmarkStart w:id="655" w:name="_Toc449509920"/>
      <w:bookmarkStart w:id="656" w:name="_Toc179632828"/>
      <w:bookmarkStart w:id="657" w:name="_Toc8891"/>
      <w:bookmarkStart w:id="658" w:name="_Toc152045808"/>
      <w:bookmarkStart w:id="659" w:name="_Toc2501"/>
      <w:bookmarkStart w:id="660" w:name="_Toc246997116"/>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337"/>
      <w:bookmarkStart w:id="662" w:name="_Toc25714"/>
      <w:bookmarkStart w:id="663" w:name="_Toc33257269"/>
      <w:bookmarkStart w:id="664" w:name="_Toc32565"/>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6244"/>
      <w:bookmarkStart w:id="666" w:name="_Toc33257270"/>
      <w:bookmarkStart w:id="667" w:name="_Toc24161"/>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14250"/>
      <w:bookmarkStart w:id="670" w:name="_Toc33257275"/>
      <w:bookmarkStart w:id="671" w:name="_Toc179632808"/>
      <w:bookmarkStart w:id="672" w:name="_Toc246996356"/>
      <w:bookmarkStart w:id="673" w:name="_Toc30207"/>
      <w:bookmarkStart w:id="674" w:name="_Toc152042577"/>
      <w:bookmarkStart w:id="675" w:name="_Toc449509906"/>
      <w:bookmarkStart w:id="676" w:name="_Toc152045788"/>
      <w:bookmarkStart w:id="677" w:name="_Toc16516"/>
      <w:bookmarkStart w:id="678" w:name="_Toc246997099"/>
      <w:bookmarkStart w:id="679" w:name="_Toc144974857"/>
      <w:bookmarkStart w:id="680" w:name="_Toc247085874"/>
      <w:r>
        <w:rPr>
          <w:rFonts w:hint="eastAsia" w:ascii="仿宋_GB2312" w:eastAsia="仿宋_GB2312"/>
          <w:b w:val="0"/>
          <w:bCs w:val="0"/>
        </w:rPr>
        <w:br w:type="page"/>
      </w:r>
    </w:p>
    <w:p>
      <w:pPr>
        <w:pStyle w:val="5"/>
        <w:jc w:val="center"/>
        <w:rPr>
          <w:rFonts w:ascii="仿宋_GB2312" w:eastAsia="仿宋_GB2312"/>
          <w:b w:val="0"/>
          <w:bCs w:val="0"/>
        </w:rPr>
      </w:pPr>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24776"/>
      <w:bookmarkStart w:id="682" w:name="_Toc33257276"/>
      <w:bookmarkStart w:id="683" w:name="_Toc9996"/>
      <w:bookmarkStart w:id="684" w:name="_Toc535502723"/>
      <w:bookmarkStart w:id="685" w:name="_Toc17111"/>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2711"/>
      <w:bookmarkStart w:id="688" w:name="_Toc33257277"/>
      <w:bookmarkStart w:id="689" w:name="_Toc13752"/>
      <w:bookmarkStart w:id="690" w:name="_Toc31445"/>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38"/>
      <w:bookmarkStart w:id="692" w:name="_Toc11359"/>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7740"/>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3F33B7"/>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457182"/>
    <w:rsid w:val="13533D6F"/>
    <w:rsid w:val="13D12EE6"/>
    <w:rsid w:val="13DE71C4"/>
    <w:rsid w:val="142474B9"/>
    <w:rsid w:val="14A449C1"/>
    <w:rsid w:val="15954BDF"/>
    <w:rsid w:val="159E338F"/>
    <w:rsid w:val="15AB3C47"/>
    <w:rsid w:val="15E45152"/>
    <w:rsid w:val="16195D41"/>
    <w:rsid w:val="16AF3382"/>
    <w:rsid w:val="16B46372"/>
    <w:rsid w:val="16F2325F"/>
    <w:rsid w:val="17620A24"/>
    <w:rsid w:val="17DB07D7"/>
    <w:rsid w:val="17ED5B62"/>
    <w:rsid w:val="180B67BF"/>
    <w:rsid w:val="183741A5"/>
    <w:rsid w:val="189D7B53"/>
    <w:rsid w:val="18B50F5C"/>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903DD3"/>
    <w:rsid w:val="4BA6467C"/>
    <w:rsid w:val="4BBD17BB"/>
    <w:rsid w:val="4BDB1432"/>
    <w:rsid w:val="4C2061DD"/>
    <w:rsid w:val="4C704E49"/>
    <w:rsid w:val="4C8C3A02"/>
    <w:rsid w:val="4CAA7543"/>
    <w:rsid w:val="4CAD6366"/>
    <w:rsid w:val="4CC56F7F"/>
    <w:rsid w:val="4CDD1145"/>
    <w:rsid w:val="4D2E043B"/>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46B734C"/>
    <w:rsid w:val="75507BBA"/>
    <w:rsid w:val="76236746"/>
    <w:rsid w:val="76440C1D"/>
    <w:rsid w:val="76607052"/>
    <w:rsid w:val="77652BC3"/>
    <w:rsid w:val="7769765B"/>
    <w:rsid w:val="77A8537B"/>
    <w:rsid w:val="77D47CF8"/>
    <w:rsid w:val="77F05DF0"/>
    <w:rsid w:val="78710B8F"/>
    <w:rsid w:val="79126BB3"/>
    <w:rsid w:val="794D08AF"/>
    <w:rsid w:val="79916E98"/>
    <w:rsid w:val="79BA6C6F"/>
    <w:rsid w:val="7A5F2D03"/>
    <w:rsid w:val="7A67439E"/>
    <w:rsid w:val="7B4C03E2"/>
    <w:rsid w:val="7B9D6653"/>
    <w:rsid w:val="7BD90BF1"/>
    <w:rsid w:val="7BEB7330"/>
    <w:rsid w:val="7C0C660D"/>
    <w:rsid w:val="7C354ADD"/>
    <w:rsid w:val="7C7E6484"/>
    <w:rsid w:val="7C9B4C9D"/>
    <w:rsid w:val="7CF46746"/>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2022-11-003</Company>
  <Pages>45</Pages>
  <Words>30197</Words>
  <Characters>31456</Characters>
  <Lines>260</Lines>
  <Paragraphs>73</Paragraphs>
  <TotalTime>1</TotalTime>
  <ScaleCrop>false</ScaleCrop>
  <LinksUpToDate>false</LinksUpToDate>
  <CharactersWithSpaces>34408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2022年11月21日9时30分</cp:category>
  <dcterms:created xsi:type="dcterms:W3CDTF">2022-07-28T01:06:00Z</dcterms:created>
  <dc:creator>湖州南浔城投城市建设集团有限公司</dc:creator>
  <dc:description>頔塘南岸东、西区块共三处厨余垃圾处理设备混凝土基础及三通实施（基础3500*4800，厚度150，6mm圆钢100*100双向。电源6平方5芯，水普通家用小龙头）。具体的施工范围和工作内容以现场情况、招标人要求为准，直至满足功能性要求及设计单位、业主单位要求并达到竣工验收合格为止。</dc:description>
  <cp:keywords>湖州市南浔区頔塘府</cp:keywords>
  <cp:lastModifiedBy>城投</cp:lastModifiedBy>
  <cp:lastPrinted>2022-11-11T06:32:00Z</cp:lastPrinted>
  <dcterms:modified xsi:type="dcterms:W3CDTF">2022-11-17T00:38:55Z</dcterms:modified>
  <dc:subject>按现场实际</dc:subject>
  <dc:title>2022年頔塘厨余垃圾处理设备基础配套劳务分包工程（重新招标）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