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jc w:val="center"/>
        <w:rPr>
          <w:rFonts w:hint="eastAsia" w:ascii="仿宋" w:hAnsi="仿宋" w:eastAsia="仿宋" w:cs="仿宋"/>
          <w:snapToGrid w:val="0"/>
          <w:sz w:val="52"/>
          <w:szCs w:val="52"/>
          <w:lang w:eastAsia="zh-CN"/>
        </w:rPr>
      </w:pPr>
      <w:bookmarkStart w:id="0" w:name="_Toc246996898"/>
      <w:bookmarkStart w:id="1" w:name="_Toc296602400"/>
      <w:bookmarkStart w:id="2" w:name="_Toc247085669"/>
      <w:bookmarkStart w:id="3" w:name="_Toc144974482"/>
      <w:bookmarkStart w:id="4" w:name="_Toc449509649"/>
      <w:bookmarkStart w:id="5" w:name="_Toc246996903"/>
      <w:bookmarkStart w:id="6" w:name="_Toc247085674"/>
      <w:bookmarkStart w:id="7" w:name="_Toc179632530"/>
      <w:bookmarkStart w:id="8" w:name="_Toc152042290"/>
      <w:bookmarkStart w:id="9" w:name="_Toc246996160"/>
      <w:bookmarkStart w:id="10" w:name="_Toc152045514"/>
      <w:sdt>
        <w:sdtPr>
          <w:rPr>
            <w:rFonts w:hint="eastAsia" w:ascii="仿宋" w:hAnsi="仿宋" w:eastAsia="仿宋" w:cs="仿宋"/>
            <w:snapToGrid w:val="0"/>
            <w:kern w:val="2"/>
            <w:sz w:val="52"/>
            <w:szCs w:val="52"/>
            <w:lang w:val="en-US" w:eastAsia="zh-CN" w:bidi="ar-SA"/>
          </w:rPr>
          <w:id w:val="147465292"/>
          <w:placeholder>
            <w:docPart w:val="{b838d18b-3815-452b-8c20-6e985f50b75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52"/>
              <w:szCs w:val="52"/>
              <w:lang w:val="en-US" w:eastAsia="zh-CN" w:bidi="ar-SA"/>
            </w:rPr>
            <w:t>2023年香草园路B段绿化劳务分包工程</w:t>
          </w:r>
        </w:sdtContent>
      </w:sdt>
    </w:p>
    <w:p>
      <w:pPr>
        <w:adjustRightInd w:val="0"/>
        <w:snapToGrid w:val="0"/>
        <w:spacing w:line="900" w:lineRule="exact"/>
        <w:ind w:firstLine="520"/>
        <w:jc w:val="center"/>
        <w:rPr>
          <w:rFonts w:hint="eastAsia" w:ascii="仿宋" w:hAnsi="仿宋" w:eastAsia="仿宋" w:cs="仿宋"/>
          <w:snapToGrid w:val="0"/>
          <w:sz w:val="52"/>
          <w:szCs w:val="52"/>
        </w:rPr>
      </w:pPr>
    </w:p>
    <w:p>
      <w:pPr>
        <w:pStyle w:val="18"/>
        <w:rPr>
          <w:rFonts w:hint="eastAsia" w:ascii="仿宋" w:hAnsi="仿宋" w:eastAsia="仿宋" w:cs="仿宋"/>
          <w:snapToGrid w:val="0"/>
          <w:sz w:val="52"/>
          <w:szCs w:val="52"/>
        </w:rPr>
      </w:pPr>
    </w:p>
    <w:p>
      <w:pPr>
        <w:pStyle w:val="18"/>
        <w:rPr>
          <w:rFonts w:hint="eastAsia" w:ascii="仿宋" w:hAnsi="仿宋" w:eastAsia="仿宋" w:cs="仿宋"/>
          <w:snapToGrid w:val="0"/>
          <w:sz w:val="52"/>
          <w:szCs w:val="52"/>
        </w:rPr>
      </w:pPr>
    </w:p>
    <w:p>
      <w:pPr>
        <w:adjustRightInd w:val="0"/>
        <w:snapToGrid w:val="0"/>
        <w:spacing w:line="900" w:lineRule="exact"/>
        <w:ind w:firstLine="300"/>
        <w:jc w:val="center"/>
        <w:rPr>
          <w:rFonts w:hint="eastAsia" w:ascii="仿宋" w:hAnsi="仿宋" w:eastAsia="仿宋" w:cs="仿宋"/>
          <w:snapToGrid w:val="0"/>
          <w:sz w:val="84"/>
          <w:szCs w:val="84"/>
        </w:rPr>
      </w:pPr>
      <w:r>
        <w:rPr>
          <w:rFonts w:hint="eastAsia" w:ascii="仿宋" w:hAnsi="仿宋" w:eastAsia="仿宋" w:cs="仿宋"/>
          <w:snapToGrid w:val="0"/>
          <w:sz w:val="84"/>
          <w:szCs w:val="84"/>
          <w:lang w:val="en-US" w:eastAsia="zh-CN"/>
        </w:rPr>
        <w:t>招标</w:t>
      </w:r>
      <w:r>
        <w:rPr>
          <w:rFonts w:hint="eastAsia" w:ascii="仿宋" w:hAnsi="仿宋" w:eastAsia="仿宋" w:cs="仿宋"/>
          <w:snapToGrid w:val="0"/>
          <w:sz w:val="84"/>
          <w:szCs w:val="84"/>
        </w:rPr>
        <w:t>文件</w:t>
      </w:r>
    </w:p>
    <w:p>
      <w:pPr>
        <w:adjustRightInd w:val="0"/>
        <w:snapToGrid w:val="0"/>
        <w:spacing w:line="500" w:lineRule="exact"/>
        <w:ind w:firstLine="300"/>
        <w:jc w:val="center"/>
        <w:rPr>
          <w:rFonts w:hint="eastAsia" w:ascii="仿宋" w:hAnsi="仿宋" w:eastAsia="仿宋" w:cs="仿宋"/>
          <w:bCs/>
          <w:snapToGrid w:val="0"/>
          <w:sz w:val="30"/>
        </w:rPr>
      </w:pPr>
      <w:r>
        <w:rPr>
          <w:rFonts w:hint="eastAsia" w:ascii="仿宋" w:hAnsi="仿宋" w:eastAsia="仿宋" w:cs="仿宋"/>
          <w:bCs/>
          <w:snapToGrid w:val="0"/>
          <w:sz w:val="30"/>
        </w:rPr>
        <w:t>（资格后审）</w:t>
      </w:r>
    </w:p>
    <w:p>
      <w:pPr>
        <w:adjustRightInd w:val="0"/>
        <w:snapToGrid w:val="0"/>
        <w:spacing w:line="500" w:lineRule="exact"/>
        <w:ind w:firstLine="300"/>
        <w:jc w:val="center"/>
        <w:rPr>
          <w:rFonts w:hint="eastAsia" w:ascii="仿宋" w:hAnsi="仿宋" w:eastAsia="仿宋" w:cs="仿宋"/>
          <w:bCs/>
          <w:snapToGrid w:val="0"/>
          <w:sz w:val="30"/>
        </w:rPr>
      </w:pPr>
    </w:p>
    <w:p>
      <w:pPr>
        <w:adjustRightInd w:val="0"/>
        <w:snapToGrid w:val="0"/>
        <w:spacing w:line="500" w:lineRule="exact"/>
        <w:ind w:firstLine="300"/>
        <w:jc w:val="center"/>
        <w:rPr>
          <w:rFonts w:hint="eastAsia" w:ascii="仿宋" w:hAnsi="仿宋" w:eastAsia="仿宋" w:cs="仿宋"/>
          <w:bCs/>
          <w:snapToGrid w:val="0"/>
          <w:sz w:val="30"/>
        </w:rPr>
      </w:pPr>
    </w:p>
    <w:p>
      <w:pPr>
        <w:pStyle w:val="18"/>
        <w:rPr>
          <w:rFonts w:hint="eastAsia" w:ascii="仿宋" w:hAnsi="仿宋" w:eastAsia="仿宋" w:cs="仿宋"/>
          <w:bCs/>
          <w:snapToGrid w:val="0"/>
          <w:sz w:val="30"/>
        </w:rPr>
      </w:pPr>
    </w:p>
    <w:p>
      <w:pPr>
        <w:pStyle w:val="18"/>
        <w:rPr>
          <w:rFonts w:hint="eastAsia" w:ascii="仿宋" w:hAnsi="仿宋" w:eastAsia="仿宋" w:cs="仿宋"/>
          <w:bCs/>
          <w:snapToGrid w:val="0"/>
          <w:sz w:val="30"/>
        </w:rPr>
      </w:pPr>
    </w:p>
    <w:p>
      <w:pPr>
        <w:adjustRightInd w:val="0"/>
        <w:snapToGrid w:val="0"/>
        <w:spacing w:line="500" w:lineRule="exact"/>
        <w:ind w:firstLine="320"/>
        <w:jc w:val="center"/>
        <w:rPr>
          <w:rFonts w:hint="eastAsia" w:ascii="仿宋" w:hAnsi="仿宋" w:eastAsia="仿宋" w:cs="仿宋"/>
          <w:bCs/>
          <w:snapToGrid w:val="0"/>
          <w:sz w:val="32"/>
        </w:rPr>
      </w:pPr>
    </w:p>
    <w:p>
      <w:pPr>
        <w:adjustRightInd w:val="0"/>
        <w:snapToGrid w:val="0"/>
        <w:spacing w:line="500" w:lineRule="exact"/>
        <w:ind w:firstLine="320"/>
        <w:jc w:val="center"/>
        <w:rPr>
          <w:rFonts w:hint="eastAsia" w:ascii="仿宋" w:hAnsi="仿宋" w:eastAsia="仿宋" w:cs="仿宋"/>
          <w:bCs/>
          <w:snapToGrid w:val="0"/>
          <w:sz w:val="32"/>
        </w:rPr>
      </w:pPr>
    </w:p>
    <w:p>
      <w:pPr>
        <w:adjustRightInd w:val="0"/>
        <w:snapToGrid w:val="0"/>
        <w:spacing w:line="500" w:lineRule="exact"/>
        <w:ind w:firstLine="320"/>
        <w:jc w:val="center"/>
        <w:rPr>
          <w:rFonts w:hint="eastAsia" w:ascii="仿宋" w:hAnsi="仿宋" w:eastAsia="仿宋" w:cs="仿宋"/>
          <w:bCs/>
          <w:snapToGrid w:val="0"/>
          <w:sz w:val="32"/>
        </w:rPr>
      </w:pPr>
    </w:p>
    <w:p>
      <w:pPr>
        <w:adjustRightInd w:val="0"/>
        <w:snapToGrid w:val="0"/>
        <w:spacing w:line="500" w:lineRule="exact"/>
        <w:ind w:firstLine="838" w:firstLineChars="262"/>
        <w:rPr>
          <w:rFonts w:hint="eastAsia" w:ascii="仿宋" w:hAnsi="仿宋" w:eastAsia="仿宋" w:cs="仿宋"/>
          <w:bCs/>
          <w:snapToGrid w:val="0"/>
          <w:sz w:val="32"/>
          <w:u w:val="single"/>
        </w:rPr>
      </w:pPr>
      <w:r>
        <w:rPr>
          <w:rFonts w:hint="eastAsia" w:ascii="仿宋" w:hAnsi="仿宋" w:eastAsia="仿宋" w:cs="仿宋"/>
          <w:bCs/>
          <w:snapToGrid w:val="0"/>
          <w:sz w:val="32"/>
        </w:rPr>
        <w:t>项目编号：</w:t>
      </w:r>
      <w:r>
        <w:rPr>
          <w:rFonts w:hint="eastAsia" w:ascii="仿宋" w:hAnsi="仿宋" w:eastAsia="仿宋" w:cs="仿宋"/>
          <w:bCs/>
          <w:snapToGrid w:val="0"/>
          <w:sz w:val="32"/>
          <w:u w:val="single"/>
          <w:lang w:val="en-US" w:eastAsia="zh-CN"/>
        </w:rPr>
        <w:t xml:space="preserve">        </w:t>
      </w:r>
      <w:sdt>
        <w:sdtPr>
          <w:rPr>
            <w:rFonts w:hint="eastAsia" w:ascii="仿宋" w:hAnsi="仿宋" w:eastAsia="仿宋" w:cs="仿宋"/>
            <w:bCs/>
            <w:snapToGrid w:val="0"/>
            <w:kern w:val="2"/>
            <w:sz w:val="32"/>
            <w:szCs w:val="22"/>
            <w:u w:val="single"/>
            <w:lang w:val="en-US" w:eastAsia="zh-CN" w:bidi="ar-SA"/>
          </w:rPr>
          <w:id w:val="147465080"/>
          <w:placeholder>
            <w:docPart w:val="{bb075ca3-5b93-4e6d-ab90-8a3b08a0e4a4}"/>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 w:hAnsi="仿宋" w:eastAsia="仿宋" w:cs="仿宋"/>
            <w:bCs/>
            <w:snapToGrid w:val="0"/>
            <w:kern w:val="2"/>
            <w:sz w:val="32"/>
            <w:szCs w:val="22"/>
            <w:u w:val="single"/>
            <w:lang w:val="en-US" w:eastAsia="zh-CN" w:bidi="ar-SA"/>
          </w:rPr>
        </w:sdtEndPr>
        <w:sdtContent>
          <w:r>
            <w:rPr>
              <w:rFonts w:hint="eastAsia" w:ascii="仿宋" w:hAnsi="仿宋" w:eastAsia="仿宋" w:cs="仿宋"/>
              <w:bCs/>
              <w:snapToGrid w:val="0"/>
              <w:sz w:val="32"/>
              <w:u w:val="single"/>
              <w:lang w:val="en-US" w:eastAsia="zh-CN"/>
            </w:rPr>
            <w:t>2023-05-004</w:t>
          </w:r>
        </w:sdtContent>
      </w:sdt>
      <w:r>
        <w:rPr>
          <w:rFonts w:hint="eastAsia" w:ascii="仿宋" w:hAnsi="仿宋" w:eastAsia="仿宋" w:cs="仿宋"/>
          <w:bCs/>
          <w:snapToGrid w:val="0"/>
          <w:sz w:val="32"/>
          <w:u w:val="single"/>
          <w:lang w:val="en-US" w:eastAsia="zh-CN"/>
        </w:rPr>
        <w:t xml:space="preserve"> </w:t>
      </w:r>
      <w:r>
        <w:rPr>
          <w:rFonts w:hint="eastAsia" w:ascii="仿宋" w:hAnsi="仿宋" w:eastAsia="仿宋" w:cs="仿宋"/>
          <w:bCs/>
          <w:snapToGrid w:val="0"/>
          <w:sz w:val="32"/>
          <w:u w:val="single"/>
        </w:rPr>
        <w:t xml:space="preserve">  </w:t>
      </w:r>
      <w:r>
        <w:rPr>
          <w:rFonts w:hint="eastAsia" w:ascii="仿宋" w:hAnsi="仿宋" w:eastAsia="仿宋" w:cs="仿宋"/>
          <w:bCs/>
          <w:snapToGrid w:val="0"/>
          <w:sz w:val="32"/>
          <w:u w:val="single"/>
          <w:lang w:val="en-US" w:eastAsia="zh-CN"/>
        </w:rPr>
        <w:t xml:space="preserve">                 </w:t>
      </w:r>
    </w:p>
    <w:p>
      <w:pPr>
        <w:adjustRightInd w:val="0"/>
        <w:snapToGrid w:val="0"/>
        <w:spacing w:line="500" w:lineRule="exact"/>
        <w:rPr>
          <w:rFonts w:hint="eastAsia" w:ascii="仿宋" w:hAnsi="仿宋" w:eastAsia="仿宋" w:cs="仿宋"/>
          <w:bCs/>
          <w:snapToGrid w:val="0"/>
          <w:spacing w:val="60"/>
          <w:sz w:val="32"/>
        </w:rPr>
      </w:pPr>
    </w:p>
    <w:p>
      <w:pPr>
        <w:adjustRightInd w:val="0"/>
        <w:snapToGrid w:val="0"/>
        <w:spacing w:line="500" w:lineRule="exact"/>
        <w:ind w:firstLine="880" w:firstLineChars="200"/>
        <w:rPr>
          <w:rFonts w:hint="eastAsia" w:ascii="仿宋" w:hAnsi="仿宋" w:eastAsia="仿宋" w:cs="仿宋"/>
          <w:sz w:val="24"/>
        </w:rPr>
      </w:pPr>
      <w:r>
        <w:rPr>
          <w:rFonts w:hint="eastAsia" w:ascii="仿宋" w:hAnsi="仿宋" w:eastAsia="仿宋" w:cs="仿宋"/>
          <w:bCs/>
          <w:snapToGrid w:val="0"/>
          <w:spacing w:val="60"/>
          <w:sz w:val="32"/>
        </w:rPr>
        <w:t>招标人</w:t>
      </w:r>
      <w:r>
        <w:rPr>
          <w:rFonts w:hint="eastAsia" w:ascii="仿宋" w:hAnsi="仿宋" w:eastAsia="仿宋" w:cs="仿宋"/>
          <w:bCs/>
          <w:snapToGrid w:val="0"/>
          <w:sz w:val="28"/>
          <w:szCs w:val="28"/>
        </w:rPr>
        <w:t>：</w:t>
      </w:r>
      <w:r>
        <w:rPr>
          <w:rFonts w:hint="eastAsia" w:ascii="仿宋" w:hAnsi="仿宋" w:eastAsia="仿宋" w:cs="仿宋"/>
          <w:bCs/>
          <w:snapToGrid w:val="0"/>
          <w:sz w:val="28"/>
          <w:szCs w:val="28"/>
          <w:u w:val="single"/>
        </w:rPr>
        <w:t>湖州南浔城投城市建设集团有限公司</w:t>
      </w:r>
      <w:r>
        <w:rPr>
          <w:rFonts w:hint="eastAsia" w:ascii="仿宋" w:hAnsi="仿宋" w:eastAsia="仿宋" w:cs="仿宋"/>
          <w:bCs/>
          <w:snapToGrid w:val="0"/>
          <w:sz w:val="32"/>
          <w:u w:val="single"/>
        </w:rPr>
        <w:t xml:space="preserve">  （ 盖章）</w:t>
      </w:r>
    </w:p>
    <w:p>
      <w:pPr>
        <w:adjustRightInd w:val="0"/>
        <w:snapToGrid w:val="0"/>
        <w:spacing w:line="500" w:lineRule="exact"/>
        <w:ind w:left="315" w:leftChars="150" w:firstLine="838" w:firstLineChars="262"/>
        <w:rPr>
          <w:rFonts w:hint="eastAsia" w:ascii="仿宋" w:hAnsi="仿宋" w:eastAsia="仿宋" w:cs="仿宋"/>
          <w:bCs/>
          <w:snapToGrid w:val="0"/>
          <w:sz w:val="32"/>
        </w:rPr>
      </w:pPr>
      <w:r>
        <w:rPr>
          <w:rFonts w:hint="eastAsia" w:ascii="仿宋" w:hAnsi="仿宋" w:eastAsia="仿宋" w:cs="仿宋"/>
          <w:bCs/>
          <w:snapToGrid w:val="0"/>
          <w:sz w:val="32"/>
        </w:rPr>
        <w:t xml:space="preserve"> </w:t>
      </w:r>
    </w:p>
    <w:p>
      <w:pPr>
        <w:adjustRightInd w:val="0"/>
        <w:snapToGrid w:val="0"/>
        <w:spacing w:line="500" w:lineRule="exact"/>
        <w:ind w:firstLine="838" w:firstLineChars="262"/>
        <w:rPr>
          <w:rFonts w:hint="eastAsia" w:ascii="仿宋" w:hAnsi="仿宋" w:eastAsia="仿宋" w:cs="仿宋"/>
          <w:bCs/>
          <w:snapToGrid w:val="0"/>
          <w:sz w:val="32"/>
        </w:rPr>
      </w:pPr>
      <w:r>
        <w:rPr>
          <w:rFonts w:hint="eastAsia" w:ascii="仿宋" w:hAnsi="仿宋" w:eastAsia="仿宋" w:cs="仿宋"/>
          <w:bCs/>
          <w:snapToGrid w:val="0"/>
          <w:sz w:val="32"/>
        </w:rPr>
        <w:t>代理机构：</w:t>
      </w:r>
      <w:r>
        <w:rPr>
          <w:rFonts w:hint="eastAsia" w:ascii="仿宋" w:hAnsi="仿宋" w:eastAsia="仿宋" w:cs="仿宋"/>
          <w:bCs/>
          <w:snapToGrid w:val="0"/>
          <w:sz w:val="32"/>
          <w:u w:val="single"/>
          <w:lang w:val="en-US" w:eastAsia="zh-CN"/>
        </w:rPr>
        <w:t xml:space="preserve">                 /</w:t>
      </w:r>
      <w:r>
        <w:rPr>
          <w:rFonts w:hint="eastAsia" w:ascii="仿宋" w:hAnsi="仿宋" w:eastAsia="仿宋" w:cs="仿宋"/>
          <w:bCs/>
          <w:snapToGrid w:val="0"/>
          <w:sz w:val="32"/>
          <w:u w:val="single"/>
        </w:rPr>
        <w:t xml:space="preserve">  </w:t>
      </w:r>
      <w:r>
        <w:rPr>
          <w:rFonts w:hint="eastAsia" w:ascii="仿宋" w:hAnsi="仿宋" w:eastAsia="仿宋" w:cs="仿宋"/>
          <w:bCs/>
          <w:snapToGrid w:val="0"/>
          <w:sz w:val="32"/>
          <w:u w:val="single"/>
          <w:lang w:val="en-US" w:eastAsia="zh-CN"/>
        </w:rPr>
        <w:t xml:space="preserve">          </w:t>
      </w:r>
      <w:r>
        <w:rPr>
          <w:rFonts w:hint="eastAsia" w:ascii="仿宋" w:hAnsi="仿宋" w:eastAsia="仿宋" w:cs="仿宋"/>
          <w:bCs/>
          <w:snapToGrid w:val="0"/>
          <w:sz w:val="32"/>
          <w:u w:val="single"/>
        </w:rPr>
        <w:t xml:space="preserve">（盖章）  </w:t>
      </w:r>
    </w:p>
    <w:p>
      <w:pPr>
        <w:wordWrap w:val="0"/>
        <w:adjustRightInd w:val="0"/>
        <w:snapToGrid w:val="0"/>
        <w:spacing w:line="500" w:lineRule="exact"/>
        <w:ind w:right="160" w:firstLine="320"/>
        <w:jc w:val="right"/>
        <w:rPr>
          <w:rFonts w:hint="eastAsia" w:ascii="仿宋" w:hAnsi="仿宋" w:eastAsia="仿宋" w:cs="仿宋"/>
          <w:bCs/>
          <w:snapToGrid w:val="0"/>
          <w:sz w:val="32"/>
        </w:rPr>
      </w:pPr>
    </w:p>
    <w:p>
      <w:pPr>
        <w:spacing w:line="480" w:lineRule="auto"/>
        <w:jc w:val="center"/>
        <w:rPr>
          <w:rFonts w:hint="eastAsia" w:ascii="仿宋" w:hAnsi="仿宋" w:eastAsia="仿宋" w:cs="仿宋"/>
          <w:b/>
          <w:bCs/>
          <w:kern w:val="2"/>
          <w:sz w:val="44"/>
          <w:szCs w:val="44"/>
          <w:highlight w:val="yellow"/>
          <w:u w:val="single"/>
          <w:lang w:val="en-US" w:eastAsia="zh-CN" w:bidi="ar-SA"/>
        </w:rPr>
      </w:pPr>
      <w:r>
        <w:rPr>
          <w:rFonts w:hint="eastAsia" w:ascii="仿宋" w:hAnsi="仿宋" w:eastAsia="仿宋" w:cs="仿宋"/>
          <w:bCs/>
          <w:snapToGrid w:val="0"/>
          <w:sz w:val="32"/>
        </w:rPr>
        <w:t>日期：</w:t>
      </w:r>
      <w:r>
        <w:rPr>
          <w:rFonts w:hint="eastAsia" w:ascii="仿宋" w:hAnsi="仿宋" w:eastAsia="仿宋" w:cs="仿宋"/>
          <w:bCs/>
          <w:snapToGrid w:val="0"/>
          <w:sz w:val="32"/>
          <w:u w:val="single"/>
        </w:rPr>
        <w:t>202</w:t>
      </w:r>
      <w:r>
        <w:rPr>
          <w:rFonts w:hint="eastAsia" w:ascii="仿宋" w:hAnsi="仿宋" w:eastAsia="仿宋" w:cs="仿宋"/>
          <w:bCs/>
          <w:snapToGrid w:val="0"/>
          <w:sz w:val="32"/>
          <w:u w:val="single"/>
          <w:lang w:val="en-US" w:eastAsia="zh-CN"/>
        </w:rPr>
        <w:t>3</w:t>
      </w:r>
      <w:r>
        <w:rPr>
          <w:rFonts w:hint="eastAsia" w:ascii="仿宋" w:hAnsi="仿宋" w:eastAsia="仿宋" w:cs="仿宋"/>
          <w:bCs/>
          <w:snapToGrid w:val="0"/>
          <w:sz w:val="32"/>
        </w:rPr>
        <w:t xml:space="preserve"> 年</w:t>
      </w:r>
      <w:r>
        <w:rPr>
          <w:rFonts w:hint="eastAsia" w:ascii="仿宋" w:hAnsi="仿宋" w:eastAsia="仿宋" w:cs="仿宋"/>
          <w:bCs/>
          <w:snapToGrid w:val="0"/>
          <w:sz w:val="32"/>
          <w:u w:val="single"/>
        </w:rPr>
        <w:t xml:space="preserve"> </w:t>
      </w:r>
      <w:r>
        <w:rPr>
          <w:rFonts w:hint="eastAsia" w:ascii="仿宋" w:hAnsi="仿宋" w:eastAsia="仿宋" w:cs="仿宋"/>
          <w:bCs/>
          <w:snapToGrid w:val="0"/>
          <w:sz w:val="32"/>
          <w:u w:val="single"/>
          <w:lang w:val="en-US" w:eastAsia="zh-CN"/>
        </w:rPr>
        <w:t xml:space="preserve">5 </w:t>
      </w:r>
      <w:r>
        <w:rPr>
          <w:rFonts w:hint="eastAsia" w:ascii="仿宋" w:hAnsi="仿宋" w:eastAsia="仿宋" w:cs="仿宋"/>
          <w:bCs/>
          <w:snapToGrid w:val="0"/>
          <w:sz w:val="32"/>
        </w:rPr>
        <w:t>月</w:t>
      </w:r>
      <w:bookmarkEnd w:id="0"/>
      <w:bookmarkEnd w:id="1"/>
      <w:bookmarkEnd w:id="2"/>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br w:type="page"/>
      </w: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3"/>
    <w:bookmarkEnd w:id="4"/>
    <w:bookmarkEnd w:id="5"/>
    <w:bookmarkEnd w:id="6"/>
    <w:bookmarkEnd w:id="7"/>
    <w:bookmarkEnd w:id="8"/>
    <w:bookmarkEnd w:id="9"/>
    <w:bookmarkEnd w:id="10"/>
    <w:p>
      <w:pPr>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2023年香草园路B段绿化劳务分包工程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湖州南浔城建投资发展有限公司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kern w:val="0"/>
                <w:sz w:val="24"/>
                <w:szCs w:val="24"/>
                <w:highlight w:val="none"/>
                <w:u w:val="none"/>
                <w:lang w:val="en-US" w:eastAsia="zh-CN" w:bidi="ar-SA"/>
              </w:rPr>
              <w:t>苗木移植、栽植、养护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4"/>
                    <w:szCs w:val="24"/>
                    <w:highlight w:val="yellow"/>
                    <w:u w:val="single"/>
                    <w:vertAlign w:val="baseline"/>
                    <w:lang w:val="en-US" w:eastAsia="zh-CN"/>
                  </w:rPr>
                  <w:t>养护期一年</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highlight w:val="yellow"/>
                <w:u w:val="single"/>
                <w:vertAlign w:val="baseline"/>
                <w:lang w:val="zh-CN" w:eastAsia="zh-CN"/>
              </w:rPr>
              <w:t>376621</w:t>
            </w:r>
            <w:r>
              <w:rPr>
                <w:rFonts w:hint="eastAsia" w:ascii="仿宋" w:hAnsi="仿宋" w:eastAsia="仿宋" w:cs="仿宋"/>
                <w:sz w:val="24"/>
                <w:szCs w:val="24"/>
                <w:highlight w:val="yellow"/>
                <w:vertAlign w:val="baseline"/>
                <w:lang w:val="en-US" w:eastAsia="zh-CN"/>
              </w:rPr>
              <w:t>元（不含苗木）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湖州市南浔区香草园路</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4"/>
                    <w:szCs w:val="24"/>
                    <w:highlight w:val="yellow"/>
                    <w:u w:val="single"/>
                    <w:lang w:val="en-US" w:eastAsia="zh-CN"/>
                  </w:rPr>
                  <w:t>绿化苗木移植（其中117棵移植运距约15km，85棵运距约3km）、种植、养护（包活，养护期一年）及工程资料编制</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具体详见工程量清单及图纸，最终以招标人及业主单位要求为准，直至本工程满足功能性要求及设计单位、业主单位要求并竣工验收合格为止。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苗木（除苗木外的辅材由班组提供）</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工程完工后凭竣工验收证书、项目移交证书、签订送审承诺书及完成送审结算资料后支付至实际完成合格工程量下浮后的50%，养护期结束后送审，审计报告经双方确认一致后一个月内付清。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市政绿化劳务</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13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10 %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bookmarkStart w:id="11" w:name="_GoBack"/>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5</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12</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bookmarkEnd w:id="11"/>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附件1：招标人与业主单位签订的《工程施工合同》；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5"/>
        <w:numPr>
          <w:ilvl w:val="0"/>
          <w:numId w:val="0"/>
        </w:numPr>
        <w:spacing w:line="500" w:lineRule="exact"/>
        <w:ind w:leftChars="200"/>
        <w:jc w:val="center"/>
        <w:rPr>
          <w:rFonts w:hint="eastAsia"/>
          <w:b/>
          <w:bCs/>
          <w:spacing w:val="24"/>
          <w:sz w:val="24"/>
          <w:szCs w:val="24"/>
        </w:rPr>
      </w:pPr>
    </w:p>
    <w:p>
      <w:pPr>
        <w:pStyle w:val="5"/>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6"/>
        <w:rPr>
          <w:rFonts w:hint="eastAsia" w:ascii="仿宋" w:hAnsi="仿宋" w:eastAsia="仿宋" w:cs="仿宋"/>
          <w:sz w:val="24"/>
          <w:szCs w:val="24"/>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2023年南浔区小区环境提升攻坚行动施工班组入围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4"/>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4"/>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4"/>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2"/>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2"/>
        <w:rPr>
          <w:rFonts w:hint="default"/>
          <w:sz w:val="28"/>
          <w:szCs w:val="36"/>
          <w:lang w:val="en-US" w:eastAsia="zh-CN"/>
        </w:rPr>
      </w:pPr>
      <w:r>
        <w:rPr>
          <w:rFonts w:hint="eastAsia"/>
          <w:sz w:val="28"/>
          <w:szCs w:val="36"/>
          <w:lang w:val="en-US" w:eastAsia="zh-CN"/>
        </w:rPr>
        <w:t>附件2：</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2"/>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2023年香草园路B段绿化劳务分包工程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湖州市南浔区</w:t>
          </w:r>
          <w:r>
            <w:rPr>
              <w:rFonts w:hint="eastAsia" w:ascii="仿宋" w:hAnsi="仿宋" w:eastAsia="仿宋" w:cs="仿宋"/>
              <w:snapToGrid w:val="0"/>
              <w:kern w:val="2"/>
              <w:sz w:val="28"/>
              <w:szCs w:val="28"/>
              <w:u w:val="single"/>
              <w:lang w:val="en-US" w:eastAsia="zh-CN" w:bidi="ar-SA"/>
            </w:rPr>
            <w:t>香草园路</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绿化苗木移植（其中117棵移植运距约15km，85棵运距约3km）、种植、养护（包活，养护期一年）及工程资料编制</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w:t>
      </w:r>
      <w:r>
        <w:rPr>
          <w:rFonts w:hint="eastAsia" w:ascii="仿宋" w:hAnsi="仿宋" w:eastAsia="仿宋" w:cs="仿宋"/>
          <w:color w:val="auto"/>
          <w:sz w:val="28"/>
          <w:szCs w:val="28"/>
          <w:u w:val="single"/>
          <w:lang w:val="en-US" w:eastAsia="zh-CN"/>
        </w:rPr>
        <w:t>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养护期一年</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2"/>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苗木（除苗木外的辅材由班组提供）</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工程完工后凭竣工验收证书、项目移交证书、签订送审承诺书及完成送审结算资料后支付至实际完成合格工程量下浮后的50%，养护期结束后送审，审计报告经双方确认一致后一个月内付清。</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2"/>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2"/>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2"/>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2"/>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2"/>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2"/>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2"/>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2"/>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60288;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B131714"/>
    <w:rsid w:val="0CD50908"/>
    <w:rsid w:val="12B23358"/>
    <w:rsid w:val="13FE30BF"/>
    <w:rsid w:val="15CE7129"/>
    <w:rsid w:val="16AD2835"/>
    <w:rsid w:val="176F2DA1"/>
    <w:rsid w:val="18E90CD1"/>
    <w:rsid w:val="19C26032"/>
    <w:rsid w:val="1A293F98"/>
    <w:rsid w:val="1A3B555D"/>
    <w:rsid w:val="1B5D1D31"/>
    <w:rsid w:val="1DCB797C"/>
    <w:rsid w:val="20B938C0"/>
    <w:rsid w:val="21551EFD"/>
    <w:rsid w:val="29183CAB"/>
    <w:rsid w:val="2C2C73FB"/>
    <w:rsid w:val="2CEE5EF5"/>
    <w:rsid w:val="2E1960EA"/>
    <w:rsid w:val="2F946106"/>
    <w:rsid w:val="31D514A6"/>
    <w:rsid w:val="34414572"/>
    <w:rsid w:val="3BE86E9B"/>
    <w:rsid w:val="3DC446E3"/>
    <w:rsid w:val="41514B69"/>
    <w:rsid w:val="41A35158"/>
    <w:rsid w:val="438E22FD"/>
    <w:rsid w:val="43B7D993"/>
    <w:rsid w:val="440E29C6"/>
    <w:rsid w:val="47D67677"/>
    <w:rsid w:val="49726DB2"/>
    <w:rsid w:val="4C475AF7"/>
    <w:rsid w:val="4CA06901"/>
    <w:rsid w:val="539F7491"/>
    <w:rsid w:val="53B145BF"/>
    <w:rsid w:val="55F559A8"/>
    <w:rsid w:val="56D06B14"/>
    <w:rsid w:val="5B657D8E"/>
    <w:rsid w:val="5D806808"/>
    <w:rsid w:val="613501EA"/>
    <w:rsid w:val="62D51A51"/>
    <w:rsid w:val="6556394C"/>
    <w:rsid w:val="65B823D7"/>
    <w:rsid w:val="65BB6E91"/>
    <w:rsid w:val="6725467E"/>
    <w:rsid w:val="67967332"/>
    <w:rsid w:val="69063EB1"/>
    <w:rsid w:val="6CC929EA"/>
    <w:rsid w:val="6E02757B"/>
    <w:rsid w:val="6E5811B5"/>
    <w:rsid w:val="6FBA4BAF"/>
    <w:rsid w:val="7A1E59ED"/>
    <w:rsid w:val="7B3D10AC"/>
    <w:rsid w:val="7BE36A2A"/>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next w:val="2"/>
    <w:unhideWhenUsed/>
    <w:qFormat/>
    <w:uiPriority w:val="99"/>
    <w:pPr>
      <w:spacing w:after="120" w:afterLines="0" w:afterAutospacing="0"/>
    </w:pPr>
  </w:style>
  <w:style w:type="paragraph" w:styleId="5">
    <w:name w:val="Normal Indent"/>
    <w:basedOn w:val="1"/>
    <w:qFormat/>
    <w:uiPriority w:val="0"/>
    <w:pPr>
      <w:ind w:firstLine="420" w:firstLineChars="200"/>
    </w:pPr>
    <w:rPr>
      <w:kern w:val="0"/>
      <w:sz w:val="20"/>
      <w:szCs w:val="24"/>
    </w:rPr>
  </w:style>
  <w:style w:type="paragraph" w:styleId="6">
    <w:name w:val="toa heading"/>
    <w:basedOn w:val="1"/>
    <w:next w:val="1"/>
    <w:qFormat/>
    <w:uiPriority w:val="0"/>
    <w:pPr>
      <w:spacing w:before="120"/>
      <w:jc w:val="left"/>
    </w:pPr>
    <w:rPr>
      <w:rFonts w:ascii="Arial" w:hAnsi="Arial"/>
      <w:color w:val="000000"/>
      <w:kern w:val="0"/>
      <w:sz w:val="24"/>
      <w:szCs w:val="20"/>
      <w:lang w:eastAsia="en-US"/>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38d18b-3815-452b-8c20-6e985f50b75b}"/>
        <w:style w:val=""/>
        <w:category>
          <w:name w:val="常规"/>
          <w:gallery w:val="placeholder"/>
        </w:category>
        <w:types>
          <w:type w:val="bbPlcHdr"/>
        </w:types>
        <w:behaviors>
          <w:behavior w:val="content"/>
        </w:behaviors>
        <w:description w:val=""/>
        <w:guid w:val="{b838d18b-3815-452b-8c20-6e985f50b75b}"/>
      </w:docPartPr>
      <w:docPartBody>
        <w:p>
          <w:r>
            <w:rPr>
              <w:color w:val="808080"/>
            </w:rPr>
            <w:t>单击此处输入文字。</w:t>
          </w:r>
        </w:p>
      </w:docPartBody>
    </w:docPart>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bb075ca3-5b93-4e6d-ab90-8a3b08a0e4a4}"/>
        <w:style w:val=""/>
        <w:category>
          <w:name w:val="常规"/>
          <w:gallery w:val="placeholder"/>
        </w:category>
        <w:types>
          <w:type w:val="bbPlcHdr"/>
        </w:types>
        <w:behaviors>
          <w:behavior w:val="content"/>
        </w:behaviors>
        <w:description w:val=""/>
        <w:guid w:val="{bb075ca3-5b93-4e6d-ab90-8a3b08a0e4a4}"/>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23017</Words>
  <Characters>23379</Characters>
  <Lines>0</Lines>
  <Paragraphs>0</Paragraphs>
  <TotalTime>11</TotalTime>
  <ScaleCrop>false</ScaleCrop>
  <LinksUpToDate>false</LinksUpToDate>
  <CharactersWithSpaces>24558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2023年香草园路B段绿化劳务分包工程</cp:category>
  <dcterms:created xsi:type="dcterms:W3CDTF">2023-03-16T09:34:00Z</dcterms:created>
  <dc:creator>2023-05-004</dc:creator>
  <dc:description>绿化苗木移植（其中117棵移植运距约15km，85棵运距约3km）、种植、养护（包活，养护期一年）及工程资料编制</dc:description>
  <cp:keywords>工程完工后凭竣工验收证书、项目移交证书、签订送审承诺书及完成送审结算资料后支付至实际完成合格工程量下浮后的50%，养护期结束后送审，审计报告经双方确认一致后一个月内付清。</cp:keywords>
  <cp:lastModifiedBy>城投</cp:lastModifiedBy>
  <cp:lastPrinted>2023-05-08T02:25:00Z</cp:lastPrinted>
  <dcterms:modified xsi:type="dcterms:W3CDTF">2023-05-09T06:25:16Z</dcterms:modified>
  <dc:subject>苗木（除苗木外的辅材由班组提供）</dc:subject>
  <dc:title>湖州市南浔区香草园路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