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144974482"/>
      <w:bookmarkStart w:id="1" w:name="_Toc246996903"/>
      <w:bookmarkStart w:id="2" w:name="_Toc246996160"/>
      <w:bookmarkStart w:id="3" w:name="_Toc247085674"/>
      <w:bookmarkStart w:id="4" w:name="_Toc152045514"/>
      <w:bookmarkStart w:id="5" w:name="_Toc449509649"/>
      <w:bookmarkStart w:id="6" w:name="_Toc179632530"/>
      <w:bookmarkStart w:id="7" w:name="_Toc152042290"/>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2023年南浔西江月小区游泳池填平劳务分包工程</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2023-07-003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2023年7月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2023年南浔西江月小区游泳池填平劳务分包工程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湖州南浔城投资产经营集团有限公司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u w:val="none"/>
                <w:lang w:val="en-US" w:eastAsia="zh-CN"/>
              </w:rPr>
              <w:t>回填及平整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30日历天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w:t>
            </w:r>
            <w:r>
              <w:rPr>
                <w:rFonts w:hint="eastAsia" w:ascii="宋体" w:hAnsi="宋体" w:eastAsia="仿宋"/>
                <w:sz w:val="24"/>
                <w:highlight w:val="yellow"/>
                <w:u w:val="single"/>
                <w:lang w:val="en-US" w:eastAsia="zh-CN"/>
              </w:rPr>
              <w:t>/</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highlight w:val="yellow"/>
                    <w:u w:val="single"/>
                    <w:vertAlign w:val="baseline"/>
                    <w:lang w:val="en-US" w:eastAsia="zh-CN"/>
                  </w:rPr>
                  <w:t>湖州南浔区西江月</w:t>
                </w:r>
                <w:r>
                  <w:rPr>
                    <w:rFonts w:hint="eastAsia" w:ascii="仿宋" w:hAnsi="仿宋" w:eastAsia="仿宋" w:cs="仿宋"/>
                    <w:sz w:val="24"/>
                    <w:szCs w:val="24"/>
                    <w:vertAlign w:val="baseline"/>
                    <w:lang w:val="en-US" w:eastAsia="zh-CN"/>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b w:val="0"/>
                <w:bCs w:val="0"/>
                <w:color w:val="auto"/>
                <w:kern w:val="0"/>
                <w:sz w:val="24"/>
                <w:szCs w:val="24"/>
                <w:highlight w:val="yellow"/>
                <w:u w:val="single"/>
                <w:lang w:val="en-US" w:eastAsia="zh-CN"/>
              </w:rPr>
              <w:t xml:space="preserve"> </w:t>
            </w:r>
            <w:sdt>
              <w:sdtPr>
                <w:rPr>
                  <w:rFonts w:hint="eastAsia"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原有泳池回填及平整</w:t>
                </w:r>
              </w:sdtContent>
            </w:sdt>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sdt>
              <w:sdtPr>
                <w:rPr>
                  <w:rFonts w:hint="eastAsia" w:ascii="仿宋" w:hAnsi="仿宋" w:eastAsia="仿宋" w:cs="仿宋"/>
                  <w:b w:val="0"/>
                  <w:bCs w:val="0"/>
                  <w:color w:val="auto"/>
                  <w:kern w:val="0"/>
                  <w:sz w:val="24"/>
                  <w:szCs w:val="24"/>
                  <w:highlight w:val="yellow"/>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highlight w:val="yellow"/>
                  <w:u w:val="none"/>
                  <w:lang w:val="en-US" w:eastAsia="zh-CN" w:bidi="ar"/>
                </w:rPr>
              </w:sdtEndPr>
              <w:sdtContent>
                <w:r>
                  <w:rPr>
                    <w:rFonts w:hint="eastAsia" w:ascii="仿宋" w:hAnsi="仿宋" w:eastAsia="仿宋" w:cs="仿宋"/>
                    <w:sz w:val="24"/>
                    <w:szCs w:val="24"/>
                    <w:highlight w:val="yellow"/>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市政绿化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12</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4 %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7</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6</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15</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bookmarkStart w:id="8" w:name="_GoBack"/>
            <w:bookmarkEnd w:id="8"/>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pageBreakBefore w:val="0"/>
        <w:widowControl w:val="0"/>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）有效标的确定</w:t>
      </w:r>
    </w:p>
    <w:p>
      <w:pPr>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 w:hAnsi="仿宋" w:eastAsia="仿宋" w:cs="仿宋"/>
          <w:color w:val="FF0000"/>
          <w:sz w:val="24"/>
          <w:szCs w:val="24"/>
          <w:lang w:eastAsia="zh-CN"/>
        </w:rPr>
      </w:pPr>
      <w:r>
        <w:rPr>
          <w:rFonts w:hint="eastAsia" w:ascii="仿宋" w:hAnsi="仿宋" w:eastAsia="仿宋" w:cs="仿宋"/>
          <w:b/>
          <w:bCs/>
          <w:color w:val="auto"/>
          <w:sz w:val="24"/>
          <w:szCs w:val="24"/>
        </w:rPr>
        <w:t>投标单位的投标下浮率小于基础下浮率的认定为无效投标报价，</w:t>
      </w:r>
      <w:r>
        <w:rPr>
          <w:rFonts w:hint="eastAsia" w:ascii="仿宋" w:hAnsi="仿宋" w:eastAsia="仿宋" w:cs="仿宋"/>
          <w:color w:val="auto"/>
          <w:sz w:val="24"/>
          <w:szCs w:val="24"/>
        </w:rPr>
        <w:t>其余为有效投标报价。</w:t>
      </w:r>
      <w:r>
        <w:rPr>
          <w:rFonts w:hint="eastAsia" w:ascii="仿宋" w:hAnsi="仿宋" w:eastAsia="仿宋" w:cs="仿宋"/>
          <w:color w:val="auto"/>
          <w:sz w:val="24"/>
          <w:szCs w:val="24"/>
          <w:lang w:val="en-US" w:eastAsia="zh-CN"/>
        </w:rPr>
        <w:t>投标单位的投标报价</w:t>
      </w:r>
      <w:r>
        <w:rPr>
          <w:rFonts w:hint="eastAsia" w:ascii="仿宋" w:hAnsi="仿宋" w:eastAsia="仿宋" w:cs="仿宋"/>
          <w:sz w:val="24"/>
          <w:szCs w:val="24"/>
        </w:rPr>
        <w:t>只能有一个有效报价</w:t>
      </w:r>
      <w:r>
        <w:rPr>
          <w:rFonts w:hint="eastAsia" w:ascii="仿宋" w:hAnsi="仿宋" w:eastAsia="仿宋" w:cs="仿宋"/>
          <w:sz w:val="24"/>
          <w:szCs w:val="24"/>
          <w:lang w:eastAsia="zh-CN"/>
        </w:rPr>
        <w:t>。</w:t>
      </w:r>
    </w:p>
    <w:p>
      <w:pPr>
        <w:pageBreakBefore w:val="0"/>
        <w:widowControl w:val="0"/>
        <w:numPr>
          <w:ilvl w:val="0"/>
          <w:numId w:val="1"/>
        </w:numPr>
        <w:tabs>
          <w:tab w:val="left" w:pos="3069"/>
        </w:tabs>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商务报价评分</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91"/>
        <w:gridCol w:w="2001"/>
        <w:gridCol w:w="1314"/>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类别</w:t>
            </w:r>
          </w:p>
        </w:tc>
        <w:tc>
          <w:tcPr>
            <w:tcW w:w="1034" w:type="pct"/>
            <w:noWrap w:val="0"/>
            <w:vAlign w:val="center"/>
          </w:tcPr>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评审因素</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分值</w:t>
            </w:r>
          </w:p>
        </w:tc>
        <w:tc>
          <w:tcPr>
            <w:tcW w:w="2020"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p>
        </w:tc>
        <w:tc>
          <w:tcPr>
            <w:tcW w:w="1034"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有效投标报价</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100</w:t>
            </w:r>
          </w:p>
        </w:tc>
        <w:tc>
          <w:tcPr>
            <w:tcW w:w="2020" w:type="pct"/>
            <w:noWrap w:val="0"/>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最低有效投标报价得100分，次低有效投标报价得99分，以此类推。</w:t>
            </w:r>
          </w:p>
        </w:tc>
      </w:tr>
    </w:tbl>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缴纳入库保证金10万元至贵公司账户。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55a8d60c-e31c-47f2-b9be-534f8699e4b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8"/>
              <w:szCs w:val="28"/>
              <w:u w:val="single"/>
              <w:lang w:val="en-US" w:eastAsia="zh-CN" w:bidi="ar-SA"/>
            </w:rPr>
            <w:t>2023年南浔西江月小区游泳池填平劳务分包工程</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湖州南浔区西江月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原有泳池回填及平整</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30日历天 </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highlight w:val="yellow"/>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4766C8B"/>
    <w:rsid w:val="04D74D1F"/>
    <w:rsid w:val="071719AF"/>
    <w:rsid w:val="079960C2"/>
    <w:rsid w:val="0AD67DCC"/>
    <w:rsid w:val="0B131714"/>
    <w:rsid w:val="0CD50908"/>
    <w:rsid w:val="0EA64661"/>
    <w:rsid w:val="12B23358"/>
    <w:rsid w:val="12C23A1B"/>
    <w:rsid w:val="13FE30BF"/>
    <w:rsid w:val="15CE7129"/>
    <w:rsid w:val="16460046"/>
    <w:rsid w:val="16AD2835"/>
    <w:rsid w:val="176F2DA1"/>
    <w:rsid w:val="18E90CD1"/>
    <w:rsid w:val="19C26032"/>
    <w:rsid w:val="19C5040E"/>
    <w:rsid w:val="1A206ABF"/>
    <w:rsid w:val="1A293F98"/>
    <w:rsid w:val="1A3B555D"/>
    <w:rsid w:val="1B5D1D31"/>
    <w:rsid w:val="1CBC0BD7"/>
    <w:rsid w:val="1D483D15"/>
    <w:rsid w:val="1DCB797C"/>
    <w:rsid w:val="208C62A2"/>
    <w:rsid w:val="20B938C0"/>
    <w:rsid w:val="213F0FCC"/>
    <w:rsid w:val="21551EFD"/>
    <w:rsid w:val="26941677"/>
    <w:rsid w:val="285C1139"/>
    <w:rsid w:val="29183CAB"/>
    <w:rsid w:val="2C2C73FB"/>
    <w:rsid w:val="2CEE5EF5"/>
    <w:rsid w:val="2E1960EA"/>
    <w:rsid w:val="2F946106"/>
    <w:rsid w:val="31D514A6"/>
    <w:rsid w:val="340D054C"/>
    <w:rsid w:val="34414572"/>
    <w:rsid w:val="3546508A"/>
    <w:rsid w:val="36733095"/>
    <w:rsid w:val="3BE86E9B"/>
    <w:rsid w:val="3CC46FAD"/>
    <w:rsid w:val="3DC446E3"/>
    <w:rsid w:val="3EAF2EDB"/>
    <w:rsid w:val="3F0E0D68"/>
    <w:rsid w:val="3F7F1CD8"/>
    <w:rsid w:val="41514B69"/>
    <w:rsid w:val="41A35158"/>
    <w:rsid w:val="4235270E"/>
    <w:rsid w:val="42941B59"/>
    <w:rsid w:val="431C3B09"/>
    <w:rsid w:val="438E22FD"/>
    <w:rsid w:val="43B7D993"/>
    <w:rsid w:val="440E29C6"/>
    <w:rsid w:val="44E366D6"/>
    <w:rsid w:val="47366E50"/>
    <w:rsid w:val="47D67677"/>
    <w:rsid w:val="49726DB2"/>
    <w:rsid w:val="4A7973CA"/>
    <w:rsid w:val="4A9660B1"/>
    <w:rsid w:val="4AA95301"/>
    <w:rsid w:val="4B946E29"/>
    <w:rsid w:val="4C475AF7"/>
    <w:rsid w:val="4CA06901"/>
    <w:rsid w:val="52617548"/>
    <w:rsid w:val="539F7491"/>
    <w:rsid w:val="53B145BF"/>
    <w:rsid w:val="53D04A19"/>
    <w:rsid w:val="55F559A8"/>
    <w:rsid w:val="56D06B14"/>
    <w:rsid w:val="599D1946"/>
    <w:rsid w:val="59C471EB"/>
    <w:rsid w:val="5B657D8E"/>
    <w:rsid w:val="5C4C4833"/>
    <w:rsid w:val="5D806808"/>
    <w:rsid w:val="613501EA"/>
    <w:rsid w:val="61F814EF"/>
    <w:rsid w:val="62D51A51"/>
    <w:rsid w:val="6556394C"/>
    <w:rsid w:val="65B823D7"/>
    <w:rsid w:val="65BB6E91"/>
    <w:rsid w:val="66F53047"/>
    <w:rsid w:val="6725467E"/>
    <w:rsid w:val="67967332"/>
    <w:rsid w:val="69063EB1"/>
    <w:rsid w:val="699D4477"/>
    <w:rsid w:val="6A8F17A8"/>
    <w:rsid w:val="6C8C036C"/>
    <w:rsid w:val="6CC929EA"/>
    <w:rsid w:val="6E02757B"/>
    <w:rsid w:val="6E5811B5"/>
    <w:rsid w:val="6F8C0E14"/>
    <w:rsid w:val="6FBA4BAF"/>
    <w:rsid w:val="71BD2DFD"/>
    <w:rsid w:val="734F76ED"/>
    <w:rsid w:val="73E73C81"/>
    <w:rsid w:val="75BC64AC"/>
    <w:rsid w:val="766036D2"/>
    <w:rsid w:val="78574485"/>
    <w:rsid w:val="79C06788"/>
    <w:rsid w:val="7A1E59ED"/>
    <w:rsid w:val="7B3D10AC"/>
    <w:rsid w:val="7BE36A2A"/>
    <w:rsid w:val="7D2E207E"/>
    <w:rsid w:val="7D5E6464"/>
    <w:rsid w:val="7D7A0EAD"/>
    <w:rsid w:val="7ED22A0D"/>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
      <w:docPartPr>
        <w:name w:val="{55a8d60c-e31c-47f2-b9be-534f8699e4b9}"/>
        <w:style w:val=""/>
        <w:category>
          <w:name w:val="常规"/>
          <w:gallery w:val="placeholder"/>
        </w:category>
        <w:types>
          <w:type w:val="bbPlcHdr"/>
        </w:types>
        <w:behaviors>
          <w:behavior w:val="content"/>
        </w:behaviors>
        <w:description w:val=""/>
        <w:guid w:val="{55a8d60c-e31c-47f2-b9be-534f8699e4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22928</Words>
  <Characters>23276</Characters>
  <Lines>0</Lines>
  <Paragraphs>0</Paragraphs>
  <TotalTime>2</TotalTime>
  <ScaleCrop>false</ScaleCrop>
  <LinksUpToDate>false</LinksUpToDate>
  <CharactersWithSpaces>24469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2023年南浔西江月小区游泳池填平劳务分包工程</cp:category>
  <dcterms:created xsi:type="dcterms:W3CDTF">2023-03-16T09:34:00Z</dcterms:created>
  <dc:creator>2023-05-006</dc:creator>
  <dc:description>原有泳池回填及平整</dc:description>
  <cp:keywords>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cp:keywords>
  <cp:lastModifiedBy>城投</cp:lastModifiedBy>
  <cp:lastPrinted>2023-07-03T01:44:00Z</cp:lastPrinted>
  <dcterms:modified xsi:type="dcterms:W3CDTF">2023-07-04T01:20:53Z</dcterms:modified>
  <dc:subject>主材</dc:subject>
  <dc:title>湖州南浔区西江月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F0E109B810DE4249A2F1948D9F7440CE_13</vt:lpwstr>
  </property>
</Properties>
</file>