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449509649"/>
      <w:bookmarkStart w:id="1" w:name="_Toc179632530"/>
      <w:bookmarkStart w:id="2" w:name="_Toc152042290"/>
      <w:bookmarkStart w:id="3" w:name="_Toc246996160"/>
      <w:bookmarkStart w:id="4" w:name="_Toc144974482"/>
      <w:bookmarkStart w:id="5" w:name="_Toc247085674"/>
      <w:bookmarkStart w:id="6" w:name="_Toc152045514"/>
      <w:bookmarkStart w:id="7" w:name="_Toc246996903"/>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2023年南浔科创园二层档案室装修劳务分包工程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2023-08-010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2023年8月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2023年南浔科创园二层档案室装修劳务分包工程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 xml:space="preserve">  中共湖州市南浔区委组织部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napToGrid w:val="0"/>
                <w:kern w:val="2"/>
                <w:sz w:val="24"/>
                <w:szCs w:val="24"/>
                <w:highlight w:val="yellow"/>
                <w:lang w:val="en-US" w:eastAsia="zh-CN" w:bidi="ar-SA"/>
              </w:rPr>
              <w:t>档案室装修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2023年9月底必须完成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161352</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湖州市南浔区科创园二层档案室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default"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拆除原有隔墙、砌筑墙、墙面粉刷、安装空调</w:t>
                </w:r>
              </w:sdtContent>
            </w:sdt>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装修劳务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12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0%</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8</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25</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240" w:lineRule="auto"/>
        <w:ind w:firstLine="0" w:firstLineChars="0"/>
        <w:rPr>
          <w:rFonts w:hint="eastAsia" w:ascii="仿宋" w:hAnsi="仿宋" w:eastAsia="仿宋" w:cs="仿宋"/>
          <w:color w:val="0000FF"/>
          <w:sz w:val="24"/>
          <w:szCs w:val="24"/>
        </w:rPr>
      </w:pP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）有效标的确定</w:t>
      </w:r>
    </w:p>
    <w:p>
      <w:pPr>
        <w:spacing w:line="24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①投标单位的投标下浮率</w:t>
      </w:r>
      <w:r>
        <w:rPr>
          <w:rFonts w:hint="eastAsia" w:ascii="仿宋" w:hAnsi="仿宋" w:eastAsia="仿宋" w:cs="仿宋"/>
          <w:color w:val="0000FF"/>
          <w:sz w:val="24"/>
          <w:szCs w:val="24"/>
          <w:lang w:val="en-US" w:eastAsia="zh-CN"/>
        </w:rPr>
        <w:t>小于</w:t>
      </w:r>
      <w:r>
        <w:rPr>
          <w:rFonts w:hint="eastAsia" w:ascii="仿宋" w:hAnsi="仿宋" w:eastAsia="仿宋" w:cs="仿宋"/>
          <w:color w:val="0000FF"/>
          <w:sz w:val="24"/>
          <w:szCs w:val="24"/>
          <w:lang w:eastAsia="zh-CN"/>
        </w:rPr>
        <w:t>招标控制价</w:t>
      </w:r>
      <w:r>
        <w:rPr>
          <w:rFonts w:hint="eastAsia" w:ascii="仿宋" w:hAnsi="仿宋" w:eastAsia="仿宋" w:cs="仿宋"/>
          <w:color w:val="0000FF"/>
          <w:sz w:val="24"/>
          <w:szCs w:val="24"/>
        </w:rPr>
        <w:t>基础下浮率的</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认定为无效投标报价</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②投标报价</w:t>
      </w:r>
      <w:r>
        <w:rPr>
          <w:rFonts w:hint="eastAsia" w:ascii="仿宋" w:hAnsi="仿宋" w:eastAsia="仿宋" w:cs="仿宋"/>
          <w:color w:val="0000FF"/>
          <w:sz w:val="24"/>
          <w:szCs w:val="24"/>
          <w:lang w:val="en-US" w:eastAsia="zh-CN"/>
        </w:rPr>
        <w:t>低于平均报价</w:t>
      </w:r>
      <w:r>
        <w:rPr>
          <w:rFonts w:hint="eastAsia" w:ascii="仿宋" w:hAnsi="仿宋" w:eastAsia="仿宋" w:cs="仿宋"/>
          <w:color w:val="0000FF"/>
          <w:sz w:val="24"/>
          <w:szCs w:val="24"/>
        </w:rPr>
        <w:t>（平均报价的计算方法为</w:t>
      </w:r>
      <w:r>
        <w:rPr>
          <w:rFonts w:hint="eastAsia" w:ascii="仿宋" w:hAnsi="仿宋" w:eastAsia="仿宋" w:cs="仿宋"/>
          <w:color w:val="0000FF"/>
          <w:sz w:val="24"/>
          <w:szCs w:val="24"/>
          <w:lang w:eastAsia="zh-CN"/>
        </w:rPr>
        <w:t>在上述第</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条确定的</w:t>
      </w:r>
      <w:r>
        <w:rPr>
          <w:rFonts w:hint="eastAsia" w:ascii="仿宋" w:hAnsi="仿宋" w:eastAsia="仿宋" w:cs="仿宋"/>
          <w:color w:val="0000FF"/>
          <w:sz w:val="24"/>
          <w:szCs w:val="24"/>
        </w:rPr>
        <w:t>所有有效竞包报价去掉最高和最低报价后的算术平均价，当有效竞包报价在3家及以下时，平均报价的计算方法为全部有效竞包报价的算术平均值）</w:t>
      </w:r>
      <w:r>
        <w:rPr>
          <w:rFonts w:hint="eastAsia" w:ascii="仿宋" w:hAnsi="仿宋" w:eastAsia="仿宋" w:cs="仿宋"/>
          <w:color w:val="0000FF"/>
          <w:sz w:val="24"/>
          <w:szCs w:val="24"/>
          <w:lang w:val="en-US" w:eastAsia="zh-CN"/>
        </w:rPr>
        <w:t>的20%及以上</w:t>
      </w:r>
      <w:r>
        <w:rPr>
          <w:rFonts w:hint="eastAsia" w:ascii="仿宋" w:hAnsi="仿宋" w:eastAsia="仿宋" w:cs="仿宋"/>
          <w:color w:val="0000FF"/>
          <w:sz w:val="24"/>
          <w:szCs w:val="24"/>
        </w:rPr>
        <w:t>，认定为无效投标报价</w:t>
      </w:r>
      <w:r>
        <w:rPr>
          <w:rFonts w:hint="eastAsia" w:ascii="仿宋" w:hAnsi="仿宋" w:eastAsia="仿宋" w:cs="仿宋"/>
          <w:color w:val="0000FF"/>
          <w:sz w:val="24"/>
          <w:szCs w:val="24"/>
          <w:lang w:eastAsia="zh-CN"/>
        </w:rPr>
        <w:t>。</w:t>
      </w:r>
    </w:p>
    <w:p>
      <w:pPr>
        <w:pStyle w:val="12"/>
        <w:numPr>
          <w:ilvl w:val="0"/>
          <w:numId w:val="0"/>
        </w:numPr>
        <w:spacing w:after="0"/>
        <w:ind w:firstLine="480" w:firstLineChars="200"/>
        <w:jc w:val="both"/>
        <w:rPr>
          <w:rFonts w:hint="eastAsia"/>
        </w:rPr>
      </w:pPr>
      <w:r>
        <w:rPr>
          <w:rFonts w:hint="eastAsia" w:ascii="仿宋" w:hAnsi="仿宋" w:eastAsia="仿宋" w:cs="仿宋"/>
          <w:color w:val="FF0000"/>
          <w:sz w:val="24"/>
          <w:szCs w:val="24"/>
          <w:highlight w:val="none"/>
          <w:lang w:eastAsia="zh-CN"/>
        </w:rPr>
        <w:t>举例：假设平均报价为</w:t>
      </w:r>
      <w:r>
        <w:rPr>
          <w:rFonts w:hint="eastAsia" w:ascii="仿宋" w:hAnsi="仿宋" w:eastAsia="仿宋" w:cs="仿宋"/>
          <w:color w:val="FF0000"/>
          <w:sz w:val="24"/>
          <w:szCs w:val="24"/>
          <w:highlight w:val="none"/>
          <w:lang w:val="en-US" w:eastAsia="zh-CN"/>
        </w:rPr>
        <w:t>20%，则</w:t>
      </w:r>
      <w:r>
        <w:rPr>
          <w:rFonts w:hint="eastAsia" w:ascii="仿宋" w:hAnsi="仿宋" w:eastAsia="仿宋" w:cs="仿宋"/>
          <w:b/>
          <w:bCs/>
          <w:color w:val="FF0000"/>
          <w:sz w:val="24"/>
          <w:szCs w:val="24"/>
          <w:highlight w:val="none"/>
          <w:u w:val="none"/>
          <w:lang w:val="en-US" w:eastAsia="zh-CN"/>
        </w:rPr>
        <w:t>投标下浮率大于24%时</w:t>
      </w:r>
      <w:r>
        <w:rPr>
          <w:rFonts w:hint="eastAsia" w:ascii="仿宋" w:hAnsi="仿宋" w:eastAsia="仿宋" w:cs="仿宋"/>
          <w:color w:val="FF0000"/>
          <w:sz w:val="24"/>
          <w:szCs w:val="24"/>
          <w:highlight w:val="none"/>
        </w:rPr>
        <w:t>作为</w:t>
      </w:r>
      <w:r>
        <w:rPr>
          <w:rFonts w:hint="eastAsia" w:ascii="仿宋" w:hAnsi="仿宋" w:eastAsia="仿宋" w:cs="仿宋"/>
          <w:color w:val="FF0000"/>
          <w:sz w:val="24"/>
          <w:szCs w:val="24"/>
          <w:highlight w:val="none"/>
          <w:lang w:val="en-US" w:eastAsia="zh-CN"/>
        </w:rPr>
        <w:t>无效标</w:t>
      </w:r>
      <w:r>
        <w:rPr>
          <w:rFonts w:hint="eastAsia" w:ascii="仿宋" w:hAnsi="仿宋" w:eastAsia="仿宋" w:cs="仿宋"/>
          <w:color w:val="FF0000"/>
          <w:sz w:val="24"/>
          <w:szCs w:val="24"/>
          <w:highlight w:val="none"/>
        </w:rPr>
        <w:t>处理</w:t>
      </w:r>
      <w:r>
        <w:rPr>
          <w:rFonts w:hint="eastAsia" w:ascii="仿宋" w:hAnsi="仿宋" w:eastAsia="仿宋" w:cs="仿宋"/>
          <w:color w:val="FF0000"/>
          <w:sz w:val="24"/>
          <w:szCs w:val="24"/>
          <w:highlight w:val="none"/>
          <w:lang w:eastAsia="zh-CN"/>
        </w:rPr>
        <w:t>，计算式</w:t>
      </w:r>
      <w:r>
        <w:rPr>
          <w:rFonts w:hint="eastAsia" w:ascii="仿宋" w:hAnsi="仿宋" w:eastAsia="仿宋" w:cs="仿宋"/>
          <w:b/>
          <w:bCs/>
          <w:color w:val="FF0000"/>
          <w:sz w:val="24"/>
          <w:szCs w:val="24"/>
          <w:highlight w:val="none"/>
          <w:u w:val="none"/>
          <w:lang w:val="en-US" w:eastAsia="zh-CN"/>
        </w:rPr>
        <w:t>20%*（1+20%）=24%</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按照上述</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②</w:t>
      </w:r>
      <w:r>
        <w:rPr>
          <w:rFonts w:hint="eastAsia" w:ascii="仿宋" w:hAnsi="仿宋" w:eastAsia="仿宋" w:cs="仿宋"/>
          <w:color w:val="0000FF"/>
          <w:sz w:val="24"/>
          <w:szCs w:val="24"/>
          <w:lang w:eastAsia="zh-CN"/>
        </w:rPr>
        <w:t>规定依次</w:t>
      </w:r>
      <w:r>
        <w:rPr>
          <w:rFonts w:hint="eastAsia" w:ascii="仿宋" w:hAnsi="仿宋" w:eastAsia="仿宋" w:cs="仿宋"/>
          <w:color w:val="0000FF"/>
          <w:sz w:val="24"/>
          <w:szCs w:val="24"/>
        </w:rPr>
        <w:t>认定无效投标报价</w:t>
      </w:r>
      <w:r>
        <w:rPr>
          <w:rFonts w:hint="eastAsia" w:ascii="仿宋" w:hAnsi="仿宋" w:eastAsia="仿宋" w:cs="仿宋"/>
          <w:color w:val="0000FF"/>
          <w:sz w:val="24"/>
          <w:szCs w:val="24"/>
          <w:lang w:eastAsia="zh-CN"/>
        </w:rPr>
        <w:t>后</w:t>
      </w:r>
      <w:r>
        <w:rPr>
          <w:rFonts w:hint="eastAsia" w:ascii="仿宋" w:hAnsi="仿宋" w:eastAsia="仿宋" w:cs="仿宋"/>
          <w:color w:val="0000FF"/>
          <w:sz w:val="24"/>
          <w:szCs w:val="24"/>
        </w:rPr>
        <w:t>，其余为有效投标报价。</w:t>
      </w:r>
      <w:r>
        <w:rPr>
          <w:rFonts w:hint="eastAsia" w:ascii="仿宋" w:hAnsi="仿宋" w:eastAsia="仿宋" w:cs="仿宋"/>
          <w:color w:val="0000FF"/>
          <w:sz w:val="24"/>
          <w:szCs w:val="24"/>
          <w:lang w:val="en-US" w:eastAsia="zh-CN"/>
        </w:rPr>
        <w:t>投标单位的投标报价</w:t>
      </w:r>
      <w:r>
        <w:rPr>
          <w:rFonts w:hint="eastAsia" w:ascii="仿宋" w:hAnsi="仿宋" w:eastAsia="仿宋" w:cs="仿宋"/>
          <w:color w:val="0000FF"/>
          <w:sz w:val="24"/>
          <w:szCs w:val="24"/>
        </w:rPr>
        <w:t>只能有一个有效报价</w:t>
      </w:r>
      <w:r>
        <w:rPr>
          <w:rFonts w:hint="eastAsia" w:ascii="仿宋" w:hAnsi="仿宋" w:eastAsia="仿宋" w:cs="仿宋"/>
          <w:color w:val="0000FF"/>
          <w:sz w:val="24"/>
          <w:szCs w:val="24"/>
          <w:lang w:eastAsia="zh-CN"/>
        </w:rPr>
        <w:t>。</w:t>
      </w:r>
    </w:p>
    <w:p>
      <w:pPr>
        <w:numPr>
          <w:ilvl w:val="0"/>
          <w:numId w:val="1"/>
        </w:numPr>
        <w:tabs>
          <w:tab w:val="left" w:pos="3069"/>
        </w:tabs>
        <w:spacing w:line="240" w:lineRule="auto"/>
        <w:ind w:firstLine="0" w:firstLineChars="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报价评分</w:t>
      </w:r>
    </w:p>
    <w:p>
      <w:pPr>
        <w:pStyle w:val="6"/>
        <w:ind w:firstLine="720" w:firstLineChars="3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hint="default" w:ascii="仿宋" w:hAnsi="仿宋" w:eastAsia="仿宋" w:cs="仿宋"/>
          <w:color w:val="0000FF"/>
          <w:sz w:val="24"/>
          <w:szCs w:val="24"/>
          <w:lang w:val="en-US" w:eastAsia="zh-CN"/>
        </w:rPr>
        <w:t>最佳报价：所有</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的平均值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和</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中</w:t>
      </w:r>
      <w:r>
        <w:rPr>
          <w:rFonts w:hint="eastAsia" w:ascii="仿宋" w:hAnsi="仿宋" w:eastAsia="仿宋" w:cs="仿宋"/>
          <w:color w:val="0000FF"/>
          <w:sz w:val="24"/>
          <w:szCs w:val="24"/>
          <w:lang w:val="en-US" w:eastAsia="zh-CN"/>
        </w:rPr>
        <w:t>下浮最多（</w:t>
      </w:r>
      <w:r>
        <w:rPr>
          <w:rFonts w:hint="default" w:ascii="仿宋" w:hAnsi="仿宋" w:eastAsia="仿宋" w:cs="仿宋"/>
          <w:color w:val="0000FF"/>
          <w:sz w:val="24"/>
          <w:szCs w:val="24"/>
          <w:lang w:val="en-US" w:eastAsia="zh-CN"/>
        </w:rPr>
        <w:t>最</w:t>
      </w:r>
      <w:r>
        <w:rPr>
          <w:rFonts w:hint="eastAsia" w:ascii="仿宋" w:hAnsi="仿宋" w:eastAsia="仿宋" w:cs="仿宋"/>
          <w:color w:val="0000FF"/>
          <w:sz w:val="24"/>
          <w:szCs w:val="24"/>
          <w:lang w:val="en-US" w:eastAsia="zh-CN"/>
        </w:rPr>
        <w:t>大</w:t>
      </w:r>
      <w:r>
        <w:rPr>
          <w:rFonts w:hint="default" w:ascii="仿宋" w:hAnsi="仿宋" w:eastAsia="仿宋" w:cs="仿宋"/>
          <w:color w:val="0000FF"/>
          <w:sz w:val="24"/>
          <w:szCs w:val="24"/>
          <w:lang w:val="en-US" w:eastAsia="zh-CN"/>
        </w:rPr>
        <w:t>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两者的平均值</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rPr>
        <w:t>最佳报价保留二位小数，第三位四舍五入。各有效报价与最佳报价进行比较，按以下公式求出百分比K值（保留一位小数，第二位四舍五入）：</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K=（有效报价—最佳报价）/最佳报价*100% </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 值等于零时，得满分 100分；</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当K值大于零时，K值每增1%，在总分上扣</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分；</w:t>
      </w:r>
    </w:p>
    <w:p>
      <w:pPr>
        <w:spacing w:line="400" w:lineRule="exact"/>
        <w:ind w:firstLine="480" w:firstLineChars="200"/>
        <w:rPr>
          <w:rFonts w:hint="eastAsia" w:ascii="仿宋" w:hAnsi="仿宋" w:eastAsia="仿宋" w:cs="仿宋"/>
          <w:snapToGrid w:val="0"/>
          <w:color w:val="0000FF"/>
          <w:sz w:val="24"/>
          <w:szCs w:val="24"/>
        </w:rPr>
      </w:pPr>
      <w:r>
        <w:rPr>
          <w:rFonts w:hint="eastAsia" w:ascii="仿宋" w:hAnsi="仿宋" w:eastAsia="仿宋" w:cs="仿宋"/>
          <w:color w:val="0000FF"/>
          <w:sz w:val="24"/>
          <w:szCs w:val="24"/>
        </w:rPr>
        <w:t>当K值小于零时，K值每减1%，在总分上扣</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分；</w:t>
      </w:r>
    </w:p>
    <w:p>
      <w:pPr>
        <w:spacing w:line="400" w:lineRule="exact"/>
        <w:ind w:firstLine="480" w:firstLineChars="200"/>
        <w:rPr>
          <w:rFonts w:hint="eastAsia"/>
          <w:lang w:eastAsia="zh-CN"/>
        </w:rPr>
      </w:pPr>
      <w:r>
        <w:rPr>
          <w:rFonts w:hint="eastAsia" w:ascii="仿宋" w:hAnsi="仿宋" w:eastAsia="仿宋" w:cs="仿宋"/>
          <w:color w:val="0000FF"/>
          <w:sz w:val="24"/>
          <w:szCs w:val="24"/>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附件2：工程预算</w:t>
      </w:r>
      <w:bookmarkStart w:id="8" w:name="_GoBack"/>
      <w:bookmarkEnd w:id="8"/>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2023年南浔科创园二层档案室装修劳务分包工程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湖州市南浔区科创园二层档案室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拆除原有隔墙、砌筑墙、墙面粉刷、安装空调</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2023年9月底必须完成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EB2C05"/>
    <w:rsid w:val="02A35B5C"/>
    <w:rsid w:val="037A1AA1"/>
    <w:rsid w:val="04766C8B"/>
    <w:rsid w:val="04D74D1F"/>
    <w:rsid w:val="055C68A4"/>
    <w:rsid w:val="06171429"/>
    <w:rsid w:val="071719AF"/>
    <w:rsid w:val="079960C2"/>
    <w:rsid w:val="0A8B5C21"/>
    <w:rsid w:val="0AD67DCC"/>
    <w:rsid w:val="0B131714"/>
    <w:rsid w:val="0CD50908"/>
    <w:rsid w:val="0EA64661"/>
    <w:rsid w:val="12B23358"/>
    <w:rsid w:val="12C23A1B"/>
    <w:rsid w:val="134428EC"/>
    <w:rsid w:val="13FE30BF"/>
    <w:rsid w:val="15CE7129"/>
    <w:rsid w:val="16460046"/>
    <w:rsid w:val="16AD2835"/>
    <w:rsid w:val="176F2DA1"/>
    <w:rsid w:val="18E90CD1"/>
    <w:rsid w:val="19771AEE"/>
    <w:rsid w:val="19C26032"/>
    <w:rsid w:val="19C5040E"/>
    <w:rsid w:val="19D4673F"/>
    <w:rsid w:val="1A206ABF"/>
    <w:rsid w:val="1A293F98"/>
    <w:rsid w:val="1A3B555D"/>
    <w:rsid w:val="1B554035"/>
    <w:rsid w:val="1B5D1D31"/>
    <w:rsid w:val="1CBC0BD7"/>
    <w:rsid w:val="1D1B1C47"/>
    <w:rsid w:val="1D483D15"/>
    <w:rsid w:val="1DCB797C"/>
    <w:rsid w:val="1E380731"/>
    <w:rsid w:val="1F7A2683"/>
    <w:rsid w:val="208C62A2"/>
    <w:rsid w:val="20B938C0"/>
    <w:rsid w:val="213F0FCC"/>
    <w:rsid w:val="21551EFD"/>
    <w:rsid w:val="2182385D"/>
    <w:rsid w:val="21FB1F5E"/>
    <w:rsid w:val="249E36CC"/>
    <w:rsid w:val="24F97C9E"/>
    <w:rsid w:val="26941677"/>
    <w:rsid w:val="27197CEC"/>
    <w:rsid w:val="273C1C9A"/>
    <w:rsid w:val="285C1139"/>
    <w:rsid w:val="28E62AEA"/>
    <w:rsid w:val="29183CAB"/>
    <w:rsid w:val="2C2C73FB"/>
    <w:rsid w:val="2CEE5EF5"/>
    <w:rsid w:val="2E08306F"/>
    <w:rsid w:val="2E1960EA"/>
    <w:rsid w:val="2F946106"/>
    <w:rsid w:val="31D514A6"/>
    <w:rsid w:val="340D054C"/>
    <w:rsid w:val="34414572"/>
    <w:rsid w:val="3546508A"/>
    <w:rsid w:val="36733095"/>
    <w:rsid w:val="375F773F"/>
    <w:rsid w:val="3BE86E9B"/>
    <w:rsid w:val="3CC46FAD"/>
    <w:rsid w:val="3DC446E3"/>
    <w:rsid w:val="3EAF2EDB"/>
    <w:rsid w:val="3F0E0D68"/>
    <w:rsid w:val="3F7F1CD8"/>
    <w:rsid w:val="41514B69"/>
    <w:rsid w:val="41A35158"/>
    <w:rsid w:val="4235270E"/>
    <w:rsid w:val="428721BC"/>
    <w:rsid w:val="42941B59"/>
    <w:rsid w:val="431C3B09"/>
    <w:rsid w:val="438E22FD"/>
    <w:rsid w:val="43B7D993"/>
    <w:rsid w:val="440E29C6"/>
    <w:rsid w:val="441753C0"/>
    <w:rsid w:val="44E366D6"/>
    <w:rsid w:val="467D7510"/>
    <w:rsid w:val="47366E50"/>
    <w:rsid w:val="47CF6349"/>
    <w:rsid w:val="47D67677"/>
    <w:rsid w:val="49333DB6"/>
    <w:rsid w:val="49726DB2"/>
    <w:rsid w:val="4A7973CA"/>
    <w:rsid w:val="4A9660B1"/>
    <w:rsid w:val="4AA95301"/>
    <w:rsid w:val="4B946E29"/>
    <w:rsid w:val="4C475AF7"/>
    <w:rsid w:val="4C765869"/>
    <w:rsid w:val="4CA06901"/>
    <w:rsid w:val="4DF93283"/>
    <w:rsid w:val="4E9B0C46"/>
    <w:rsid w:val="52617548"/>
    <w:rsid w:val="539F7491"/>
    <w:rsid w:val="53B145BF"/>
    <w:rsid w:val="53D04A19"/>
    <w:rsid w:val="55F559A8"/>
    <w:rsid w:val="56D06B14"/>
    <w:rsid w:val="599D1946"/>
    <w:rsid w:val="59C471EB"/>
    <w:rsid w:val="5B657D8E"/>
    <w:rsid w:val="5C4C4833"/>
    <w:rsid w:val="5D806808"/>
    <w:rsid w:val="613501EA"/>
    <w:rsid w:val="61B06DA8"/>
    <w:rsid w:val="61F814EF"/>
    <w:rsid w:val="628831A4"/>
    <w:rsid w:val="62D51A51"/>
    <w:rsid w:val="6556394C"/>
    <w:rsid w:val="65B823D7"/>
    <w:rsid w:val="65BB6E91"/>
    <w:rsid w:val="66C842C6"/>
    <w:rsid w:val="66F53047"/>
    <w:rsid w:val="6725467E"/>
    <w:rsid w:val="678D387A"/>
    <w:rsid w:val="67967332"/>
    <w:rsid w:val="69063EB1"/>
    <w:rsid w:val="699D4477"/>
    <w:rsid w:val="6A8F17A8"/>
    <w:rsid w:val="6C8C036C"/>
    <w:rsid w:val="6CC929EA"/>
    <w:rsid w:val="6E02757B"/>
    <w:rsid w:val="6E5811B5"/>
    <w:rsid w:val="6F8C0E14"/>
    <w:rsid w:val="6FBA4BAF"/>
    <w:rsid w:val="71BD2DFD"/>
    <w:rsid w:val="734F76ED"/>
    <w:rsid w:val="73E73C81"/>
    <w:rsid w:val="75BC64AC"/>
    <w:rsid w:val="766036D2"/>
    <w:rsid w:val="78574485"/>
    <w:rsid w:val="786813C2"/>
    <w:rsid w:val="79C06788"/>
    <w:rsid w:val="7A1E59ED"/>
    <w:rsid w:val="7B3D10AC"/>
    <w:rsid w:val="7BE36A2A"/>
    <w:rsid w:val="7BF32349"/>
    <w:rsid w:val="7D2E207E"/>
    <w:rsid w:val="7D5E6464"/>
    <w:rsid w:val="7D7A0EAD"/>
    <w:rsid w:val="7D990D5B"/>
    <w:rsid w:val="7D996D6E"/>
    <w:rsid w:val="7ED22A0D"/>
    <w:rsid w:val="7F2C3AA6"/>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23754</Words>
  <Characters>24123</Characters>
  <Lines>0</Lines>
  <Paragraphs>0</Paragraphs>
  <TotalTime>4</TotalTime>
  <ScaleCrop>false</ScaleCrop>
  <LinksUpToDate>false</LinksUpToDate>
  <CharactersWithSpaces>25313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2023年南浔科创园二层档案室装修劳务分包工程</cp:category>
  <dcterms:created xsi:type="dcterms:W3CDTF">2023-03-16T09:34:00Z</dcterms:created>
  <dc:creator>2023-05-006</dc:creator>
  <dc:description>拆除原有隔墙、砌筑墙、墙面粉刷、安装空调</dc:description>
  <cp:keywords>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cp:keywords>
  <cp:lastModifiedBy>城投</cp:lastModifiedBy>
  <cp:lastPrinted>2023-08-21T07:44:00Z</cp:lastPrinted>
  <dcterms:modified xsi:type="dcterms:W3CDTF">2023-08-22T01:46:43Z</dcterms:modified>
  <dc:subject>主材</dc:subject>
  <dc:title>湖州市南浔区科创园二层档案室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