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449509649"/>
      <w:bookmarkStart w:id="1" w:name="_Toc144974482"/>
      <w:bookmarkStart w:id="2" w:name="_Toc152042290"/>
      <w:bookmarkStart w:id="3" w:name="_Toc152045514"/>
      <w:bookmarkStart w:id="4" w:name="_Toc246996160"/>
      <w:bookmarkStart w:id="5" w:name="_Toc246996903"/>
      <w:bookmarkStart w:id="6" w:name="_Toc179632530"/>
      <w:bookmarkStart w:id="7" w:name="_Toc247085674"/>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2023年度湖州南浔城投城市建设集团有限公司机械租赁项目</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2023-10-001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2023年10月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2023年度湖州南浔城投城市建设集团有限公司机械租赁项目</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 xml:space="preserve">机械租赁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2年（具体以合同签订时间为准）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 湖州市南浔区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 机械租赁（机械种类详见报价清单）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single"/>
                    <w:vertAlign w:val="baseline"/>
                    <w:lang w:val="en-US" w:eastAsia="zh-CN"/>
                  </w:rPr>
                  <w:t xml:space="preserve">  /  </w:t>
                </w:r>
              </w:sdtContent>
            </w:sdt>
            <w:r>
              <w:rPr>
                <w:rFonts w:hint="eastAsia" w:ascii="仿宋" w:hAnsi="仿宋" w:eastAsia="仿宋" w:cs="仿宋"/>
                <w:b w:val="0"/>
                <w:bCs w:val="0"/>
                <w:color w:val="auto"/>
                <w:kern w:val="0"/>
                <w:sz w:val="24"/>
                <w:szCs w:val="24"/>
                <w:highlight w:val="yellow"/>
                <w:u w:val="none"/>
                <w:lang w:val="en-US" w:eastAsia="zh-CN" w:bidi="ar"/>
              </w:rPr>
              <w:t>。</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highlight w:val="yellow"/>
                <w:u w:val="none"/>
                <w:lang w:val="en-US" w:eastAsia="zh-CN" w:bidi="ar"/>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r>
              <w:rPr>
                <w:rFonts w:hint="eastAsia" w:ascii="仿宋" w:hAnsi="仿宋" w:eastAsia="仿宋" w:cs="仿宋"/>
                <w:b w:val="0"/>
                <w:bCs w:val="0"/>
                <w:color w:val="auto"/>
                <w:kern w:val="0"/>
                <w:sz w:val="24"/>
                <w:szCs w:val="24"/>
                <w:u w:val="no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 xml:space="preserve"> /万元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en-US" w:eastAsia="zh-CN"/>
                  </w:rPr>
                  <w:t>每年年底凭双方确认的结算单按实际发生的数量统一支付。</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机械台班单价（以中标的报价单为准）*台班数量</w:t>
            </w:r>
            <w:r>
              <w:rPr>
                <w:rFonts w:hint="eastAsia" w:ascii="仿宋" w:hAnsi="仿宋" w:eastAsia="仿宋" w:cs="仿宋"/>
                <w:color w:val="auto"/>
                <w:sz w:val="24"/>
                <w:szCs w:val="24"/>
                <w:highlight w:val="none"/>
              </w:rPr>
              <w:t>-其他扣款</w:t>
            </w:r>
            <w:r>
              <w:rPr>
                <w:rFonts w:hint="eastAsia" w:ascii="仿宋" w:hAnsi="仿宋" w:eastAsia="仿宋" w:cs="仿宋"/>
                <w:sz w:val="24"/>
                <w:szCs w:val="24"/>
                <w:highlight w:val="none"/>
                <w:lang w:val="en-US" w:eastAsia="zh-CN"/>
              </w:rPr>
              <w:t>，结算的机械台班费按中标报价中相应的机械台班费结算；若中标报价中无相应的机械台班报价，结算时由双方协商确定（且价格不高于市场价）。</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相应的增值税税额专用发票，具体结算方式以合同约定及附表执行。</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w:t>
            </w:r>
            <w:r>
              <w:rPr>
                <w:rFonts w:hint="eastAsia" w:ascii="仿宋" w:hAnsi="仿宋" w:eastAsia="仿宋" w:cs="仿宋"/>
                <w:sz w:val="24"/>
                <w:szCs w:val="24"/>
                <w:u w:val="single"/>
                <w:lang w:val="en-US" w:eastAsia="zh-CN"/>
              </w:rPr>
              <w:t>本项目服务能力的，营业执照内容必须反映出机械设备租赁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 xml:space="preserve"> /万元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控制价（最高限价）为</w:t>
            </w:r>
            <w:r>
              <w:rPr>
                <w:rFonts w:hint="eastAsia" w:ascii="仿宋" w:hAnsi="仿宋" w:eastAsia="仿宋" w:cs="仿宋"/>
                <w:color w:val="000000"/>
                <w:sz w:val="24"/>
                <w:szCs w:val="24"/>
                <w:highlight w:val="yellow"/>
                <w:u w:val="single"/>
                <w:lang w:val="en-US" w:eastAsia="zh-CN"/>
              </w:rPr>
              <w:t xml:space="preserve"> 7050元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w:t>
            </w:r>
            <w:r>
              <w:rPr>
                <w:rFonts w:hint="eastAsia" w:ascii="仿宋" w:hAnsi="仿宋" w:eastAsia="仿宋" w:cs="仿宋"/>
                <w:color w:val="0000FF"/>
                <w:sz w:val="24"/>
                <w:szCs w:val="24"/>
                <w:highlight w:val="none"/>
                <w:lang w:val="en-US" w:eastAsia="zh-CN"/>
              </w:rPr>
              <w:t>高</w:t>
            </w:r>
            <w:r>
              <w:rPr>
                <w:rFonts w:hint="eastAsia" w:ascii="仿宋" w:hAnsi="仿宋" w:eastAsia="仿宋" w:cs="仿宋"/>
                <w:color w:val="0000FF"/>
                <w:sz w:val="24"/>
                <w:szCs w:val="24"/>
                <w:highlight w:val="none"/>
              </w:rPr>
              <w:t>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位小数，第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val="en-US" w:eastAsia="zh-CN"/>
              </w:rPr>
              <w:t xml:space="preserve"> 2023</w:t>
            </w:r>
            <w:r>
              <w:rPr>
                <w:rFonts w:hint="eastAsia" w:ascii="仿宋" w:hAnsi="仿宋" w:eastAsia="仿宋" w:cs="仿宋"/>
                <w:sz w:val="24"/>
                <w:szCs w:val="24"/>
                <w:highlight w:val="yellow"/>
                <w:u w:val="single"/>
                <w:lang w:eastAsia="zh-CN"/>
              </w:rPr>
              <w:t>年</w:t>
            </w:r>
            <w:r>
              <w:rPr>
                <w:rFonts w:hint="eastAsia" w:ascii="仿宋" w:hAnsi="仿宋" w:eastAsia="仿宋" w:cs="仿宋"/>
                <w:sz w:val="24"/>
                <w:szCs w:val="24"/>
                <w:highlight w:val="yellow"/>
                <w:u w:val="single"/>
                <w:lang w:val="en-US" w:eastAsia="zh-CN"/>
              </w:rPr>
              <w:t>10</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20</w:t>
            </w:r>
            <w:bookmarkStart w:id="8" w:name="_GoBack"/>
            <w:bookmarkEnd w:id="8"/>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r>
              <w:rPr>
                <w:rFonts w:hint="eastAsia" w:ascii="仿宋" w:hAnsi="仿宋" w:eastAsia="仿宋" w:cs="仿宋"/>
                <w:color w:val="auto"/>
                <w:sz w:val="24"/>
                <w:szCs w:val="24"/>
                <w:highlight w:val="yellow"/>
                <w:lang w:val="en-US" w:eastAsia="zh-CN"/>
              </w:rPr>
              <w:t>（本项本次招标无需提供）</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none"/>
                <w:lang w:val="en-US" w:eastAsia="zh-CN"/>
              </w:rPr>
              <w:t>安全生产许可证复印件</w:t>
            </w:r>
            <w:r>
              <w:rPr>
                <w:rFonts w:hint="eastAsia" w:ascii="仿宋" w:hAnsi="仿宋" w:eastAsia="仿宋" w:cs="仿宋"/>
                <w:color w:val="auto"/>
                <w:sz w:val="24"/>
                <w:szCs w:val="24"/>
                <w:highlight w:val="yellow"/>
                <w:lang w:val="en-US" w:eastAsia="zh-CN"/>
              </w:rPr>
              <w:t>（本项本次招标无需提供）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（一）有效合理标的确定</w:t>
      </w:r>
    </w:p>
    <w:p>
      <w:pPr>
        <w:spacing w:line="400" w:lineRule="exact"/>
        <w:ind w:firstLine="480" w:firstLineChars="200"/>
        <w:rPr>
          <w:rFonts w:ascii="仿宋_GB2312" w:hAnsi="仿宋" w:eastAsia="仿宋_GB2312" w:cs="仿宋"/>
          <w:color w:val="FF0000"/>
          <w:sz w:val="24"/>
          <w:szCs w:val="24"/>
        </w:rPr>
      </w:pPr>
      <w:r>
        <w:rPr>
          <w:rFonts w:hint="eastAsia" w:ascii="仿宋_GB2312" w:hAnsi="仿宋" w:eastAsia="仿宋_GB2312" w:cs="仿宋"/>
          <w:color w:val="FF0000"/>
          <w:sz w:val="24"/>
          <w:szCs w:val="24"/>
        </w:rPr>
        <w:t>投标单位的投标</w:t>
      </w:r>
      <w:r>
        <w:rPr>
          <w:rFonts w:hint="eastAsia" w:ascii="仿宋_GB2312" w:hAnsi="仿宋" w:eastAsia="仿宋_GB2312" w:cs="仿宋"/>
          <w:color w:val="FF0000"/>
          <w:sz w:val="24"/>
          <w:szCs w:val="24"/>
          <w:lang w:val="en-US" w:eastAsia="zh-CN"/>
        </w:rPr>
        <w:t>报价高于招标控制价</w:t>
      </w:r>
      <w:r>
        <w:rPr>
          <w:rFonts w:hint="eastAsia" w:ascii="仿宋_GB2312" w:hAnsi="仿宋" w:eastAsia="仿宋_GB2312" w:cs="仿宋"/>
          <w:color w:val="FF0000"/>
          <w:sz w:val="24"/>
          <w:szCs w:val="24"/>
        </w:rPr>
        <w:t>的，认定为无效投标报价，其余为有效投标报价。</w:t>
      </w:r>
    </w:p>
    <w:p>
      <w:pPr>
        <w:spacing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（二）商务报价评分</w:t>
      </w:r>
    </w:p>
    <w:tbl>
      <w:tblPr>
        <w:tblStyle w:val="13"/>
        <w:tblpPr w:leftFromText="180" w:rightFromText="180" w:vertAnchor="text" w:horzAnchor="page" w:tblpX="1777" w:tblpY="7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sz w:val="24"/>
                <w:szCs w:val="24"/>
              </w:rPr>
            </w:pPr>
            <w:r>
              <w:rPr>
                <w:rFonts w:hint="eastAsia" w:ascii="仿宋_GB2312" w:hAnsi="仿宋" w:eastAsia="仿宋_GB2312" w:cs="仿宋"/>
                <w:sz w:val="24"/>
                <w:szCs w:val="24"/>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sz w:val="24"/>
                <w:szCs w:val="24"/>
              </w:rPr>
            </w:pPr>
            <w:r>
              <w:rPr>
                <w:rFonts w:hint="eastAsia" w:ascii="仿宋_GB2312" w:hAnsi="仿宋" w:eastAsia="仿宋_GB2312" w:cs="仿宋"/>
                <w:sz w:val="24"/>
                <w:szCs w:val="24"/>
              </w:rPr>
              <w:t>最低有效投标报价得100分，次低有效投标报价得99分，以此类推。（报价保留一位小数）</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附件1：《机械租赁合同》；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3"/>
        <w:numPr>
          <w:ilvl w:val="0"/>
          <w:numId w:val="0"/>
        </w:numPr>
        <w:spacing w:line="500" w:lineRule="exact"/>
        <w:ind w:leftChars="200"/>
        <w:jc w:val="center"/>
        <w:rPr>
          <w:rFonts w:hint="eastAsia"/>
          <w:b/>
          <w:bCs/>
          <w:spacing w:val="24"/>
          <w:sz w:val="24"/>
          <w:szCs w:val="24"/>
        </w:rPr>
      </w:pPr>
    </w:p>
    <w:p>
      <w:pPr>
        <w:pStyle w:val="3"/>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u w:val="single"/>
          <w:lang w:val="en-US" w:eastAsia="zh-CN"/>
        </w:rPr>
        <w:t xml:space="preserve">      元</w:t>
      </w:r>
      <w:r>
        <w:rPr>
          <w:rFonts w:hint="eastAsia" w:ascii="仿宋" w:hAnsi="仿宋" w:eastAsia="仿宋" w:cs="仿宋"/>
          <w:sz w:val="24"/>
          <w:szCs w:val="24"/>
        </w:rPr>
        <w:t>的投标报价</w:t>
      </w:r>
      <w:r>
        <w:rPr>
          <w:rFonts w:hint="eastAsia" w:ascii="仿宋" w:hAnsi="仿宋" w:eastAsia="仿宋" w:cs="仿宋"/>
          <w:sz w:val="24"/>
          <w:szCs w:val="24"/>
          <w:highlight w:val="yellow"/>
          <w:u w:val="single"/>
          <w:lang w:val="en-US" w:eastAsia="zh-CN"/>
        </w:rPr>
        <w:t>（投标报价单中的总计应与投标函中的投标总报价一致）</w:t>
      </w:r>
      <w:r>
        <w:rPr>
          <w:rFonts w:hint="eastAsia" w:ascii="仿宋" w:hAnsi="仿宋" w:eastAsia="仿宋" w:cs="仿宋"/>
          <w:sz w:val="24"/>
          <w:szCs w:val="24"/>
        </w:rPr>
        <w:t>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6、如果我方中标按中标通知书中规定的日期与贵方签订承包合同，并承担承包单位的一切义务和责任。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4"/>
        <w:rPr>
          <w:rFonts w:hint="eastAsia" w:ascii="仿宋" w:hAnsi="仿宋" w:eastAsia="仿宋" w:cs="仿宋"/>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rPr>
        <w:sectPr>
          <w:footerReference r:id="rId3" w:type="default"/>
          <w:pgSz w:w="11906" w:h="16838"/>
          <w:pgMar w:top="1440" w:right="1266" w:bottom="1440" w:left="1180" w:header="851" w:footer="992" w:gutter="0"/>
          <w:pgNumType w:fmt="decimal" w:start="1"/>
          <w:cols w:space="720" w:num="1"/>
          <w:docGrid w:type="lines" w:linePitch="312" w:charSpace="0"/>
        </w:sect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报价清单</w:t>
      </w:r>
    </w:p>
    <w:p>
      <w:pPr>
        <w:rPr>
          <w:rFonts w:hint="eastAsia" w:ascii="仿宋" w:hAnsi="仿宋" w:eastAsia="仿宋" w:cs="仿宋"/>
          <w:b/>
          <w:bCs/>
          <w:sz w:val="32"/>
          <w:szCs w:val="32"/>
          <w:lang w:val="en-US" w:eastAsia="zh-CN"/>
        </w:rPr>
      </w:pPr>
    </w:p>
    <w:tbl>
      <w:tblPr>
        <w:tblStyle w:val="13"/>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2565"/>
        <w:gridCol w:w="1440"/>
        <w:gridCol w:w="1695"/>
        <w:gridCol w:w="150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19"/>
                <w:rFonts w:hint="eastAsia" w:ascii="仿宋" w:hAnsi="仿宋" w:eastAsia="仿宋" w:cs="仿宋"/>
                <w:lang w:val="en-US" w:eastAsia="zh-CN" w:bidi="ar"/>
              </w:rPr>
              <w:t>序号</w:t>
            </w:r>
          </w:p>
        </w:tc>
        <w:tc>
          <w:tcPr>
            <w:tcW w:w="25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19"/>
                <w:rFonts w:hint="eastAsia" w:ascii="仿宋" w:hAnsi="仿宋" w:eastAsia="仿宋" w:cs="仿宋"/>
                <w:lang w:val="en-US" w:eastAsia="zh-CN" w:bidi="ar"/>
              </w:rPr>
              <w:t>机械名称</w:t>
            </w:r>
          </w:p>
        </w:tc>
        <w:tc>
          <w:tcPr>
            <w:tcW w:w="14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19"/>
                <w:rFonts w:hint="eastAsia" w:ascii="仿宋" w:hAnsi="仿宋" w:eastAsia="仿宋" w:cs="仿宋"/>
                <w:lang w:val="en-US" w:eastAsia="zh-CN" w:bidi="ar"/>
              </w:rPr>
              <w:t>规格（型号）</w:t>
            </w:r>
          </w:p>
        </w:tc>
        <w:tc>
          <w:tcPr>
            <w:tcW w:w="1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单价（含税）</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19"/>
                <w:rFonts w:hint="eastAsia" w:ascii="仿宋" w:hAnsi="仿宋" w:eastAsia="仿宋" w:cs="仿宋"/>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0"/>
                <w:rFonts w:hint="eastAsia" w:ascii="仿宋" w:hAnsi="仿宋" w:eastAsia="仿宋" w:cs="仿宋"/>
                <w:lang w:val="en-US" w:eastAsia="zh-CN" w:bidi="ar"/>
              </w:rPr>
              <w:t>货车</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1"/>
                <w:rFonts w:hint="eastAsia" w:ascii="仿宋" w:hAnsi="仿宋" w:eastAsia="仿宋" w:cs="仿宋"/>
                <w:lang w:val="en-US" w:eastAsia="zh-CN" w:bidi="ar"/>
              </w:rPr>
              <w:t>4.2m</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0"/>
                <w:rFonts w:hint="eastAsia" w:ascii="仿宋" w:hAnsi="仿宋" w:eastAsia="仿宋" w:cs="仿宋"/>
                <w:lang w:val="en-US" w:eastAsia="zh-CN" w:bidi="ar"/>
              </w:rPr>
              <w:t>挖机</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1"/>
                <w:rFonts w:hint="eastAsia" w:ascii="仿宋" w:hAnsi="仿宋" w:eastAsia="仿宋" w:cs="仿宋"/>
                <w:lang w:val="en-US" w:eastAsia="zh-CN" w:bidi="ar"/>
              </w:rPr>
              <w:t>60</w:t>
            </w:r>
            <w:r>
              <w:rPr>
                <w:rStyle w:val="23"/>
                <w:rFonts w:hint="eastAsia" w:ascii="仿宋" w:hAnsi="仿宋" w:eastAsia="仿宋" w:cs="仿宋"/>
                <w:lang w:val="en-US" w:eastAsia="zh-CN" w:bidi="ar"/>
              </w:rPr>
              <w:t>型</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0"/>
                <w:rFonts w:hint="eastAsia" w:ascii="仿宋" w:hAnsi="仿宋" w:eastAsia="仿宋" w:cs="仿宋"/>
                <w:lang w:val="en-US" w:eastAsia="zh-CN" w:bidi="ar"/>
              </w:rPr>
              <w:t>挖机</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1"/>
                <w:rFonts w:hint="eastAsia" w:ascii="仿宋" w:hAnsi="仿宋" w:eastAsia="仿宋" w:cs="仿宋"/>
                <w:lang w:val="en-US" w:eastAsia="zh-CN" w:bidi="ar"/>
              </w:rPr>
              <w:t>120</w:t>
            </w:r>
            <w:r>
              <w:rPr>
                <w:rStyle w:val="23"/>
                <w:rFonts w:hint="eastAsia" w:ascii="仿宋" w:hAnsi="仿宋" w:eastAsia="仿宋" w:cs="仿宋"/>
                <w:lang w:val="en-US" w:eastAsia="zh-CN" w:bidi="ar"/>
              </w:rPr>
              <w:t>型</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0"/>
                <w:rFonts w:hint="eastAsia" w:ascii="仿宋" w:hAnsi="仿宋" w:eastAsia="仿宋" w:cs="仿宋"/>
                <w:lang w:val="en-US" w:eastAsia="zh-CN" w:bidi="ar"/>
              </w:rPr>
              <w:t>吊车</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8t</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0"/>
                <w:rFonts w:hint="eastAsia" w:ascii="仿宋" w:hAnsi="仿宋" w:eastAsia="仿宋" w:cs="仿宋"/>
                <w:lang w:val="en-US" w:eastAsia="zh-CN" w:bidi="ar"/>
              </w:rPr>
              <w:t>吊车</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16t</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吊车</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25t</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平板挂车</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1"/>
                <w:rFonts w:hint="eastAsia" w:ascii="仿宋" w:hAnsi="仿宋" w:eastAsia="仿宋" w:cs="仿宋"/>
                <w:lang w:val="en-US" w:eastAsia="zh-CN" w:bidi="ar"/>
              </w:rPr>
              <w:t>17m</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20"/>
                <w:rFonts w:hint="eastAsia" w:ascii="仿宋" w:hAnsi="仿宋" w:eastAsia="仿宋" w:cs="仿宋"/>
                <w:lang w:val="en-US" w:eastAsia="zh-CN" w:bidi="ar"/>
              </w:rPr>
              <w:t>蓝牌吊杆车</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4.2m</w:t>
            </w: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lang w:val="en-US" w:eastAsia="zh-CN" w:bidi="ar"/>
              </w:rPr>
              <w:t>天（8小时）</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5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总计</w:t>
            </w:r>
          </w:p>
        </w:tc>
        <w:tc>
          <w:tcPr>
            <w:tcW w:w="144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33" w:type="dxa"/>
            <w:gridSpan w:val="6"/>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注：以上单价含机械操作工（司机）、油费、进出场运输费、税金及其他一切费用。</w:t>
            </w:r>
          </w:p>
        </w:tc>
      </w:tr>
    </w:tbl>
    <w:p>
      <w:pPr>
        <w:pStyle w:val="12"/>
        <w:rPr>
          <w:rFonts w:hint="default"/>
          <w:lang w:val="en-US" w:eastAsia="zh-CN"/>
        </w:rPr>
        <w:sectPr>
          <w:footerReference r:id="rId4" w:type="default"/>
          <w:pgSz w:w="11906" w:h="16838"/>
          <w:pgMar w:top="1440" w:right="1266" w:bottom="1440" w:left="1180" w:header="851" w:footer="992" w:gutter="0"/>
          <w:pgNumType w:fmt="decimal" w:start="10"/>
          <w:cols w:space="720" w:num="1"/>
          <w:docGrid w:type="lines" w:linePitch="312" w:charSpace="0"/>
        </w:sect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保证金打款证明（本次招标无需提供）</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资质证书复印件（本次招标无需提供）</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br w:type="page"/>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rPr>
        <w:t>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u w:val="single"/>
          <w:lang w:val="en-US" w:eastAsia="zh-CN"/>
        </w:rPr>
        <w:t xml:space="preserve">  / </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pgSz w:w="11906" w:h="16838"/>
          <w:pgMar w:top="1440" w:right="1266" w:bottom="1440" w:left="118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keepNext w:val="0"/>
        <w:keepLines w:val="0"/>
        <w:pageBreakBefore w:val="0"/>
        <w:widowControl w:val="0"/>
        <w:kinsoku/>
        <w:wordWrap/>
        <w:overflowPunct/>
        <w:topLinePunct w:val="0"/>
        <w:autoSpaceDE/>
        <w:autoSpaceDN/>
        <w:bidi w:val="0"/>
        <w:adjustRightInd/>
        <w:snapToGrid/>
        <w:spacing w:beforeLines="0" w:after="156" w:afterLines="50" w:line="40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keepNext w:val="0"/>
        <w:keepLines w:val="0"/>
        <w:pageBreakBefore w:val="0"/>
        <w:widowControl w:val="0"/>
        <w:kinsoku/>
        <w:wordWrap/>
        <w:overflowPunct/>
        <w:topLinePunct w:val="0"/>
        <w:autoSpaceDE/>
        <w:autoSpaceDN/>
        <w:bidi w:val="0"/>
        <w:adjustRightInd/>
        <w:snapToGrid/>
        <w:spacing w:beforeLines="0" w:after="156" w:afterLines="50" w:line="44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276" w:lineRule="auto"/>
        <w:jc w:val="center"/>
        <w:rPr>
          <w:rFonts w:hint="eastAsia" w:ascii="仿宋" w:hAnsi="仿宋" w:eastAsia="仿宋" w:cs="仿宋"/>
          <w:color w:val="000000"/>
          <w:szCs w:val="21"/>
        </w:rPr>
      </w:pPr>
      <w:r>
        <w:rPr>
          <w:rFonts w:hint="eastAsia" w:ascii="仿宋" w:hAnsi="仿宋" w:eastAsia="仿宋" w:cs="仿宋"/>
          <w:b/>
          <w:color w:val="000000"/>
          <w:sz w:val="36"/>
          <w:szCs w:val="36"/>
        </w:rPr>
        <w:t>机械租赁合同</w:t>
      </w:r>
    </w:p>
    <w:p>
      <w:pPr>
        <w:spacing w:line="320" w:lineRule="exact"/>
        <w:jc w:val="center"/>
        <w:rPr>
          <w:rFonts w:hint="eastAsia" w:ascii="仿宋" w:hAnsi="仿宋" w:eastAsia="仿宋" w:cs="仿宋"/>
          <w:color w:val="000000"/>
          <w:szCs w:val="21"/>
        </w:rPr>
      </w:pPr>
    </w:p>
    <w:p>
      <w:pPr>
        <w:spacing w:line="440" w:lineRule="exact"/>
        <w:ind w:left="1"/>
        <w:jc w:val="left"/>
        <w:rPr>
          <w:rFonts w:hint="eastAsia" w:ascii="仿宋" w:hAnsi="仿宋" w:eastAsia="仿宋" w:cs="仿宋"/>
          <w:color w:val="000000"/>
          <w:szCs w:val="21"/>
        </w:rPr>
      </w:pPr>
      <w:r>
        <w:rPr>
          <w:rFonts w:hint="eastAsia" w:ascii="仿宋" w:hAnsi="仿宋" w:eastAsia="仿宋" w:cs="仿宋"/>
          <w:color w:val="000000"/>
          <w:szCs w:val="21"/>
        </w:rPr>
        <w:t>甲方：</w:t>
      </w:r>
      <w:r>
        <w:rPr>
          <w:rFonts w:hint="eastAsia" w:ascii="仿宋" w:hAnsi="仿宋" w:eastAsia="仿宋" w:cs="仿宋"/>
          <w:bCs/>
          <w:color w:val="000000"/>
          <w:szCs w:val="21"/>
          <w:u w:val="single"/>
        </w:rPr>
        <w:t>湖州南浔城投</w:t>
      </w:r>
      <w:r>
        <w:rPr>
          <w:rFonts w:hint="eastAsia" w:ascii="仿宋" w:hAnsi="仿宋" w:eastAsia="仿宋" w:cs="仿宋"/>
          <w:bCs/>
          <w:color w:val="000000"/>
          <w:szCs w:val="21"/>
          <w:u w:val="single"/>
          <w:lang w:val="en-US" w:eastAsia="zh-CN"/>
        </w:rPr>
        <w:t>城市建设集团有限公司</w:t>
      </w:r>
      <w:r>
        <w:rPr>
          <w:rFonts w:hint="eastAsia" w:ascii="仿宋" w:hAnsi="仿宋" w:eastAsia="仿宋" w:cs="仿宋"/>
          <w:color w:val="000000"/>
          <w:szCs w:val="21"/>
        </w:rPr>
        <w:t>（承租方）　　合同签订地点：</w:t>
      </w:r>
      <w:r>
        <w:rPr>
          <w:rFonts w:hint="eastAsia" w:ascii="仿宋" w:hAnsi="仿宋" w:eastAsia="仿宋" w:cs="仿宋"/>
          <w:color w:val="000000"/>
          <w:szCs w:val="21"/>
          <w:u w:val="single"/>
        </w:rPr>
        <w:t xml:space="preserve">湖州市南浔区 </w:t>
      </w:r>
    </w:p>
    <w:p>
      <w:pPr>
        <w:spacing w:line="440" w:lineRule="exact"/>
        <w:ind w:left="1"/>
        <w:jc w:val="left"/>
        <w:rPr>
          <w:rFonts w:hint="eastAsia" w:ascii="仿宋" w:hAnsi="仿宋" w:eastAsia="仿宋" w:cs="仿宋"/>
          <w:color w:val="000000"/>
          <w:szCs w:val="21"/>
        </w:rPr>
      </w:pPr>
      <w:r>
        <w:rPr>
          <w:rFonts w:hint="eastAsia" w:ascii="仿宋" w:hAnsi="仿宋" w:eastAsia="仿宋" w:cs="仿宋"/>
          <w:color w:val="000000"/>
          <w:szCs w:val="21"/>
        </w:rPr>
        <w:t>乙方：</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（出租方）</w:t>
      </w:r>
    </w:p>
    <w:p>
      <w:pPr>
        <w:spacing w:line="440" w:lineRule="exact"/>
        <w:ind w:left="1"/>
        <w:rPr>
          <w:rFonts w:hint="eastAsia" w:ascii="仿宋" w:hAnsi="仿宋" w:eastAsia="仿宋" w:cs="仿宋"/>
          <w:color w:val="000000"/>
          <w:szCs w:val="21"/>
        </w:rPr>
      </w:pPr>
      <w:r>
        <w:rPr>
          <w:rFonts w:hint="eastAsia" w:ascii="仿宋" w:hAnsi="仿宋" w:eastAsia="仿宋" w:cs="仿宋"/>
          <w:color w:val="000000"/>
          <w:szCs w:val="21"/>
        </w:rPr>
        <w:t>依据《中华人民共和国</w:t>
      </w:r>
      <w:r>
        <w:rPr>
          <w:rFonts w:hint="eastAsia" w:ascii="仿宋" w:hAnsi="仿宋" w:eastAsia="仿宋" w:cs="仿宋"/>
          <w:color w:val="000000"/>
          <w:szCs w:val="21"/>
          <w:lang w:val="en-US" w:eastAsia="zh-CN"/>
        </w:rPr>
        <w:t>民法典</w:t>
      </w:r>
      <w:r>
        <w:rPr>
          <w:rFonts w:hint="eastAsia" w:ascii="仿宋" w:hAnsi="仿宋" w:eastAsia="仿宋" w:cs="仿宋"/>
          <w:color w:val="000000"/>
          <w:szCs w:val="21"/>
        </w:rPr>
        <w:t>》及我国其他相关法律法规，甲乙双方本着合作、互惠互利的原则友好协商，达成如下协议，并承诺自觉履行相关义务和责任。</w:t>
      </w:r>
    </w:p>
    <w:p>
      <w:pPr>
        <w:spacing w:line="440" w:lineRule="exact"/>
        <w:ind w:left="1"/>
        <w:rPr>
          <w:rFonts w:hint="eastAsia" w:ascii="仿宋" w:hAnsi="仿宋" w:eastAsia="仿宋" w:cs="仿宋"/>
          <w:color w:val="000000"/>
          <w:kern w:val="11"/>
          <w:sz w:val="23"/>
          <w:szCs w:val="23"/>
          <w:u w:val="single"/>
          <w:shd w:val="clear" w:color="auto" w:fill="FFFFFF"/>
        </w:rPr>
      </w:pPr>
      <w:r>
        <w:rPr>
          <w:rFonts w:hint="eastAsia" w:ascii="仿宋" w:hAnsi="仿宋" w:eastAsia="仿宋" w:cs="仿宋"/>
          <w:bCs/>
          <w:sz w:val="22"/>
        </w:rPr>
        <w:t>项目名称：</w:t>
      </w:r>
      <w:r>
        <w:rPr>
          <w:rStyle w:val="24"/>
          <w:rFonts w:hint="eastAsia" w:ascii="仿宋" w:hAnsi="仿宋" w:eastAsia="仿宋" w:cs="仿宋"/>
          <w:color w:val="000000"/>
          <w:kern w:val="11"/>
          <w:u w:val="single"/>
        </w:rPr>
        <w:t xml:space="preserve">                                          </w:t>
      </w:r>
    </w:p>
    <w:p>
      <w:pPr>
        <w:pStyle w:val="26"/>
        <w:spacing w:line="440" w:lineRule="exact"/>
        <w:ind w:left="1"/>
        <w:rPr>
          <w:rFonts w:hint="eastAsia" w:ascii="仿宋" w:hAnsi="仿宋" w:eastAsia="仿宋" w:cs="仿宋"/>
          <w:bCs/>
          <w:color w:val="000000" w:themeColor="text1"/>
          <w:sz w:val="22"/>
          <w:szCs w:val="22"/>
          <w:u w:val="single"/>
          <w14:textFill>
            <w14:solidFill>
              <w14:schemeClr w14:val="tx1"/>
            </w14:solidFill>
          </w14:textFill>
        </w:rPr>
      </w:pPr>
      <w:r>
        <w:rPr>
          <w:rFonts w:hint="eastAsia" w:ascii="仿宋" w:hAnsi="仿宋" w:eastAsia="仿宋" w:cs="仿宋"/>
          <w:bCs/>
          <w:sz w:val="22"/>
          <w:szCs w:val="22"/>
        </w:rPr>
        <w:t>工程地址：</w:t>
      </w:r>
      <w:r>
        <w:rPr>
          <w:rStyle w:val="24"/>
          <w:rFonts w:hint="eastAsia" w:ascii="仿宋" w:hAnsi="仿宋" w:eastAsia="仿宋" w:cs="仿宋"/>
          <w:color w:val="000000"/>
          <w:kern w:val="11"/>
          <w:u w:val="single"/>
        </w:rPr>
        <w:t xml:space="preserve">                                          </w:t>
      </w:r>
    </w:p>
    <w:p>
      <w:pPr>
        <w:pStyle w:val="27"/>
        <w:spacing w:line="440" w:lineRule="exact"/>
        <w:ind w:left="421" w:firstLine="0" w:firstLineChars="0"/>
        <w:jc w:val="left"/>
        <w:rPr>
          <w:rFonts w:hint="eastAsia" w:ascii="仿宋" w:hAnsi="仿宋" w:eastAsia="仿宋" w:cs="仿宋"/>
          <w:color w:val="000000"/>
          <w:szCs w:val="21"/>
        </w:rPr>
      </w:pPr>
      <w:r>
        <w:rPr>
          <w:rFonts w:hint="eastAsia" w:ascii="仿宋" w:hAnsi="仿宋" w:eastAsia="仿宋" w:cs="仿宋"/>
          <w:color w:val="000000"/>
          <w:szCs w:val="21"/>
        </w:rPr>
        <w:t>机械名称、规格、数量、价款、税率、计划使用时间等条款</w:t>
      </w:r>
    </w:p>
    <w:tbl>
      <w:tblPr>
        <w:tblStyle w:val="13"/>
        <w:tblW w:w="995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350"/>
        <w:gridCol w:w="1410"/>
        <w:gridCol w:w="840"/>
        <w:gridCol w:w="930"/>
        <w:gridCol w:w="975"/>
        <w:gridCol w:w="139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4" w:type="dxa"/>
            <w:vAlign w:val="center"/>
          </w:tcPr>
          <w:p>
            <w:pPr>
              <w:tabs>
                <w:tab w:val="left" w:pos="525"/>
              </w:tabs>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1350" w:type="dxa"/>
            <w:vAlign w:val="center"/>
          </w:tcPr>
          <w:p>
            <w:pPr>
              <w:tabs>
                <w:tab w:val="left" w:pos="525"/>
              </w:tabs>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机械名称</w:t>
            </w:r>
          </w:p>
        </w:tc>
        <w:tc>
          <w:tcPr>
            <w:tcW w:w="1410" w:type="dxa"/>
            <w:vAlign w:val="center"/>
          </w:tcPr>
          <w:p>
            <w:pPr>
              <w:tabs>
                <w:tab w:val="left" w:pos="525"/>
              </w:tabs>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规格（型号）</w:t>
            </w:r>
          </w:p>
        </w:tc>
        <w:tc>
          <w:tcPr>
            <w:tcW w:w="840" w:type="dxa"/>
            <w:vAlign w:val="center"/>
          </w:tcPr>
          <w:p>
            <w:pPr>
              <w:tabs>
                <w:tab w:val="left" w:pos="525"/>
              </w:tabs>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单位</w:t>
            </w:r>
          </w:p>
        </w:tc>
        <w:tc>
          <w:tcPr>
            <w:tcW w:w="930"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szCs w:val="21"/>
                <w:lang w:eastAsia="zh-CN"/>
              </w:rPr>
            </w:pPr>
            <w:r>
              <w:rPr>
                <w:rFonts w:hint="eastAsia" w:ascii="仿宋" w:hAnsi="仿宋" w:eastAsia="仿宋" w:cs="仿宋"/>
                <w:b/>
                <w:color w:val="000000"/>
                <w:szCs w:val="21"/>
              </w:rPr>
              <w:t>数量</w:t>
            </w:r>
            <w:r>
              <w:rPr>
                <w:rFonts w:hint="eastAsia" w:ascii="仿宋" w:hAnsi="仿宋" w:eastAsia="仿宋" w:cs="仿宋"/>
                <w:b/>
                <w:color w:val="000000"/>
                <w:szCs w:val="21"/>
                <w:lang w:eastAsia="zh-CN"/>
              </w:rPr>
              <w:t>（</w:t>
            </w:r>
            <w:r>
              <w:rPr>
                <w:rFonts w:hint="eastAsia" w:ascii="仿宋" w:hAnsi="仿宋" w:eastAsia="仿宋" w:cs="仿宋"/>
                <w:b/>
                <w:color w:val="000000"/>
                <w:szCs w:val="21"/>
                <w:lang w:val="en-US" w:eastAsia="zh-CN"/>
              </w:rPr>
              <w:t>按实结算</w:t>
            </w:r>
            <w:r>
              <w:rPr>
                <w:rFonts w:hint="eastAsia" w:ascii="仿宋" w:hAnsi="仿宋" w:eastAsia="仿宋" w:cs="仿宋"/>
                <w:b/>
                <w:color w:val="000000"/>
                <w:szCs w:val="21"/>
                <w:lang w:eastAsia="zh-CN"/>
              </w:rPr>
              <w:t>）</w:t>
            </w:r>
          </w:p>
        </w:tc>
        <w:tc>
          <w:tcPr>
            <w:tcW w:w="975" w:type="dxa"/>
            <w:vAlign w:val="center"/>
          </w:tcPr>
          <w:p>
            <w:pPr>
              <w:tabs>
                <w:tab w:val="left" w:pos="525"/>
              </w:tabs>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单价</w:t>
            </w:r>
          </w:p>
        </w:tc>
        <w:tc>
          <w:tcPr>
            <w:tcW w:w="1395" w:type="dxa"/>
            <w:tcBorders>
              <w:right w:val="single" w:color="auto" w:sz="4" w:space="0"/>
            </w:tcBorders>
            <w:vAlign w:val="center"/>
          </w:tcPr>
          <w:p>
            <w:pPr>
              <w:tabs>
                <w:tab w:val="left" w:pos="525"/>
              </w:tabs>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总金额（元）</w:t>
            </w:r>
          </w:p>
        </w:tc>
        <w:tc>
          <w:tcPr>
            <w:tcW w:w="1605" w:type="dxa"/>
            <w:tcBorders>
              <w:left w:val="single" w:color="auto" w:sz="4" w:space="0"/>
            </w:tcBorders>
            <w:vAlign w:val="center"/>
          </w:tcPr>
          <w:p>
            <w:pPr>
              <w:tabs>
                <w:tab w:val="left" w:pos="525"/>
              </w:tabs>
              <w:spacing w:line="440" w:lineRule="exact"/>
              <w:jc w:val="center"/>
              <w:rPr>
                <w:rFonts w:hint="eastAsia" w:ascii="仿宋" w:hAnsi="仿宋" w:eastAsia="仿宋" w:cs="仿宋"/>
                <w:b/>
                <w:color w:val="000000"/>
                <w:szCs w:val="21"/>
              </w:rPr>
            </w:pPr>
            <w:r>
              <w:rPr>
                <w:rFonts w:hint="eastAsia" w:ascii="仿宋" w:hAnsi="仿宋" w:eastAsia="仿宋" w:cs="仿宋"/>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454"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35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840" w:type="dxa"/>
            <w:tcBorders>
              <w:top w:val="single" w:color="auto" w:sz="4" w:space="0"/>
              <w:bottom w:val="single" w:color="auto" w:sz="4" w:space="0"/>
            </w:tcBorders>
            <w:vAlign w:val="center"/>
          </w:tcPr>
          <w:p>
            <w:pPr>
              <w:rPr>
                <w:rFonts w:hint="eastAsia" w:ascii="仿宋" w:hAnsi="仿宋" w:eastAsia="仿宋" w:cs="仿宋"/>
              </w:rPr>
            </w:pPr>
          </w:p>
        </w:tc>
        <w:tc>
          <w:tcPr>
            <w:tcW w:w="930" w:type="dxa"/>
            <w:tcBorders>
              <w:top w:val="single" w:color="auto" w:sz="4" w:space="0"/>
              <w:bottom w:val="single" w:color="auto" w:sz="4" w:space="0"/>
            </w:tcBorders>
            <w:vAlign w:val="center"/>
          </w:tcPr>
          <w:p>
            <w:pPr>
              <w:rPr>
                <w:rFonts w:hint="eastAsia" w:ascii="仿宋" w:hAnsi="仿宋" w:eastAsia="仿宋" w:cs="仿宋"/>
                <w:color w:val="000000"/>
                <w:szCs w:val="21"/>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Cs w:val="21"/>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454"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Cs w:val="21"/>
              </w:rPr>
            </w:pPr>
          </w:p>
        </w:tc>
        <w:tc>
          <w:tcPr>
            <w:tcW w:w="135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840" w:type="dxa"/>
            <w:tcBorders>
              <w:top w:val="single" w:color="auto" w:sz="4" w:space="0"/>
              <w:bottom w:val="single" w:color="auto" w:sz="4" w:space="0"/>
            </w:tcBorders>
            <w:vAlign w:val="center"/>
          </w:tcPr>
          <w:p>
            <w:pPr>
              <w:rPr>
                <w:rFonts w:hint="eastAsia" w:ascii="仿宋" w:hAnsi="仿宋" w:eastAsia="仿宋" w:cs="仿宋"/>
              </w:rPr>
            </w:pPr>
          </w:p>
        </w:tc>
        <w:tc>
          <w:tcPr>
            <w:tcW w:w="930"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Cs w:val="21"/>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454"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Cs w:val="21"/>
              </w:rPr>
            </w:pPr>
          </w:p>
        </w:tc>
        <w:tc>
          <w:tcPr>
            <w:tcW w:w="135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840" w:type="dxa"/>
            <w:tcBorders>
              <w:top w:val="single" w:color="auto" w:sz="4" w:space="0"/>
              <w:bottom w:val="single" w:color="auto" w:sz="4" w:space="0"/>
            </w:tcBorders>
            <w:vAlign w:val="center"/>
          </w:tcPr>
          <w:p>
            <w:pPr>
              <w:rPr>
                <w:rFonts w:hint="eastAsia" w:ascii="仿宋" w:hAnsi="仿宋" w:eastAsia="仿宋" w:cs="仿宋"/>
              </w:rPr>
            </w:pPr>
          </w:p>
        </w:tc>
        <w:tc>
          <w:tcPr>
            <w:tcW w:w="930"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Cs w:val="21"/>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454"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Cs w:val="21"/>
              </w:rPr>
            </w:pPr>
          </w:p>
        </w:tc>
        <w:tc>
          <w:tcPr>
            <w:tcW w:w="135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840" w:type="dxa"/>
            <w:tcBorders>
              <w:top w:val="single" w:color="auto" w:sz="4" w:space="0"/>
              <w:bottom w:val="single" w:color="auto" w:sz="4" w:space="0"/>
            </w:tcBorders>
            <w:vAlign w:val="center"/>
          </w:tcPr>
          <w:p>
            <w:pPr>
              <w:rPr>
                <w:rFonts w:hint="eastAsia" w:ascii="仿宋" w:hAnsi="仿宋" w:eastAsia="仿宋" w:cs="仿宋"/>
              </w:rPr>
            </w:pPr>
          </w:p>
        </w:tc>
        <w:tc>
          <w:tcPr>
            <w:tcW w:w="930"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Cs w:val="21"/>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454"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35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840" w:type="dxa"/>
            <w:tcBorders>
              <w:top w:val="single" w:color="auto" w:sz="4" w:space="0"/>
              <w:bottom w:val="single" w:color="auto" w:sz="4" w:space="0"/>
            </w:tcBorders>
            <w:vAlign w:val="center"/>
          </w:tcPr>
          <w:p>
            <w:pPr>
              <w:jc w:val="center"/>
              <w:rPr>
                <w:rFonts w:hint="eastAsia" w:ascii="仿宋" w:hAnsi="仿宋" w:eastAsia="仿宋" w:cs="仿宋"/>
              </w:rPr>
            </w:pPr>
          </w:p>
        </w:tc>
        <w:tc>
          <w:tcPr>
            <w:tcW w:w="930" w:type="dxa"/>
            <w:tcBorders>
              <w:top w:val="single" w:color="auto" w:sz="4" w:space="0"/>
              <w:bottom w:val="single" w:color="auto" w:sz="4" w:space="0"/>
            </w:tcBorders>
            <w:vAlign w:val="center"/>
          </w:tcPr>
          <w:p>
            <w:pPr>
              <w:rPr>
                <w:rFonts w:hint="eastAsia" w:ascii="仿宋" w:hAnsi="仿宋" w:eastAsia="仿宋" w:cs="仿宋"/>
                <w:color w:val="000000"/>
                <w:szCs w:val="21"/>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Cs w:val="21"/>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Cs w:val="21"/>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454"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35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840" w:type="dxa"/>
            <w:tcBorders>
              <w:top w:val="single" w:color="auto" w:sz="4" w:space="0"/>
              <w:bottom w:val="single" w:color="auto" w:sz="4" w:space="0"/>
            </w:tcBorders>
            <w:vAlign w:val="center"/>
          </w:tcPr>
          <w:p>
            <w:pPr>
              <w:jc w:val="center"/>
              <w:rPr>
                <w:rFonts w:hint="eastAsia" w:ascii="仿宋" w:hAnsi="仿宋" w:eastAsia="仿宋" w:cs="仿宋"/>
              </w:rPr>
            </w:pPr>
          </w:p>
        </w:tc>
        <w:tc>
          <w:tcPr>
            <w:tcW w:w="93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975"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Cs w:val="21"/>
              </w:rPr>
            </w:pPr>
          </w:p>
        </w:tc>
        <w:tc>
          <w:tcPr>
            <w:tcW w:w="1395"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Cs w:val="21"/>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9" w:type="dxa"/>
            <w:gridSpan w:val="8"/>
            <w:vAlign w:val="center"/>
          </w:tcPr>
          <w:p>
            <w:pPr>
              <w:tabs>
                <w:tab w:val="left" w:pos="525"/>
                <w:tab w:val="left" w:pos="9162"/>
              </w:tabs>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暂定共计人民币（大写）：</w:t>
            </w:r>
            <w:r>
              <w:rPr>
                <w:rFonts w:hint="eastAsia" w:ascii="仿宋" w:hAnsi="仿宋" w:eastAsia="仿宋" w:cs="仿宋"/>
                <w:b/>
                <w:color w:val="000000"/>
                <w:sz w:val="24"/>
                <w:szCs w:val="24"/>
                <w:u w:val="single"/>
              </w:rPr>
              <w:t xml:space="preserve">                     元</w:t>
            </w:r>
            <w:r>
              <w:rPr>
                <w:rFonts w:hint="eastAsia" w:ascii="仿宋" w:hAnsi="仿宋" w:eastAsia="仿宋" w:cs="仿宋"/>
                <w:color w:val="000000"/>
                <w:sz w:val="24"/>
                <w:szCs w:val="24"/>
              </w:rPr>
              <w:t>， ￥：</w:t>
            </w:r>
            <w:r>
              <w:rPr>
                <w:rFonts w:hint="eastAsia" w:ascii="仿宋" w:hAnsi="仿宋" w:eastAsia="仿宋" w:cs="仿宋"/>
                <w:b/>
                <w:color w:val="000000"/>
                <w:sz w:val="24"/>
                <w:szCs w:val="24"/>
                <w:u w:val="single"/>
              </w:rPr>
              <w:t xml:space="preserve">          元</w:t>
            </w:r>
            <w:r>
              <w:rPr>
                <w:rFonts w:hint="eastAsia" w:ascii="仿宋" w:hAnsi="仿宋" w:eastAsia="仿宋" w:cs="仿宋"/>
                <w:color w:val="000000"/>
                <w:sz w:val="24"/>
                <w:szCs w:val="24"/>
              </w:rPr>
              <w:t>，税率：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9" w:type="dxa"/>
            <w:gridSpan w:val="8"/>
            <w:vAlign w:val="center"/>
          </w:tcPr>
          <w:p>
            <w:pPr>
              <w:tabs>
                <w:tab w:val="left" w:pos="525"/>
                <w:tab w:val="left" w:pos="9162"/>
              </w:tabs>
              <w:spacing w:line="440" w:lineRule="exact"/>
              <w:jc w:val="left"/>
              <w:rPr>
                <w:rFonts w:hint="default" w:ascii="仿宋" w:hAnsi="仿宋" w:eastAsia="仿宋" w:cs="仿宋"/>
                <w:color w:val="000000"/>
                <w:szCs w:val="21"/>
                <w:lang w:val="en-US" w:eastAsia="zh-CN"/>
              </w:rPr>
            </w:pPr>
            <w:r>
              <w:rPr>
                <w:rFonts w:hint="eastAsia" w:ascii="仿宋" w:hAnsi="仿宋" w:eastAsia="仿宋" w:cs="仿宋"/>
                <w:color w:val="000000"/>
                <w:szCs w:val="21"/>
              </w:rPr>
              <w:t>以上单价为一次性确定，不作调整并已包含增值税税金，含机械操作工（司机）、油费、</w:t>
            </w:r>
            <w:r>
              <w:rPr>
                <w:rFonts w:hint="eastAsia" w:ascii="仿宋" w:hAnsi="仿宋" w:eastAsia="仿宋" w:cs="仿宋"/>
                <w:color w:val="000000" w:themeColor="text1"/>
                <w:szCs w:val="21"/>
                <w14:textFill>
                  <w14:solidFill>
                    <w14:schemeClr w14:val="tx1"/>
                  </w14:solidFill>
                </w14:textFill>
              </w:rPr>
              <w:t>进出场运输费</w:t>
            </w:r>
            <w:r>
              <w:rPr>
                <w:rFonts w:hint="eastAsia" w:ascii="仿宋" w:hAnsi="仿宋" w:eastAsia="仿宋" w:cs="仿宋"/>
                <w:color w:val="000000"/>
                <w:szCs w:val="21"/>
              </w:rPr>
              <w:t>及其他一切费用。</w:t>
            </w:r>
            <w:r>
              <w:rPr>
                <w:rFonts w:hint="eastAsia" w:ascii="仿宋" w:hAnsi="仿宋" w:eastAsia="仿宋" w:cs="仿宋"/>
                <w:color w:val="FF0000"/>
                <w:szCs w:val="21"/>
                <w:lang w:val="en-US" w:eastAsia="zh-CN"/>
              </w:rPr>
              <w:t>但税率调整时，作相应调整</w:t>
            </w:r>
            <w:r>
              <w:rPr>
                <w:rFonts w:hint="eastAsia" w:ascii="仿宋" w:hAnsi="仿宋" w:eastAsia="仿宋" w:cs="仿宋"/>
                <w:color w:val="000000"/>
                <w:szCs w:val="21"/>
                <w:lang w:val="en-US" w:eastAsia="zh-CN"/>
              </w:rPr>
              <w:t>。数量按双方确认的结算为准。</w:t>
            </w:r>
          </w:p>
        </w:tc>
      </w:tr>
    </w:tbl>
    <w:p>
      <w:pPr>
        <w:pStyle w:val="27"/>
        <w:numPr>
          <w:ilvl w:val="0"/>
          <w:numId w:val="0"/>
        </w:numPr>
        <w:spacing w:line="440" w:lineRule="exact"/>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一、</w:t>
      </w:r>
      <w:r>
        <w:rPr>
          <w:rFonts w:hint="eastAsia" w:ascii="仿宋" w:hAnsi="仿宋" w:eastAsia="仿宋" w:cs="仿宋"/>
          <w:b/>
          <w:bCs/>
          <w:color w:val="000000"/>
          <w:szCs w:val="21"/>
        </w:rPr>
        <w:t>机械进场及要求：</w:t>
      </w:r>
    </w:p>
    <w:p>
      <w:pPr>
        <w:pStyle w:val="27"/>
        <w:numPr>
          <w:ilvl w:val="0"/>
          <w:numId w:val="0"/>
        </w:numPr>
        <w:spacing w:line="440" w:lineRule="exact"/>
        <w:ind w:leftChars="0"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1.1</w:t>
      </w:r>
      <w:r>
        <w:rPr>
          <w:rFonts w:hint="eastAsia" w:ascii="仿宋" w:hAnsi="仿宋" w:eastAsia="仿宋" w:cs="仿宋"/>
          <w:color w:val="000000"/>
          <w:szCs w:val="21"/>
        </w:rPr>
        <w:t>每次按甲方指定专人提前</w:t>
      </w:r>
      <w:r>
        <w:rPr>
          <w:rFonts w:hint="eastAsia" w:ascii="仿宋" w:hAnsi="仿宋" w:eastAsia="仿宋" w:cs="仿宋"/>
          <w:color w:val="000000"/>
          <w:szCs w:val="21"/>
          <w:u w:val="single"/>
        </w:rPr>
        <w:t xml:space="preserve"> </w:t>
      </w:r>
      <w:r>
        <w:rPr>
          <w:rFonts w:hint="eastAsia" w:ascii="仿宋" w:hAnsi="仿宋" w:eastAsia="仿宋" w:cs="仿宋"/>
          <w:color w:val="000000"/>
          <w:szCs w:val="21"/>
          <w:u w:val="single"/>
          <w:lang w:val="en-US" w:eastAsia="zh-CN"/>
        </w:rPr>
        <w:t>24</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小时内以书面、传真、短信、微信等形式通知乙方机械进场。</w:t>
      </w:r>
    </w:p>
    <w:p>
      <w:pPr>
        <w:pStyle w:val="27"/>
        <w:numPr>
          <w:ilvl w:val="0"/>
          <w:numId w:val="0"/>
        </w:numPr>
        <w:spacing w:beforeLines="0" w:afterLines="0" w:line="440" w:lineRule="exact"/>
        <w:ind w:leftChars="0" w:firstLine="420" w:firstLineChars="200"/>
        <w:rPr>
          <w:rFonts w:hint="eastAsia" w:ascii="仿宋" w:hAnsi="仿宋" w:eastAsia="仿宋" w:cs="仿宋"/>
          <w:color w:val="FF0000"/>
          <w:szCs w:val="21"/>
          <w:lang w:val="en-US" w:eastAsia="zh-CN"/>
        </w:rPr>
      </w:pPr>
      <w:r>
        <w:rPr>
          <w:rFonts w:hint="eastAsia" w:ascii="仿宋" w:hAnsi="仿宋" w:eastAsia="仿宋" w:cs="仿宋"/>
          <w:color w:val="000000"/>
          <w:szCs w:val="21"/>
          <w:lang w:val="en-US" w:eastAsia="zh-CN"/>
        </w:rPr>
        <w:t>1.2</w:t>
      </w:r>
      <w:r>
        <w:rPr>
          <w:rFonts w:hint="eastAsia" w:ascii="仿宋" w:hAnsi="仿宋" w:eastAsia="仿宋" w:cs="仿宋"/>
          <w:color w:val="000000"/>
          <w:szCs w:val="21"/>
        </w:rPr>
        <w:t>乙方机械设备必须按时进场，如未按甲方指定的时间进场，由此给甲方造成的工程延误、停工或其他相关损失及后续的损失（包括第三方损失）乙方应承担全部责任</w:t>
      </w:r>
      <w:r>
        <w:rPr>
          <w:rFonts w:hint="eastAsia" w:ascii="仿宋" w:hAnsi="仿宋" w:eastAsia="仿宋" w:cs="仿宋"/>
          <w:color w:val="000000"/>
          <w:szCs w:val="21"/>
          <w:lang w:val="en-US" w:eastAsia="zh-CN"/>
        </w:rPr>
        <w:t>。</w:t>
      </w:r>
    </w:p>
    <w:p>
      <w:pPr>
        <w:pStyle w:val="27"/>
        <w:numPr>
          <w:ilvl w:val="0"/>
          <w:numId w:val="0"/>
        </w:numPr>
        <w:spacing w:line="440" w:lineRule="exact"/>
        <w:ind w:leftChars="0" w:firstLine="420" w:firstLineChars="200"/>
        <w:rPr>
          <w:rFonts w:hint="eastAsia" w:ascii="仿宋" w:hAnsi="仿宋" w:eastAsia="仿宋" w:cs="仿宋"/>
          <w:color w:val="FF0000"/>
          <w:sz w:val="21"/>
          <w:szCs w:val="21"/>
          <w:lang w:eastAsia="zh-CN"/>
        </w:rPr>
      </w:pPr>
      <w:r>
        <w:rPr>
          <w:rFonts w:hint="eastAsia" w:ascii="仿宋" w:hAnsi="仿宋" w:eastAsia="仿宋" w:cs="仿宋"/>
          <w:color w:val="000000"/>
          <w:szCs w:val="21"/>
          <w:lang w:val="en-US" w:eastAsia="zh-CN"/>
        </w:rPr>
        <w:t>1.3</w:t>
      </w:r>
      <w:r>
        <w:rPr>
          <w:rFonts w:hint="eastAsia" w:ascii="仿宋" w:hAnsi="仿宋" w:eastAsia="仿宋" w:cs="仿宋"/>
          <w:color w:val="000000"/>
          <w:szCs w:val="21"/>
        </w:rPr>
        <w:t>乙方全部设备必须确保机械性能的完好，并进行定期维护保养，</w:t>
      </w:r>
      <w:r>
        <w:rPr>
          <w:rFonts w:hint="eastAsia" w:ascii="仿宋" w:hAnsi="仿宋" w:eastAsia="仿宋" w:cs="仿宋"/>
          <w:color w:val="000000" w:themeColor="text1"/>
          <w:szCs w:val="21"/>
          <w14:textFill>
            <w14:solidFill>
              <w14:schemeClr w14:val="tx1"/>
            </w14:solidFill>
          </w14:textFill>
        </w:rPr>
        <w:t>如发生施工现场机械故障应及时处理、维修，因此导致甲方的停工、误工等损失及第三方损失由乙方承担赔偿责任</w:t>
      </w:r>
      <w:r>
        <w:rPr>
          <w:rFonts w:hint="eastAsia" w:ascii="仿宋" w:hAnsi="仿宋" w:eastAsia="仿宋" w:cs="仿宋"/>
          <w:color w:val="000000"/>
          <w:sz w:val="21"/>
          <w:szCs w:val="21"/>
          <w:lang w:eastAsia="zh-CN"/>
        </w:rPr>
        <w:t>。</w:t>
      </w:r>
    </w:p>
    <w:p>
      <w:pPr>
        <w:pStyle w:val="27"/>
        <w:numPr>
          <w:ilvl w:val="0"/>
          <w:numId w:val="0"/>
        </w:numPr>
        <w:spacing w:line="440" w:lineRule="exact"/>
        <w:ind w:leftChars="0"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1.4</w:t>
      </w:r>
      <w:r>
        <w:rPr>
          <w:rFonts w:hint="eastAsia" w:ascii="仿宋" w:hAnsi="仿宋" w:eastAsia="仿宋" w:cs="仿宋"/>
          <w:color w:val="000000" w:themeColor="text1"/>
          <w:szCs w:val="21"/>
          <w14:textFill>
            <w14:solidFill>
              <w14:schemeClr w14:val="tx1"/>
            </w14:solidFill>
          </w14:textFill>
        </w:rPr>
        <w:t>乙方需配备具有相应真实有效的证书人员进行设备操作，到场的设备机械必须保证有检测合格证并真实有效，保证设备机械的安全使用。如因人员及设备机械手续不全而产生的一切责任由乙方负责。</w:t>
      </w:r>
    </w:p>
    <w:p>
      <w:pPr>
        <w:pStyle w:val="27"/>
        <w:numPr>
          <w:ilvl w:val="0"/>
          <w:numId w:val="0"/>
        </w:numPr>
        <w:spacing w:line="440" w:lineRule="exact"/>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二、</w:t>
      </w:r>
      <w:r>
        <w:rPr>
          <w:rFonts w:hint="eastAsia" w:ascii="仿宋" w:hAnsi="仿宋" w:eastAsia="仿宋" w:cs="仿宋"/>
          <w:b/>
          <w:bCs/>
          <w:color w:val="000000"/>
          <w:szCs w:val="21"/>
        </w:rPr>
        <w:t>结算方式及支付方式</w:t>
      </w:r>
    </w:p>
    <w:p>
      <w:pPr>
        <w:pStyle w:val="27"/>
        <w:numPr>
          <w:ilvl w:val="0"/>
          <w:numId w:val="0"/>
        </w:numPr>
        <w:spacing w:line="440" w:lineRule="exact"/>
        <w:ind w:leftChars="0"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 数量与工作时间按实结算，最终以甲方指定人员签字盖章的单据为准。</w:t>
      </w:r>
    </w:p>
    <w:p>
      <w:pPr>
        <w:pStyle w:val="27"/>
        <w:numPr>
          <w:ilvl w:val="0"/>
          <w:numId w:val="0"/>
        </w:numPr>
        <w:spacing w:line="440" w:lineRule="exact"/>
        <w:ind w:leftChars="0"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u w:val="none"/>
          <w:lang w:val="en-US" w:eastAsia="zh-CN"/>
        </w:rPr>
        <w:t xml:space="preserve">2.2 </w:t>
      </w:r>
      <w:r>
        <w:rPr>
          <w:rFonts w:hint="eastAsia" w:ascii="仿宋" w:hAnsi="仿宋" w:eastAsia="仿宋" w:cs="仿宋"/>
          <w:color w:val="000000"/>
          <w:szCs w:val="21"/>
          <w:u w:val="single"/>
        </w:rPr>
        <w:t>支付方式及时间</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szCs w:val="21"/>
          <w:u w:val="single"/>
          <w:lang w:val="en-US" w:eastAsia="zh-CN"/>
        </w:rPr>
        <w:t>每年年底凭双方确认的结算单按实际发生的数量统一支付。</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pPr>
        <w:pStyle w:val="28"/>
        <w:numPr>
          <w:ilvl w:val="0"/>
          <w:numId w:val="0"/>
        </w:numPr>
        <w:spacing w:line="440" w:lineRule="exact"/>
        <w:ind w:leftChars="0" w:firstLine="420" w:firstLineChars="200"/>
        <w:rPr>
          <w:rFonts w:hint="eastAsia" w:ascii="仿宋" w:hAnsi="仿宋" w:eastAsia="仿宋" w:cs="仿宋"/>
          <w:szCs w:val="21"/>
        </w:rPr>
      </w:pPr>
      <w:r>
        <w:rPr>
          <w:rFonts w:hint="eastAsia" w:ascii="仿宋" w:hAnsi="仿宋" w:eastAsia="仿宋" w:cs="仿宋"/>
          <w:color w:val="000000"/>
          <w:szCs w:val="21"/>
          <w:u w:val="single"/>
          <w:lang w:val="en-US" w:eastAsia="zh-CN"/>
        </w:rPr>
        <w:t>2.3</w:t>
      </w:r>
      <w:r>
        <w:rPr>
          <w:rFonts w:hint="eastAsia" w:ascii="仿宋" w:hAnsi="仿宋" w:eastAsia="仿宋" w:cs="仿宋"/>
          <w:color w:val="000000"/>
          <w:szCs w:val="21"/>
          <w:u w:val="single"/>
        </w:rPr>
        <w:t>甲方安排付款之前，乙方必须按照合同条款提供全额的增值税专用发票（纳税人为自然人时，提供自然人国税代开发票），如未能及时提供则甲方有权拒绝支付，并根据乙方提供的发票时间顺延支付时间，因此造成乙方的一切损失甲方不承担任何责任，乙方不得因此拒绝履行合同义务及责任。</w:t>
      </w:r>
    </w:p>
    <w:p>
      <w:pPr>
        <w:pStyle w:val="27"/>
        <w:numPr>
          <w:ilvl w:val="0"/>
          <w:numId w:val="0"/>
        </w:numPr>
        <w:spacing w:line="440" w:lineRule="exact"/>
        <w:ind w:left="2" w:leftChars="0"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三、</w:t>
      </w:r>
      <w:r>
        <w:rPr>
          <w:rFonts w:hint="eastAsia" w:ascii="仿宋" w:hAnsi="仿宋" w:eastAsia="仿宋" w:cs="仿宋"/>
          <w:b/>
          <w:bCs/>
          <w:color w:val="000000"/>
          <w:szCs w:val="21"/>
        </w:rPr>
        <w:t>使用服务及异议处理条款</w:t>
      </w:r>
    </w:p>
    <w:p>
      <w:pPr>
        <w:pStyle w:val="27"/>
        <w:numPr>
          <w:ilvl w:val="0"/>
          <w:numId w:val="0"/>
        </w:numPr>
        <w:spacing w:line="440" w:lineRule="exact"/>
        <w:ind w:leftChars="0"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3.1</w:t>
      </w:r>
      <w:r>
        <w:rPr>
          <w:rFonts w:hint="eastAsia" w:ascii="仿宋" w:hAnsi="仿宋" w:eastAsia="仿宋" w:cs="仿宋"/>
          <w:color w:val="000000"/>
          <w:szCs w:val="21"/>
        </w:rPr>
        <w:t>乙方必须按照要求按时进场；在接到甲方书面（传真、短信、微信等）供应机械通知起</w:t>
      </w:r>
      <w:r>
        <w:rPr>
          <w:rFonts w:hint="eastAsia" w:ascii="仿宋" w:hAnsi="仿宋" w:eastAsia="仿宋" w:cs="仿宋"/>
          <w:color w:val="000000"/>
          <w:szCs w:val="21"/>
          <w:u w:val="single"/>
        </w:rPr>
        <w:t>12</w:t>
      </w:r>
      <w:r>
        <w:rPr>
          <w:rFonts w:hint="eastAsia" w:ascii="仿宋" w:hAnsi="仿宋" w:eastAsia="仿宋" w:cs="仿宋"/>
          <w:color w:val="000000"/>
          <w:szCs w:val="21"/>
        </w:rPr>
        <w:t>小时内供应机械，遇节假日必须事先安排。</w:t>
      </w:r>
    </w:p>
    <w:p>
      <w:pPr>
        <w:pStyle w:val="27"/>
        <w:numPr>
          <w:ilvl w:val="0"/>
          <w:numId w:val="0"/>
        </w:numPr>
        <w:spacing w:line="440" w:lineRule="exact"/>
        <w:ind w:leftChars="0"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3.2</w:t>
      </w:r>
      <w:r>
        <w:rPr>
          <w:rFonts w:hint="eastAsia" w:ascii="仿宋" w:hAnsi="仿宋" w:eastAsia="仿宋" w:cs="仿宋"/>
          <w:color w:val="000000"/>
          <w:szCs w:val="21"/>
        </w:rPr>
        <w:t>对机械租赁的数量有异议的，应在工地验收时及时进行核对，如乙方不及时核对则视为认同甲方计量结果。</w:t>
      </w:r>
    </w:p>
    <w:p>
      <w:pPr>
        <w:pStyle w:val="27"/>
        <w:numPr>
          <w:ilvl w:val="0"/>
          <w:numId w:val="0"/>
        </w:numPr>
        <w:spacing w:line="440" w:lineRule="exact"/>
        <w:ind w:left="2" w:leftChars="0"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四、</w:t>
      </w:r>
      <w:r>
        <w:rPr>
          <w:rFonts w:hint="eastAsia" w:ascii="仿宋" w:hAnsi="仿宋" w:eastAsia="仿宋" w:cs="仿宋"/>
          <w:b/>
          <w:bCs/>
          <w:color w:val="000000"/>
          <w:szCs w:val="21"/>
        </w:rPr>
        <w:t>甲乙双方权利和责任</w:t>
      </w:r>
    </w:p>
    <w:p>
      <w:pPr>
        <w:pStyle w:val="27"/>
        <w:numPr>
          <w:ilvl w:val="0"/>
          <w:numId w:val="0"/>
        </w:numPr>
        <w:spacing w:line="440" w:lineRule="exact"/>
        <w:ind w:leftChars="0"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4.1</w:t>
      </w:r>
      <w:r>
        <w:rPr>
          <w:rFonts w:hint="eastAsia" w:ascii="仿宋" w:hAnsi="仿宋" w:eastAsia="仿宋" w:cs="仿宋"/>
          <w:color w:val="000000"/>
          <w:szCs w:val="21"/>
        </w:rPr>
        <w:t>在整个合同期间，乙方自身的人员工伤事故的保险、机具设备和运输工具的财产保险、人身意外伤害险、设备保险等由乙方自行投保。</w:t>
      </w:r>
    </w:p>
    <w:p>
      <w:pPr>
        <w:pStyle w:val="29"/>
        <w:numPr>
          <w:ilvl w:val="0"/>
          <w:numId w:val="0"/>
        </w:numPr>
        <w:spacing w:line="440" w:lineRule="exact"/>
        <w:ind w:leftChars="0"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4.2</w:t>
      </w:r>
      <w:r>
        <w:rPr>
          <w:rFonts w:hint="eastAsia" w:ascii="仿宋" w:hAnsi="仿宋" w:eastAsia="仿宋" w:cs="仿宋"/>
          <w:color w:val="000000"/>
          <w:szCs w:val="21"/>
        </w:rPr>
        <w:t>乙方应采取一切必要与合理措施，避免自身运输车辆在进入甲方现场或通过现场中对任何公路、桥梁、隧道和涵洞及其他设施的破坏或损坏。如果发生上述情况，乙方应自费修复此类损坏并承担由此引起的索赔、处罚、诉讼和其他费用。</w:t>
      </w:r>
    </w:p>
    <w:p>
      <w:pPr>
        <w:pStyle w:val="29"/>
        <w:numPr>
          <w:ilvl w:val="0"/>
          <w:numId w:val="0"/>
        </w:numPr>
        <w:spacing w:line="440" w:lineRule="exact"/>
        <w:ind w:leftChars="0"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4.3</w:t>
      </w:r>
      <w:r>
        <w:rPr>
          <w:rFonts w:hint="eastAsia" w:ascii="仿宋" w:hAnsi="仿宋" w:eastAsia="仿宋" w:cs="仿宋"/>
          <w:color w:val="000000"/>
          <w:szCs w:val="21"/>
        </w:rPr>
        <w:t>除合同另有规定外，乙方还应自行、自费取得进入现场（地方公路）和为合同的实施所需通过的任何道路的通行权及其他交通设施的运行权，并交纳相应的费用。这部分费用包含在租赁单价中，甲方不再另行支付。</w:t>
      </w:r>
    </w:p>
    <w:p>
      <w:pPr>
        <w:pStyle w:val="27"/>
        <w:numPr>
          <w:ilvl w:val="0"/>
          <w:numId w:val="0"/>
        </w:numPr>
        <w:spacing w:line="440" w:lineRule="exact"/>
        <w:ind w:leftChars="0"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4.4</w:t>
      </w:r>
      <w:r>
        <w:rPr>
          <w:rFonts w:hint="eastAsia" w:ascii="仿宋" w:hAnsi="仿宋" w:eastAsia="仿宋" w:cs="仿宋"/>
          <w:color w:val="000000" w:themeColor="text1"/>
          <w:szCs w:val="21"/>
          <w14:textFill>
            <w14:solidFill>
              <w14:schemeClr w14:val="tx1"/>
            </w14:solidFill>
          </w14:textFill>
        </w:rPr>
        <w:t>施工机械在施工过程中如发生安全事故由乙方承担；如因施工机械本身的质量问题而造成的安全事故由乙方承担。</w:t>
      </w:r>
    </w:p>
    <w:p>
      <w:pPr>
        <w:pStyle w:val="27"/>
        <w:numPr>
          <w:ilvl w:val="0"/>
          <w:numId w:val="0"/>
        </w:numPr>
        <w:spacing w:line="440" w:lineRule="exact"/>
        <w:ind w:leftChars="0"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4.5</w:t>
      </w:r>
      <w:r>
        <w:rPr>
          <w:rFonts w:hint="eastAsia" w:ascii="仿宋" w:hAnsi="仿宋" w:eastAsia="仿宋" w:cs="仿宋"/>
          <w:color w:val="000000" w:themeColor="text1"/>
          <w:szCs w:val="21"/>
          <w14:textFill>
            <w14:solidFill>
              <w14:schemeClr w14:val="tx1"/>
            </w14:solidFill>
          </w14:textFill>
        </w:rPr>
        <w:t>机械设备在租赁期间，乙方机械司机要服从甲方的工作安排，因乙方司机不服从甲方的安排，甲方有权要求更换司机</w:t>
      </w:r>
      <w:r>
        <w:rPr>
          <w:rFonts w:hint="eastAsia" w:ascii="仿宋" w:hAnsi="仿宋" w:eastAsia="仿宋" w:cs="仿宋"/>
          <w:color w:val="FF0000"/>
          <w:szCs w:val="21"/>
          <w:lang w:val="en-US" w:eastAsia="zh-CN"/>
        </w:rPr>
        <w:t>或</w:t>
      </w:r>
      <w:r>
        <w:rPr>
          <w:rFonts w:hint="eastAsia" w:ascii="仿宋" w:hAnsi="仿宋" w:eastAsia="仿宋" w:cs="仿宋"/>
          <w:color w:val="000000" w:themeColor="text1"/>
          <w:szCs w:val="21"/>
          <w14:textFill>
            <w14:solidFill>
              <w14:schemeClr w14:val="tx1"/>
            </w14:solidFill>
          </w14:textFill>
        </w:rPr>
        <w:t>终止合同。司机在作业期间对机械设备和自身安全负全责；严格按照机械设备操作规程操作，不得违规，否则由此引发的一切安全事故均由乙方负责。</w:t>
      </w:r>
    </w:p>
    <w:p>
      <w:pPr>
        <w:pStyle w:val="29"/>
        <w:numPr>
          <w:ilvl w:val="0"/>
          <w:numId w:val="0"/>
        </w:numPr>
        <w:spacing w:line="440" w:lineRule="exact"/>
        <w:ind w:leftChars="0"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4.6</w:t>
      </w:r>
      <w:r>
        <w:rPr>
          <w:rFonts w:hint="eastAsia" w:ascii="仿宋" w:hAnsi="仿宋" w:eastAsia="仿宋" w:cs="仿宋"/>
          <w:color w:val="000000" w:themeColor="text1"/>
          <w:szCs w:val="21"/>
          <w14:textFill>
            <w14:solidFill>
              <w14:schemeClr w14:val="tx1"/>
            </w14:solidFill>
          </w14:textFill>
        </w:rPr>
        <w:t>设备机械需要有关部门检测备案时，乙方需提供相应的证件资料，完成检测备案。</w:t>
      </w:r>
    </w:p>
    <w:p>
      <w:pPr>
        <w:pStyle w:val="27"/>
        <w:numPr>
          <w:ilvl w:val="0"/>
          <w:numId w:val="4"/>
        </w:numPr>
        <w:spacing w:line="440" w:lineRule="exact"/>
        <w:rPr>
          <w:rFonts w:hint="eastAsia" w:ascii="仿宋" w:hAnsi="仿宋" w:eastAsia="仿宋" w:cs="仿宋"/>
          <w:b/>
          <w:bCs/>
          <w:color w:val="000000"/>
          <w:szCs w:val="21"/>
        </w:rPr>
      </w:pPr>
      <w:r>
        <w:rPr>
          <w:rFonts w:hint="eastAsia" w:ascii="仿宋" w:hAnsi="仿宋" w:eastAsia="仿宋" w:cs="仿宋"/>
          <w:b/>
          <w:bCs/>
          <w:color w:val="000000"/>
          <w:szCs w:val="21"/>
        </w:rPr>
        <w:t>合同变更与合同终止条款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5.1</w:t>
      </w:r>
      <w:r>
        <w:rPr>
          <w:rFonts w:hint="eastAsia" w:ascii="仿宋" w:hAnsi="仿宋" w:eastAsia="仿宋" w:cs="仿宋"/>
          <w:color w:val="000000"/>
          <w:szCs w:val="21"/>
        </w:rPr>
        <w:t>如遇下述情况出现，甲方有权解除合同：</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420" w:firstLineChars="2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5.1.1</w:t>
      </w:r>
      <w:r>
        <w:rPr>
          <w:rFonts w:hint="eastAsia" w:ascii="仿宋" w:hAnsi="仿宋" w:eastAsia="仿宋" w:cs="仿宋"/>
          <w:color w:val="000000"/>
          <w:szCs w:val="21"/>
        </w:rPr>
        <w:t>乙方不能在甲方约定时间内按时供应机械，影响甲方工程工期</w:t>
      </w:r>
      <w:r>
        <w:rPr>
          <w:rFonts w:hint="eastAsia" w:ascii="仿宋" w:hAnsi="仿宋" w:eastAsia="仿宋" w:cs="仿宋"/>
          <w:color w:val="000000"/>
          <w:szCs w:val="21"/>
          <w:u w:val="single"/>
        </w:rPr>
        <w:t xml:space="preserve"> 2  </w:t>
      </w:r>
      <w:r>
        <w:rPr>
          <w:rFonts w:hint="eastAsia" w:ascii="仿宋" w:hAnsi="仿宋" w:eastAsia="仿宋" w:cs="仿宋"/>
          <w:color w:val="000000"/>
          <w:szCs w:val="21"/>
        </w:rPr>
        <w:t>次</w:t>
      </w:r>
      <w:r>
        <w:rPr>
          <w:rFonts w:hint="eastAsia" w:ascii="仿宋" w:hAnsi="仿宋" w:eastAsia="仿宋" w:cs="仿宋"/>
          <w:color w:val="000000"/>
          <w:szCs w:val="21"/>
          <w:lang w:val="en-US" w:eastAsia="zh-CN"/>
        </w:rPr>
        <w:t>及</w:t>
      </w:r>
      <w:r>
        <w:rPr>
          <w:rFonts w:hint="eastAsia" w:ascii="仿宋" w:hAnsi="仿宋" w:eastAsia="仿宋" w:cs="仿宋"/>
          <w:color w:val="000000"/>
          <w:szCs w:val="21"/>
        </w:rPr>
        <w:t>以上。</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30" w:firstLineChars="3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5.1.2</w:t>
      </w:r>
      <w:r>
        <w:rPr>
          <w:rFonts w:hint="eastAsia" w:ascii="仿宋" w:hAnsi="仿宋" w:eastAsia="仿宋" w:cs="仿宋"/>
          <w:color w:val="000000"/>
          <w:szCs w:val="21"/>
        </w:rPr>
        <w:t>乙方提供的机械质量不符合要求</w:t>
      </w:r>
      <w:r>
        <w:rPr>
          <w:rFonts w:hint="eastAsia" w:ascii="仿宋" w:hAnsi="仿宋" w:eastAsia="仿宋" w:cs="仿宋"/>
          <w:color w:val="000000" w:themeColor="text1"/>
          <w:szCs w:val="21"/>
          <w14:textFill>
            <w14:solidFill>
              <w14:schemeClr w14:val="tx1"/>
            </w14:solidFill>
          </w14:textFill>
        </w:rPr>
        <w:t>，或者乙方人员不听从甲方指挥，</w:t>
      </w:r>
      <w:r>
        <w:rPr>
          <w:rFonts w:hint="eastAsia" w:ascii="仿宋" w:hAnsi="仿宋" w:eastAsia="仿宋" w:cs="仿宋"/>
          <w:color w:val="000000"/>
          <w:szCs w:val="21"/>
        </w:rPr>
        <w:t>严重影响到甲方正常的施工进度。</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420" w:firstLineChars="2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5.1.3</w:t>
      </w:r>
      <w:r>
        <w:rPr>
          <w:rFonts w:hint="eastAsia" w:ascii="仿宋" w:hAnsi="仿宋" w:eastAsia="仿宋" w:cs="仿宋"/>
          <w:color w:val="000000"/>
          <w:szCs w:val="21"/>
        </w:rPr>
        <w:t>乙方存在其他违法或违约行为，严重影响了甲方正常施工的。</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420" w:firstLineChars="2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5.1.4</w:t>
      </w:r>
      <w:r>
        <w:rPr>
          <w:rFonts w:hint="eastAsia" w:ascii="仿宋" w:hAnsi="仿宋" w:eastAsia="仿宋" w:cs="仿宋"/>
          <w:color w:val="000000"/>
          <w:szCs w:val="21"/>
        </w:rPr>
        <w:t>任何一方如因发生不可抗拒事件而丧失履行合同能力；</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420" w:firstLineChars="2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5.1.5</w:t>
      </w:r>
      <w:r>
        <w:rPr>
          <w:rFonts w:hint="eastAsia" w:ascii="仿宋" w:hAnsi="仿宋" w:eastAsia="仿宋" w:cs="仿宋"/>
          <w:color w:val="000000"/>
          <w:szCs w:val="21"/>
        </w:rPr>
        <w:t>经双方协商一致同意解除的；</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5.2</w:t>
      </w:r>
      <w:r>
        <w:rPr>
          <w:rFonts w:hint="eastAsia" w:ascii="仿宋" w:hAnsi="仿宋" w:eastAsia="仿宋" w:cs="仿宋"/>
          <w:color w:val="000000"/>
          <w:szCs w:val="21"/>
        </w:rPr>
        <w:t>甲、乙双方协商一致，对相关合同条款可以进行变更。甲、乙双方所变更的合同内容必须以书面的形式并签订相应的补充协议。补充协议作为合同的其中一部分是不可分割的，与本合同具有等同的法律效力。</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5.3</w:t>
      </w:r>
      <w:r>
        <w:rPr>
          <w:rFonts w:hint="eastAsia" w:ascii="仿宋" w:hAnsi="仿宋" w:eastAsia="仿宋" w:cs="仿宋"/>
          <w:color w:val="000000"/>
          <w:szCs w:val="21"/>
        </w:rPr>
        <w:t>如乙方银行、账户发生变更双方应及时签订相关补充协议、乙方必须提供变更后的银行、账户资料及银行证明。</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FF0000"/>
          <w:szCs w:val="21"/>
        </w:rPr>
      </w:pPr>
      <w:r>
        <w:rPr>
          <w:rFonts w:hint="eastAsia" w:ascii="仿宋" w:hAnsi="仿宋" w:eastAsia="仿宋" w:cs="仿宋"/>
          <w:color w:val="FF0000"/>
          <w:szCs w:val="21"/>
          <w:lang w:val="en-US" w:eastAsia="zh-CN"/>
        </w:rPr>
        <w:t>5.4甲方根据上述情形而解除合同的，合同于甲方解除合同的通知到达乙方时即告解除。合同解除后，无论双方是否有未解决的争议，乙方都必须无条件从施工现场撤场。</w:t>
      </w:r>
    </w:p>
    <w:p>
      <w:pPr>
        <w:pStyle w:val="27"/>
        <w:numPr>
          <w:ilvl w:val="0"/>
          <w:numId w:val="0"/>
        </w:numPr>
        <w:spacing w:line="440" w:lineRule="exact"/>
        <w:ind w:firstLine="422" w:firstLineChars="200"/>
        <w:jc w:val="left"/>
        <w:rPr>
          <w:rFonts w:hint="eastAsia" w:ascii="仿宋" w:hAnsi="仿宋" w:eastAsia="仿宋" w:cs="仿宋"/>
          <w:b/>
          <w:bCs w:val="0"/>
          <w:color w:val="000000" w:themeColor="text1"/>
          <w:szCs w:val="21"/>
          <w14:textFill>
            <w14:solidFill>
              <w14:schemeClr w14:val="tx1"/>
            </w14:solidFill>
          </w14:textFill>
        </w:rPr>
      </w:pPr>
      <w:r>
        <w:rPr>
          <w:rFonts w:hint="eastAsia" w:ascii="仿宋" w:hAnsi="仿宋" w:eastAsia="仿宋" w:cs="仿宋"/>
          <w:b/>
          <w:bCs w:val="0"/>
          <w:color w:val="000000" w:themeColor="text1"/>
          <w:szCs w:val="21"/>
          <w:lang w:val="en-US" w:eastAsia="zh-CN"/>
          <w14:textFill>
            <w14:solidFill>
              <w14:schemeClr w14:val="tx1"/>
            </w14:solidFill>
          </w14:textFill>
        </w:rPr>
        <w:t>六、</w:t>
      </w:r>
      <w:r>
        <w:rPr>
          <w:rFonts w:hint="eastAsia" w:ascii="仿宋" w:hAnsi="仿宋" w:eastAsia="仿宋" w:cs="仿宋"/>
          <w:b/>
          <w:bCs w:val="0"/>
          <w:color w:val="000000" w:themeColor="text1"/>
          <w:szCs w:val="21"/>
          <w14:textFill>
            <w14:solidFill>
              <w14:schemeClr w14:val="tx1"/>
            </w14:solidFill>
          </w14:textFill>
        </w:rPr>
        <w:t>违约责任条款</w:t>
      </w:r>
    </w:p>
    <w:p>
      <w:pPr>
        <w:pStyle w:val="27"/>
        <w:numPr>
          <w:ilvl w:val="0"/>
          <w:numId w:val="0"/>
        </w:numPr>
        <w:spacing w:line="44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lang w:val="en-US" w:eastAsia="zh-CN"/>
        </w:rPr>
        <w:t>6.1</w:t>
      </w:r>
      <w:r>
        <w:rPr>
          <w:rFonts w:hint="eastAsia" w:ascii="仿宋" w:hAnsi="仿宋" w:eastAsia="仿宋" w:cs="仿宋"/>
          <w:color w:val="000000"/>
          <w:szCs w:val="21"/>
        </w:rPr>
        <w:t>因乙方的原因导致合同解除的，甲方有权另行选择机械租赁单位继续供应机械，由此造成的价格差异、工期延误等损失均由乙方承担，并支付总额30%违约金。</w:t>
      </w:r>
    </w:p>
    <w:p>
      <w:pPr>
        <w:pStyle w:val="27"/>
        <w:numPr>
          <w:ilvl w:val="0"/>
          <w:numId w:val="0"/>
        </w:numPr>
        <w:spacing w:line="44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6.2</w:t>
      </w:r>
      <w:r>
        <w:rPr>
          <w:rFonts w:hint="eastAsia" w:ascii="仿宋" w:hAnsi="仿宋" w:eastAsia="仿宋" w:cs="仿宋"/>
          <w:color w:val="000000" w:themeColor="text1"/>
          <w:szCs w:val="21"/>
          <w14:textFill>
            <w14:solidFill>
              <w14:schemeClr w14:val="tx1"/>
            </w14:solidFill>
          </w14:textFill>
        </w:rPr>
        <w:t>乙方无正当理由停止提供机械的，每发生一次向甲方支付2000元违约金，同时甲方有权单方面解除合同，另行租赁所需机械。</w:t>
      </w:r>
    </w:p>
    <w:p>
      <w:pPr>
        <w:pStyle w:val="27"/>
        <w:numPr>
          <w:ilvl w:val="0"/>
          <w:numId w:val="0"/>
        </w:numPr>
        <w:spacing w:line="44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6.3</w:t>
      </w:r>
      <w:r>
        <w:rPr>
          <w:rFonts w:hint="eastAsia" w:ascii="仿宋" w:hAnsi="仿宋" w:eastAsia="仿宋" w:cs="仿宋"/>
          <w:color w:val="000000" w:themeColor="text1"/>
          <w:szCs w:val="21"/>
          <w14:textFill>
            <w14:solidFill>
              <w14:schemeClr w14:val="tx1"/>
            </w14:solidFill>
          </w14:textFill>
        </w:rPr>
        <w:t>乙方机械因故障停机，应在4小时内恢复使用，如无法恢复，需及时更换机械进场，由此给甲方造成的损失由乙方承担；如乙方拒不更换，甲方有权解除合同，因此造成的一切损失由乙方承担。</w:t>
      </w:r>
    </w:p>
    <w:p>
      <w:pPr>
        <w:pStyle w:val="27"/>
        <w:numPr>
          <w:ilvl w:val="0"/>
          <w:numId w:val="0"/>
        </w:numPr>
        <w:spacing w:line="44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6.4</w:t>
      </w:r>
      <w:r>
        <w:rPr>
          <w:rFonts w:hint="eastAsia" w:ascii="仿宋" w:hAnsi="仿宋" w:eastAsia="仿宋" w:cs="仿宋"/>
          <w:color w:val="000000" w:themeColor="text1"/>
          <w:szCs w:val="21"/>
          <w14:textFill>
            <w14:solidFill>
              <w14:schemeClr w14:val="tx1"/>
            </w14:solidFill>
          </w14:textFill>
        </w:rPr>
        <w:t>其他约定事项</w:t>
      </w:r>
    </w:p>
    <w:p>
      <w:pPr>
        <w:spacing w:line="440" w:lineRule="exact"/>
        <w:ind w:left="1"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未尽事宜，经双方协商一致后签订补充协议，补充协议与本合同具有同等效力。</w:t>
      </w:r>
    </w:p>
    <w:p>
      <w:pPr>
        <w:pStyle w:val="27"/>
        <w:numPr>
          <w:ilvl w:val="0"/>
          <w:numId w:val="0"/>
        </w:numPr>
        <w:spacing w:line="440" w:lineRule="exact"/>
        <w:ind w:leftChars="0"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七、</w:t>
      </w:r>
      <w:r>
        <w:rPr>
          <w:rFonts w:hint="eastAsia" w:ascii="仿宋" w:hAnsi="仿宋" w:eastAsia="仿宋" w:cs="仿宋"/>
          <w:b/>
          <w:bCs/>
          <w:color w:val="000000"/>
          <w:szCs w:val="21"/>
        </w:rPr>
        <w:t>解决合同纠纷的方式条款</w:t>
      </w:r>
    </w:p>
    <w:p>
      <w:pPr>
        <w:pStyle w:val="27"/>
        <w:numPr>
          <w:ilvl w:val="0"/>
          <w:numId w:val="0"/>
        </w:numPr>
        <w:spacing w:line="440" w:lineRule="exact"/>
        <w:ind w:leftChars="200"/>
        <w:rPr>
          <w:rFonts w:hint="eastAsia" w:ascii="仿宋" w:hAnsi="仿宋" w:eastAsia="仿宋" w:cs="仿宋"/>
          <w:color w:val="000000"/>
          <w:szCs w:val="21"/>
        </w:rPr>
      </w:pPr>
      <w:r>
        <w:rPr>
          <w:rFonts w:hint="eastAsia" w:ascii="仿宋" w:hAnsi="仿宋" w:eastAsia="仿宋" w:cs="仿宋"/>
          <w:color w:val="000000"/>
          <w:szCs w:val="21"/>
          <w:lang w:val="en-US" w:eastAsia="zh-CN"/>
        </w:rPr>
        <w:t>7.1</w:t>
      </w:r>
      <w:r>
        <w:rPr>
          <w:rFonts w:hint="eastAsia" w:ascii="仿宋" w:hAnsi="仿宋" w:eastAsia="仿宋" w:cs="仿宋"/>
          <w:color w:val="000000"/>
          <w:szCs w:val="21"/>
        </w:rPr>
        <w:t>本合同的纠纷采取平等、公平、互谅的原则进行协商。</w:t>
      </w:r>
    </w:p>
    <w:p>
      <w:pPr>
        <w:pStyle w:val="27"/>
        <w:numPr>
          <w:ilvl w:val="0"/>
          <w:numId w:val="0"/>
        </w:numPr>
        <w:tabs>
          <w:tab w:val="left" w:pos="525"/>
        </w:tabs>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7.2</w:t>
      </w:r>
      <w:r>
        <w:rPr>
          <w:rFonts w:hint="eastAsia" w:ascii="仿宋" w:hAnsi="仿宋" w:eastAsia="仿宋" w:cs="仿宋"/>
          <w:color w:val="000000"/>
          <w:szCs w:val="21"/>
        </w:rPr>
        <w:t>甲乙双方若协商不成，则由甲方所在地法院诉讼解决。</w:t>
      </w:r>
    </w:p>
    <w:p>
      <w:pPr>
        <w:pStyle w:val="27"/>
        <w:numPr>
          <w:ilvl w:val="0"/>
          <w:numId w:val="0"/>
        </w:numPr>
        <w:spacing w:line="440" w:lineRule="exact"/>
        <w:ind w:left="2" w:leftChars="0"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八、</w:t>
      </w:r>
      <w:r>
        <w:rPr>
          <w:rFonts w:hint="eastAsia" w:ascii="仿宋" w:hAnsi="仿宋" w:eastAsia="仿宋" w:cs="仿宋"/>
          <w:b/>
          <w:bCs/>
          <w:color w:val="000000" w:themeColor="text1"/>
          <w:szCs w:val="21"/>
          <w14:textFill>
            <w14:solidFill>
              <w14:schemeClr w14:val="tx1"/>
            </w14:solidFill>
          </w14:textFill>
        </w:rPr>
        <w:t>合同效力及附则</w:t>
      </w:r>
    </w:p>
    <w:p>
      <w:pPr>
        <w:pStyle w:val="27"/>
        <w:spacing w:line="440" w:lineRule="exact"/>
        <w:ind w:left="2"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8.1</w:t>
      </w:r>
      <w:r>
        <w:rPr>
          <w:rFonts w:hint="eastAsia" w:ascii="仿宋" w:hAnsi="仿宋" w:eastAsia="仿宋" w:cs="仿宋"/>
          <w:color w:val="000000" w:themeColor="text1"/>
          <w:szCs w:val="21"/>
          <w14:textFill>
            <w14:solidFill>
              <w14:schemeClr w14:val="tx1"/>
            </w14:solidFill>
          </w14:textFill>
        </w:rPr>
        <w:t>合同有效期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日至</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pPr>
        <w:pStyle w:val="27"/>
        <w:spacing w:line="44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8.2</w:t>
      </w:r>
      <w:r>
        <w:rPr>
          <w:rFonts w:hint="eastAsia" w:ascii="仿宋" w:hAnsi="仿宋" w:eastAsia="仿宋" w:cs="仿宋"/>
          <w:color w:val="000000" w:themeColor="text1"/>
          <w:szCs w:val="21"/>
          <w14:textFill>
            <w14:solidFill>
              <w14:schemeClr w14:val="tx1"/>
            </w14:solidFill>
          </w14:textFill>
        </w:rPr>
        <w:t>本合同一式</w:t>
      </w:r>
      <w:r>
        <w:rPr>
          <w:rFonts w:hint="eastAsia" w:ascii="仿宋" w:hAnsi="仿宋" w:eastAsia="仿宋" w:cs="仿宋"/>
          <w:color w:val="000000" w:themeColor="text1"/>
          <w:szCs w:val="21"/>
          <w:u w:val="single"/>
          <w14:textFill>
            <w14:solidFill>
              <w14:schemeClr w14:val="tx1"/>
            </w14:solidFill>
          </w14:textFill>
        </w:rPr>
        <w:t>肆</w:t>
      </w:r>
      <w:r>
        <w:rPr>
          <w:rFonts w:hint="eastAsia" w:ascii="仿宋" w:hAnsi="仿宋" w:eastAsia="仿宋" w:cs="仿宋"/>
          <w:color w:val="000000" w:themeColor="text1"/>
          <w:szCs w:val="21"/>
          <w14:textFill>
            <w14:solidFill>
              <w14:schemeClr w14:val="tx1"/>
            </w14:solidFill>
          </w14:textFill>
        </w:rPr>
        <w:t>份，甲方持贰份，乙方持贰份；</w:t>
      </w:r>
    </w:p>
    <w:p>
      <w:pPr>
        <w:pStyle w:val="27"/>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8.3</w:t>
      </w:r>
      <w:r>
        <w:rPr>
          <w:rFonts w:hint="eastAsia" w:ascii="仿宋" w:hAnsi="仿宋" w:eastAsia="仿宋" w:cs="仿宋"/>
          <w:color w:val="000000"/>
          <w:szCs w:val="21"/>
        </w:rPr>
        <w:t>本合同经双方法定代表人或授权代理人签名并加盖公章或合同章后生效，同时，双方在履行完合同的责任和义务自动失效。</w:t>
      </w:r>
    </w:p>
    <w:p>
      <w:pPr>
        <w:pStyle w:val="27"/>
        <w:numPr>
          <w:ilvl w:val="0"/>
          <w:numId w:val="0"/>
        </w:numPr>
        <w:spacing w:line="440" w:lineRule="exact"/>
        <w:ind w:leftChars="0"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8.4</w:t>
      </w:r>
      <w:r>
        <w:rPr>
          <w:rFonts w:hint="eastAsia" w:ascii="仿宋" w:hAnsi="仿宋" w:eastAsia="仿宋" w:cs="仿宋"/>
          <w:color w:val="000000"/>
          <w:szCs w:val="21"/>
        </w:rPr>
        <w:t>“乙方开票人”必须与“相对人”一致，收款专户必须是“开票人”账户</w:t>
      </w:r>
      <w:r>
        <w:rPr>
          <w:rFonts w:hint="eastAsia" w:ascii="仿宋" w:hAnsi="仿宋" w:eastAsia="仿宋" w:cs="仿宋"/>
          <w:color w:val="000000"/>
          <w:szCs w:val="21"/>
          <w:lang w:eastAsia="zh-CN"/>
        </w:rPr>
        <w:t>。</w:t>
      </w:r>
    </w:p>
    <w:p>
      <w:pPr>
        <w:pStyle w:val="27"/>
        <w:numPr>
          <w:ilvl w:val="0"/>
          <w:numId w:val="0"/>
        </w:numPr>
        <w:spacing w:line="440" w:lineRule="exact"/>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九、</w:t>
      </w:r>
      <w:r>
        <w:rPr>
          <w:rFonts w:hint="eastAsia" w:ascii="仿宋" w:hAnsi="仿宋" w:eastAsia="仿宋" w:cs="仿宋"/>
          <w:b/>
          <w:bCs/>
          <w:color w:val="000000"/>
          <w:szCs w:val="21"/>
        </w:rPr>
        <w:t>附件要求：</w:t>
      </w:r>
    </w:p>
    <w:p>
      <w:pPr>
        <w:spacing w:line="440" w:lineRule="exact"/>
        <w:ind w:left="1" w:firstLine="420" w:firstLineChars="200"/>
        <w:rPr>
          <w:rFonts w:hint="eastAsia" w:ascii="仿宋" w:hAnsi="仿宋" w:eastAsia="仿宋" w:cs="仿宋"/>
          <w:color w:val="000000"/>
          <w:szCs w:val="21"/>
        </w:rPr>
      </w:pPr>
      <w:r>
        <w:rPr>
          <w:rFonts w:hint="eastAsia" w:ascii="仿宋" w:hAnsi="仿宋" w:eastAsia="仿宋" w:cs="仿宋"/>
          <w:color w:val="000000"/>
          <w:szCs w:val="21"/>
        </w:rPr>
        <w:t>乙方必须在签订本合同前提供以下相关资料。</w:t>
      </w:r>
    </w:p>
    <w:p>
      <w:pPr>
        <w:pStyle w:val="27"/>
        <w:numPr>
          <w:ilvl w:val="0"/>
          <w:numId w:val="0"/>
        </w:numPr>
        <w:spacing w:line="440" w:lineRule="exact"/>
        <w:ind w:leftChars="0" w:firstLine="420" w:firstLineChars="200"/>
        <w:rPr>
          <w:rFonts w:hint="eastAsia" w:ascii="仿宋" w:hAnsi="仿宋" w:eastAsia="仿宋" w:cs="仿宋"/>
          <w:color w:val="000000"/>
          <w:szCs w:val="21"/>
        </w:rPr>
      </w:pPr>
      <w:r>
        <w:rPr>
          <w:rFonts w:hint="eastAsia" w:ascii="仿宋" w:hAnsi="仿宋" w:eastAsia="仿宋" w:cs="仿宋"/>
          <w:color w:val="000000"/>
          <w:szCs w:val="21"/>
          <w:lang w:val="en-US" w:eastAsia="zh-CN"/>
        </w:rPr>
        <w:t>9.1.</w:t>
      </w:r>
      <w:r>
        <w:rPr>
          <w:rFonts w:hint="eastAsia" w:ascii="仿宋" w:hAnsi="仿宋" w:eastAsia="仿宋" w:cs="仿宋"/>
          <w:color w:val="000000"/>
          <w:szCs w:val="21"/>
        </w:rPr>
        <w:t>乙方营业执照</w:t>
      </w:r>
    </w:p>
    <w:p>
      <w:pPr>
        <w:spacing w:line="440" w:lineRule="exact"/>
        <w:rPr>
          <w:rFonts w:hint="eastAsia" w:ascii="仿宋" w:hAnsi="仿宋" w:eastAsia="仿宋" w:cs="仿宋"/>
          <w:color w:val="000000"/>
          <w:szCs w:val="21"/>
        </w:rPr>
      </w:pP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甲方：(盖章)                                      乙方：(盖章)</w:t>
      </w: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法定代理人                                        法定代理人</w:t>
      </w: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或委托人：　　　                    　　　　　    或委托人：</w:t>
      </w:r>
    </w:p>
    <w:p>
      <w:pPr>
        <w:spacing w:line="440" w:lineRule="exact"/>
        <w:ind w:left="6090" w:hanging="6114" w:hangingChars="2900"/>
        <w:jc w:val="left"/>
        <w:rPr>
          <w:rFonts w:hint="eastAsia" w:ascii="仿宋" w:hAnsi="仿宋" w:eastAsia="仿宋" w:cs="仿宋"/>
          <w:b/>
          <w:color w:val="000000"/>
          <w:szCs w:val="21"/>
        </w:rPr>
      </w:pPr>
      <w:r>
        <w:rPr>
          <w:rFonts w:hint="eastAsia" w:ascii="仿宋" w:hAnsi="仿宋" w:eastAsia="仿宋" w:cs="仿宋"/>
          <w:b/>
          <w:color w:val="000000"/>
          <w:szCs w:val="21"/>
        </w:rPr>
        <w:t>开户银行：</w:t>
      </w:r>
      <w:r>
        <w:rPr>
          <w:rFonts w:hint="eastAsia" w:ascii="仿宋" w:hAnsi="仿宋" w:eastAsia="仿宋" w:cs="仿宋"/>
          <w:b/>
          <w:bCs/>
          <w:color w:val="000000"/>
        </w:rPr>
        <w:t xml:space="preserve">                       </w:t>
      </w:r>
      <w:r>
        <w:rPr>
          <w:rFonts w:hint="eastAsia" w:ascii="仿宋" w:hAnsi="仿宋" w:eastAsia="仿宋" w:cs="仿宋"/>
          <w:b/>
          <w:color w:val="000000"/>
          <w:szCs w:val="21"/>
        </w:rPr>
        <w:t xml:space="preserve">                 开户银行： </w:t>
      </w: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银行帐号：</w:t>
      </w:r>
      <w:r>
        <w:rPr>
          <w:rFonts w:hint="eastAsia" w:ascii="仿宋" w:hAnsi="仿宋" w:eastAsia="仿宋" w:cs="仿宋"/>
          <w:b/>
          <w:bCs/>
          <w:color w:val="000000"/>
        </w:rPr>
        <w:t xml:space="preserve">     </w:t>
      </w:r>
      <w:r>
        <w:rPr>
          <w:rFonts w:hint="eastAsia" w:ascii="仿宋" w:hAnsi="仿宋" w:eastAsia="仿宋" w:cs="仿宋"/>
          <w:b/>
          <w:color w:val="000000"/>
          <w:szCs w:val="21"/>
        </w:rPr>
        <w:t xml:space="preserve">                                   银行帐号：</w:t>
      </w: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电话：                                            电话：</w:t>
      </w: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项目实际责任人：</w:t>
      </w: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合同签定时间：      年     月    日             合同签定时间：    年    月   日</w:t>
      </w:r>
    </w:p>
    <w:p>
      <w:pPr>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（以签字盖章时间为准）　</w:t>
      </w:r>
    </w:p>
    <w:p>
      <w:pP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br w:type="page"/>
      </w:r>
    </w:p>
    <w:p>
      <w:pPr>
        <w:spacing w:line="52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工程结算书</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sz w:val="20"/>
          <w:szCs w:val="20"/>
          <w:vertAlign w:val="baseline"/>
          <w:lang w:val="en-US" w:eastAsia="zh-CN"/>
        </w:rPr>
        <w:t>单位：元</w:t>
      </w:r>
    </w:p>
    <w:tbl>
      <w:tblPr>
        <w:tblStyle w:val="14"/>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2214"/>
        <w:gridCol w:w="2026"/>
        <w:gridCol w:w="461"/>
        <w:gridCol w:w="830"/>
        <w:gridCol w:w="1033"/>
        <w:gridCol w:w="95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工程名称</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业主单位（对上）</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承诺书编号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对上合同价</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工程预算价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对上合同下浮费率</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班组中标下浮率</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对上结算审定价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highlight w:val="none"/>
                <w:vertAlign w:val="baseline"/>
                <w:lang w:val="en-US" w:eastAsia="zh-CN"/>
              </w:rPr>
              <w:t>甲供材部分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班组实际完成工程量</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甲供材业主审定金额</w:t>
            </w:r>
          </w:p>
        </w:tc>
        <w:tc>
          <w:tcPr>
            <w:tcW w:w="10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甲供材超领部分扣款</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vertAlign w:val="baseline"/>
                <w:lang w:val="en-US" w:eastAsia="zh-CN" w:bidi="ar-SA"/>
              </w:rPr>
              <w:t>3</w:t>
            </w: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sz w:val="20"/>
                <w:szCs w:val="20"/>
                <w:vertAlign w:val="baseline"/>
                <w:lang w:val="en-US" w:eastAsia="zh-CN"/>
              </w:rPr>
              <w:t>其他应扣款</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未抵扣税金**元，罚款**元，保险费等等，合计**元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最终结算价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02" w:firstLineChars="200"/>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本单位（本人）承诺如下：</w:t>
            </w:r>
            <w:r>
              <w:rPr>
                <w:rFonts w:hint="default" w:ascii="仿宋_GB2312" w:hAnsi="仿宋_GB2312" w:eastAsia="仿宋_GB2312" w:cs="仿宋_GB2312"/>
                <w:sz w:val="20"/>
                <w:szCs w:val="20"/>
                <w:vertAlign w:val="baseline"/>
                <w:lang w:val="en-US" w:eastAsia="zh-CN"/>
              </w:rPr>
              <w:t>本</w:t>
            </w:r>
            <w:r>
              <w:rPr>
                <w:rFonts w:hint="eastAsia" w:ascii="仿宋_GB2312" w:hAnsi="仿宋_GB2312" w:eastAsia="仿宋_GB2312" w:cs="仿宋_GB2312"/>
                <w:sz w:val="20"/>
                <w:szCs w:val="20"/>
                <w:vertAlign w:val="baseline"/>
                <w:lang w:val="en-US" w:eastAsia="zh-CN"/>
              </w:rPr>
              <w:t>单位（本人）认可与湖州南浔城投城市建设集团有限公司的最终结算价金额为****元，</w:t>
            </w:r>
            <w:r>
              <w:rPr>
                <w:rFonts w:hint="default" w:ascii="仿宋_GB2312" w:hAnsi="仿宋_GB2312" w:eastAsia="仿宋_GB2312" w:cs="仿宋_GB2312"/>
                <w:sz w:val="20"/>
                <w:szCs w:val="20"/>
                <w:vertAlign w:val="baseline"/>
                <w:lang w:val="en-US" w:eastAsia="zh-CN"/>
              </w:rPr>
              <w:t>无其他任何争议，不再主张其他任何款项。本</w:t>
            </w:r>
            <w:r>
              <w:rPr>
                <w:rFonts w:hint="eastAsia" w:ascii="仿宋_GB2312" w:hAnsi="仿宋_GB2312" w:eastAsia="仿宋_GB2312" w:cs="仿宋_GB2312"/>
                <w:sz w:val="20"/>
                <w:szCs w:val="20"/>
                <w:vertAlign w:val="baseline"/>
                <w:lang w:val="en-US" w:eastAsia="zh-CN"/>
              </w:rPr>
              <w:t>单位（本人）承诺凡本工程</w:t>
            </w:r>
            <w:r>
              <w:rPr>
                <w:rFonts w:hint="default" w:ascii="仿宋_GB2312" w:hAnsi="仿宋_GB2312" w:eastAsia="仿宋_GB2312" w:cs="仿宋_GB2312"/>
                <w:sz w:val="20"/>
                <w:szCs w:val="20"/>
                <w:vertAlign w:val="baseline"/>
                <w:lang w:val="en-US" w:eastAsia="zh-CN"/>
              </w:rPr>
              <w:t>项下的一切费用（包括但不限于材料、劳务、机械</w:t>
            </w:r>
            <w:r>
              <w:rPr>
                <w:rFonts w:hint="eastAsia" w:ascii="仿宋_GB2312" w:hAnsi="仿宋_GB2312" w:eastAsia="仿宋_GB2312" w:cs="仿宋_GB2312"/>
                <w:sz w:val="20"/>
                <w:szCs w:val="20"/>
                <w:vertAlign w:val="baseline"/>
                <w:lang w:val="en-US" w:eastAsia="zh-CN"/>
              </w:rPr>
              <w:t>费</w:t>
            </w:r>
            <w:r>
              <w:rPr>
                <w:rFonts w:hint="default" w:ascii="仿宋_GB2312" w:hAnsi="仿宋_GB2312" w:eastAsia="仿宋_GB2312" w:cs="仿宋_GB2312"/>
                <w:sz w:val="20"/>
                <w:szCs w:val="20"/>
                <w:vertAlign w:val="baseline"/>
                <w:lang w:val="en-US" w:eastAsia="zh-CN"/>
              </w:rPr>
              <w:t>等）均已结清，</w:t>
            </w:r>
            <w:r>
              <w:rPr>
                <w:rFonts w:hint="eastAsia" w:ascii="仿宋_GB2312" w:hAnsi="仿宋_GB2312" w:eastAsia="仿宋_GB2312" w:cs="仿宋_GB2312"/>
                <w:sz w:val="20"/>
                <w:szCs w:val="20"/>
                <w:vertAlign w:val="baseline"/>
                <w:lang w:val="en-US" w:eastAsia="zh-CN"/>
              </w:rPr>
              <w:t>后续</w:t>
            </w:r>
            <w:r>
              <w:rPr>
                <w:rFonts w:hint="default" w:ascii="仿宋_GB2312" w:hAnsi="仿宋_GB2312" w:eastAsia="仿宋_GB2312" w:cs="仿宋_GB2312"/>
                <w:sz w:val="20"/>
                <w:szCs w:val="20"/>
                <w:vertAlign w:val="baseline"/>
                <w:lang w:val="en-US" w:eastAsia="zh-CN"/>
              </w:rPr>
              <w:t>如有他人因本</w:t>
            </w:r>
            <w:r>
              <w:rPr>
                <w:rFonts w:hint="eastAsia" w:ascii="仿宋_GB2312" w:hAnsi="仿宋_GB2312" w:eastAsia="仿宋_GB2312" w:cs="仿宋_GB2312"/>
                <w:sz w:val="20"/>
                <w:szCs w:val="20"/>
                <w:vertAlign w:val="baseline"/>
                <w:lang w:val="en-US" w:eastAsia="zh-CN"/>
              </w:rPr>
              <w:t>工程</w:t>
            </w:r>
            <w:r>
              <w:rPr>
                <w:rFonts w:hint="default" w:ascii="仿宋_GB2312" w:hAnsi="仿宋_GB2312" w:eastAsia="仿宋_GB2312" w:cs="仿宋_GB2312"/>
                <w:sz w:val="20"/>
                <w:szCs w:val="20"/>
                <w:vertAlign w:val="baseline"/>
                <w:lang w:val="en-US" w:eastAsia="zh-CN"/>
              </w:rPr>
              <w:t>向贵司主张相应款项的，由我方处理和承担</w:t>
            </w:r>
            <w:r>
              <w:rPr>
                <w:rFonts w:hint="eastAsia" w:ascii="仿宋_GB2312" w:hAnsi="仿宋_GB2312" w:eastAsia="仿宋_GB2312" w:cs="仿宋_GB2312"/>
                <w:sz w:val="20"/>
                <w:szCs w:val="20"/>
                <w:vertAlign w:val="baseline"/>
                <w:lang w:val="en-US" w:eastAsia="zh-CN"/>
              </w:rPr>
              <w:t>，如单位（本人）不积极处理的或对贵司造成损失的，贵司可以扣除本单位（本人）在贵司全额入库保证金用于处理该主张款项，不足部分可以从本单位（本人）在贵司承揽的其他工程应付款中进行扣除</w:t>
            </w:r>
            <w:r>
              <w:rPr>
                <w:rFonts w:hint="default" w:ascii="仿宋_GB2312" w:hAnsi="仿宋_GB2312" w:eastAsia="仿宋_GB2312" w:cs="仿宋_GB2312"/>
                <w:sz w:val="20"/>
                <w:szCs w:val="20"/>
                <w:vertAlign w:val="baseline"/>
                <w:lang w:val="en-US" w:eastAsia="zh-CN"/>
              </w:rPr>
              <w:t>。</w:t>
            </w:r>
            <w:r>
              <w:rPr>
                <w:rFonts w:hint="eastAsia" w:ascii="仿宋_GB2312" w:hAnsi="仿宋_GB2312" w:eastAsia="仿宋_GB2312" w:cs="仿宋_GB2312"/>
                <w:b/>
                <w:bCs/>
                <w:sz w:val="20"/>
                <w:szCs w:val="20"/>
                <w:vertAlign w:val="baseline"/>
                <w:lang w:val="en-US" w:eastAsia="zh-CN"/>
              </w:rPr>
              <w:t>签字（纳手印）：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568"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总承包单位（公章）：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项目经理（项目负责人）（签字）：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分管领导（签字）：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c>
          <w:tcPr>
            <w:tcW w:w="2431"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注：1、</w:t>
      </w:r>
      <w:r>
        <w:rPr>
          <w:rFonts w:hint="eastAsia" w:ascii="仿宋_GB2312" w:hAnsi="仿宋_GB2312" w:eastAsia="仿宋_GB2312" w:cs="仿宋_GB2312"/>
          <w:sz w:val="20"/>
          <w:szCs w:val="20"/>
          <w:vertAlign w:val="baseline"/>
          <w:lang w:val="en-US" w:eastAsia="zh-CN"/>
        </w:rPr>
        <w:t>公司与分包班组的最终结算价计算方式为：【班组实际完成工程量（劳务（机械）部分）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w:t>
      </w:r>
      <w:r>
        <w:rPr>
          <w:rFonts w:hint="eastAsia" w:ascii="仿宋_GB2312" w:hAnsi="仿宋_GB2312" w:eastAsia="仿宋_GB2312" w:cs="仿宋_GB2312"/>
          <w:sz w:val="20"/>
          <w:szCs w:val="20"/>
          <w:vertAlign w:val="baseline"/>
          <w:lang w:val="en-US" w:eastAsia="zh-CN"/>
        </w:rPr>
        <w:t>】</w:t>
      </w:r>
      <w:r>
        <w:rPr>
          <w:rFonts w:hint="eastAsia" w:ascii="Arial" w:hAnsi="Arial" w:eastAsia="仿宋_GB2312" w:cs="Arial"/>
          <w:sz w:val="20"/>
          <w:szCs w:val="20"/>
          <w:vertAlign w:val="baseline"/>
          <w:lang w:val="en-US" w:eastAsia="zh-CN"/>
        </w:rPr>
        <w:t>+【</w:t>
      </w:r>
      <w:r>
        <w:rPr>
          <w:rFonts w:hint="eastAsia" w:ascii="仿宋_GB2312" w:hAnsi="仿宋_GB2312" w:eastAsia="仿宋_GB2312" w:cs="仿宋_GB2312"/>
          <w:sz w:val="20"/>
          <w:szCs w:val="20"/>
          <w:vertAlign w:val="baseline"/>
          <w:lang w:val="en-US" w:eastAsia="zh-CN"/>
        </w:rPr>
        <w:t>班组实际完成工程量（材料部分）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（1-班组中标下浮率）】-其他应扣款</w:t>
      </w:r>
      <w:r>
        <w:rPr>
          <w:rFonts w:hint="eastAsia" w:ascii="仿宋_GB2312" w:hAnsi="仿宋_GB2312" w:eastAsia="仿宋_GB2312" w:cs="仿宋_GB2312"/>
          <w:sz w:val="20"/>
          <w:szCs w:val="20"/>
          <w:vertAlign w:val="baseline"/>
          <w:lang w:val="en-US" w:eastAsia="zh-CN"/>
        </w:rPr>
        <w:t>。未抵扣税金以公司对上（业主单位）开票金额（不含甲供材业主审定金额）为基础进行计算。</w:t>
      </w:r>
      <w:r>
        <w:rPr>
          <w:rFonts w:hint="eastAsia" w:ascii="仿宋_GB2312" w:hAnsi="仿宋_GB2312" w:eastAsia="仿宋_GB2312" w:cs="仿宋_GB2312"/>
          <w:b/>
          <w:bCs/>
          <w:sz w:val="20"/>
          <w:szCs w:val="20"/>
          <w:vertAlign w:val="baseline"/>
          <w:lang w:val="en-US" w:eastAsia="zh-CN"/>
        </w:rPr>
        <w:t>2、</w:t>
      </w:r>
      <w:r>
        <w:rPr>
          <w:rFonts w:hint="eastAsia" w:ascii="仿宋_GB2312" w:hAnsi="仿宋_GB2312" w:eastAsia="仿宋_GB2312" w:cs="仿宋_GB2312"/>
          <w:sz w:val="20"/>
          <w:szCs w:val="20"/>
          <w:vertAlign w:val="baseline"/>
          <w:lang w:val="en-US" w:eastAsia="zh-CN"/>
        </w:rPr>
        <w:t>甲供材扣除部分包含但不限于施工班组超业主审计金额、或合同约定损耗值之外领用部分及相应的罚款等，超领部分计算方式为：施工班组超业主审计金额、或合同约定损耗值之外领用部分的量</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{甲供材公司实际采购价</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（1+8%）}。</w:t>
      </w:r>
      <w:r>
        <w:rPr>
          <w:rFonts w:hint="eastAsia" w:ascii="仿宋_GB2312" w:hAnsi="仿宋_GB2312" w:eastAsia="仿宋_GB2312" w:cs="仿宋_GB2312"/>
          <w:b/>
          <w:bCs/>
          <w:sz w:val="20"/>
          <w:szCs w:val="20"/>
          <w:vertAlign w:val="baseline"/>
          <w:lang w:val="en-US" w:eastAsia="zh-CN"/>
        </w:rPr>
        <w:t>3、</w:t>
      </w:r>
      <w:r>
        <w:rPr>
          <w:rFonts w:hint="eastAsia" w:ascii="仿宋_GB2312" w:hAnsi="仿宋_GB2312" w:eastAsia="仿宋_GB2312" w:cs="仿宋_GB2312"/>
          <w:sz w:val="20"/>
          <w:szCs w:val="20"/>
          <w:vertAlign w:val="baseline"/>
          <w:lang w:val="en-US" w:eastAsia="zh-CN"/>
        </w:rPr>
        <w:t>班组实际完成工程量和金额原则上不得高于公司对上（业主单位）审定的工程量和金额。</w:t>
      </w:r>
    </w:p>
    <w:p>
      <w:pPr>
        <w:pStyle w:val="10"/>
        <w:rPr>
          <w:rFonts w:hint="eastAsia"/>
          <w:lang w:val="en-US" w:eastAsia="zh-CN"/>
        </w:rPr>
      </w:pPr>
    </w:p>
    <w:sectPr>
      <w:headerReference r:id="rId5" w:type="default"/>
      <w:footerReference r:id="rId6"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lotter">
    <w:altName w:val="Verdana"/>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Verdana">
    <w:panose1 w:val="020B0604030504040204"/>
    <w:charset w:val="00"/>
    <w:family w:val="auto"/>
    <w:pitch w:val="default"/>
    <w:sig w:usb0="A00006FF" w:usb1="4000205B" w:usb2="00000010" w:usb3="00000000" w:csb0="200001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4A6ACD2C"/>
    <w:multiLevelType w:val="singleLevel"/>
    <w:tmpl w:val="4A6ACD2C"/>
    <w:lvl w:ilvl="0" w:tentative="0">
      <w:start w:val="5"/>
      <w:numFmt w:val="chineseCounting"/>
      <w:suff w:val="space"/>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5222F2"/>
    <w:rsid w:val="02A35B5C"/>
    <w:rsid w:val="02D715A2"/>
    <w:rsid w:val="037A1AA1"/>
    <w:rsid w:val="04766C8B"/>
    <w:rsid w:val="04D74D1F"/>
    <w:rsid w:val="055C68A4"/>
    <w:rsid w:val="05C50E5B"/>
    <w:rsid w:val="06171429"/>
    <w:rsid w:val="071719AF"/>
    <w:rsid w:val="079960C2"/>
    <w:rsid w:val="07AC5A5F"/>
    <w:rsid w:val="090917CB"/>
    <w:rsid w:val="092121A7"/>
    <w:rsid w:val="0A8B5C21"/>
    <w:rsid w:val="0AD67DCC"/>
    <w:rsid w:val="0AF72BA2"/>
    <w:rsid w:val="0B131714"/>
    <w:rsid w:val="0CD50908"/>
    <w:rsid w:val="0D2A584C"/>
    <w:rsid w:val="0D4B32B3"/>
    <w:rsid w:val="0EA64661"/>
    <w:rsid w:val="0F3316BC"/>
    <w:rsid w:val="12286FCC"/>
    <w:rsid w:val="126E218C"/>
    <w:rsid w:val="12B23358"/>
    <w:rsid w:val="12C23A1B"/>
    <w:rsid w:val="12DD6426"/>
    <w:rsid w:val="134428EC"/>
    <w:rsid w:val="136F38DE"/>
    <w:rsid w:val="13D34EB0"/>
    <w:rsid w:val="13FE30BF"/>
    <w:rsid w:val="15CE7129"/>
    <w:rsid w:val="16460046"/>
    <w:rsid w:val="16AD2835"/>
    <w:rsid w:val="176F2DA1"/>
    <w:rsid w:val="18E90CD1"/>
    <w:rsid w:val="19771AEE"/>
    <w:rsid w:val="19C26032"/>
    <w:rsid w:val="19C5040E"/>
    <w:rsid w:val="19D4673F"/>
    <w:rsid w:val="1A206ABF"/>
    <w:rsid w:val="1A293F98"/>
    <w:rsid w:val="1A3B555D"/>
    <w:rsid w:val="1ADF413A"/>
    <w:rsid w:val="1B166828"/>
    <w:rsid w:val="1B1C60D2"/>
    <w:rsid w:val="1B554035"/>
    <w:rsid w:val="1B5D1D31"/>
    <w:rsid w:val="1CBC0BD7"/>
    <w:rsid w:val="1D1B1C47"/>
    <w:rsid w:val="1D483D15"/>
    <w:rsid w:val="1D6D1ED1"/>
    <w:rsid w:val="1DCB797C"/>
    <w:rsid w:val="1E380731"/>
    <w:rsid w:val="1E832108"/>
    <w:rsid w:val="1F7A2683"/>
    <w:rsid w:val="208C62A2"/>
    <w:rsid w:val="20B938C0"/>
    <w:rsid w:val="20EA37EE"/>
    <w:rsid w:val="213F0FCC"/>
    <w:rsid w:val="21551EFD"/>
    <w:rsid w:val="2182385D"/>
    <w:rsid w:val="21FB1F5E"/>
    <w:rsid w:val="249E36CC"/>
    <w:rsid w:val="24F97C9E"/>
    <w:rsid w:val="26941677"/>
    <w:rsid w:val="26BF64C8"/>
    <w:rsid w:val="27197CEC"/>
    <w:rsid w:val="273C1C9A"/>
    <w:rsid w:val="27F35D6A"/>
    <w:rsid w:val="285C1139"/>
    <w:rsid w:val="28E62AEA"/>
    <w:rsid w:val="28ED7324"/>
    <w:rsid w:val="29183CAB"/>
    <w:rsid w:val="29E66BA7"/>
    <w:rsid w:val="2A0A6109"/>
    <w:rsid w:val="2A2D204A"/>
    <w:rsid w:val="2A344E28"/>
    <w:rsid w:val="2A3945B6"/>
    <w:rsid w:val="2B1F0439"/>
    <w:rsid w:val="2C2C73FB"/>
    <w:rsid w:val="2CEE5EF5"/>
    <w:rsid w:val="2DFF427F"/>
    <w:rsid w:val="2E08306F"/>
    <w:rsid w:val="2E1960EA"/>
    <w:rsid w:val="2F1F0B51"/>
    <w:rsid w:val="2F236953"/>
    <w:rsid w:val="2F946106"/>
    <w:rsid w:val="310C5404"/>
    <w:rsid w:val="31D514A6"/>
    <w:rsid w:val="32A95C9F"/>
    <w:rsid w:val="340D054C"/>
    <w:rsid w:val="34414572"/>
    <w:rsid w:val="35096B80"/>
    <w:rsid w:val="3546508A"/>
    <w:rsid w:val="36733095"/>
    <w:rsid w:val="375F773F"/>
    <w:rsid w:val="38055DF0"/>
    <w:rsid w:val="3BDE1956"/>
    <w:rsid w:val="3BE86E9B"/>
    <w:rsid w:val="3BEF73A2"/>
    <w:rsid w:val="3CC46FAD"/>
    <w:rsid w:val="3DC446E3"/>
    <w:rsid w:val="3E4203B8"/>
    <w:rsid w:val="3EAF2EDB"/>
    <w:rsid w:val="3F0E0D68"/>
    <w:rsid w:val="3F7F1CD8"/>
    <w:rsid w:val="40F969C5"/>
    <w:rsid w:val="41514B69"/>
    <w:rsid w:val="41A35158"/>
    <w:rsid w:val="4235270E"/>
    <w:rsid w:val="428721BC"/>
    <w:rsid w:val="42941B59"/>
    <w:rsid w:val="42E3733F"/>
    <w:rsid w:val="431C3B09"/>
    <w:rsid w:val="438E22FD"/>
    <w:rsid w:val="43B7D993"/>
    <w:rsid w:val="440E29C6"/>
    <w:rsid w:val="441753C0"/>
    <w:rsid w:val="44906B3A"/>
    <w:rsid w:val="44E366D6"/>
    <w:rsid w:val="45FC3E47"/>
    <w:rsid w:val="467D7510"/>
    <w:rsid w:val="47366E50"/>
    <w:rsid w:val="47CF6349"/>
    <w:rsid w:val="47D67677"/>
    <w:rsid w:val="487B2E45"/>
    <w:rsid w:val="49333DB6"/>
    <w:rsid w:val="49726DB2"/>
    <w:rsid w:val="4A7973CA"/>
    <w:rsid w:val="4A9660B1"/>
    <w:rsid w:val="4AA95301"/>
    <w:rsid w:val="4B946E29"/>
    <w:rsid w:val="4C475AF7"/>
    <w:rsid w:val="4C765869"/>
    <w:rsid w:val="4CA06901"/>
    <w:rsid w:val="4DF93283"/>
    <w:rsid w:val="4E911090"/>
    <w:rsid w:val="4E9B0C46"/>
    <w:rsid w:val="51F2795F"/>
    <w:rsid w:val="52617548"/>
    <w:rsid w:val="539F7491"/>
    <w:rsid w:val="53B145BF"/>
    <w:rsid w:val="53D04A19"/>
    <w:rsid w:val="55F559A8"/>
    <w:rsid w:val="56D06B14"/>
    <w:rsid w:val="57C53081"/>
    <w:rsid w:val="599D1946"/>
    <w:rsid w:val="59C471EB"/>
    <w:rsid w:val="5B107B2A"/>
    <w:rsid w:val="5B657D8E"/>
    <w:rsid w:val="5C4C4833"/>
    <w:rsid w:val="5D806808"/>
    <w:rsid w:val="5DA86460"/>
    <w:rsid w:val="5E0319A7"/>
    <w:rsid w:val="5E6230CD"/>
    <w:rsid w:val="600541A8"/>
    <w:rsid w:val="613501EA"/>
    <w:rsid w:val="61B06DA8"/>
    <w:rsid w:val="61F814EF"/>
    <w:rsid w:val="628831A4"/>
    <w:rsid w:val="62D51A51"/>
    <w:rsid w:val="633B7778"/>
    <w:rsid w:val="6556394C"/>
    <w:rsid w:val="65B823D7"/>
    <w:rsid w:val="65BB6E91"/>
    <w:rsid w:val="668E3734"/>
    <w:rsid w:val="66C842C6"/>
    <w:rsid w:val="66F53047"/>
    <w:rsid w:val="6725467E"/>
    <w:rsid w:val="673212A5"/>
    <w:rsid w:val="678D387A"/>
    <w:rsid w:val="678F015A"/>
    <w:rsid w:val="67967332"/>
    <w:rsid w:val="69063EB1"/>
    <w:rsid w:val="699D4477"/>
    <w:rsid w:val="69B913D2"/>
    <w:rsid w:val="6A8F17A8"/>
    <w:rsid w:val="6C2B223E"/>
    <w:rsid w:val="6C8C036C"/>
    <w:rsid w:val="6CA94250"/>
    <w:rsid w:val="6CC929EA"/>
    <w:rsid w:val="6E02757B"/>
    <w:rsid w:val="6E5811B5"/>
    <w:rsid w:val="6F8C0E14"/>
    <w:rsid w:val="6FBA4BAF"/>
    <w:rsid w:val="70F41D2D"/>
    <w:rsid w:val="71BD2DFD"/>
    <w:rsid w:val="734F76ED"/>
    <w:rsid w:val="73B5231A"/>
    <w:rsid w:val="73E73C81"/>
    <w:rsid w:val="74244B72"/>
    <w:rsid w:val="745662F8"/>
    <w:rsid w:val="75BC64AC"/>
    <w:rsid w:val="766036D2"/>
    <w:rsid w:val="772558C3"/>
    <w:rsid w:val="78574485"/>
    <w:rsid w:val="786813C2"/>
    <w:rsid w:val="7897181F"/>
    <w:rsid w:val="793C296C"/>
    <w:rsid w:val="79C06788"/>
    <w:rsid w:val="7A1E59ED"/>
    <w:rsid w:val="7B3D10AC"/>
    <w:rsid w:val="7BE36A2A"/>
    <w:rsid w:val="7BF32349"/>
    <w:rsid w:val="7C607FF3"/>
    <w:rsid w:val="7D2E207E"/>
    <w:rsid w:val="7D5E6464"/>
    <w:rsid w:val="7D7A0EAD"/>
    <w:rsid w:val="7D990D5B"/>
    <w:rsid w:val="7D996D6E"/>
    <w:rsid w:val="7DFD0EB0"/>
    <w:rsid w:val="7ED22A0D"/>
    <w:rsid w:val="7F01514B"/>
    <w:rsid w:val="7F2C3AA6"/>
    <w:rsid w:val="7FA217DB"/>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font11"/>
    <w:basedOn w:val="15"/>
    <w:qFormat/>
    <w:uiPriority w:val="0"/>
    <w:rPr>
      <w:rFonts w:hint="eastAsia" w:ascii="宋体" w:hAnsi="宋体" w:eastAsia="宋体" w:cs="宋体"/>
      <w:b/>
      <w:bCs/>
      <w:color w:val="000000"/>
      <w:sz w:val="21"/>
      <w:szCs w:val="21"/>
      <w:u w:val="none"/>
    </w:rPr>
  </w:style>
  <w:style w:type="character" w:customStyle="1" w:styleId="20">
    <w:name w:val="font41"/>
    <w:basedOn w:val="15"/>
    <w:qFormat/>
    <w:uiPriority w:val="0"/>
    <w:rPr>
      <w:rFonts w:hint="eastAsia" w:ascii="宋体" w:hAnsi="宋体" w:eastAsia="宋体" w:cs="宋体"/>
      <w:color w:val="000000"/>
      <w:sz w:val="22"/>
      <w:szCs w:val="22"/>
      <w:u w:val="none"/>
    </w:rPr>
  </w:style>
  <w:style w:type="character" w:customStyle="1" w:styleId="21">
    <w:name w:val="font51"/>
    <w:basedOn w:val="15"/>
    <w:qFormat/>
    <w:uiPriority w:val="0"/>
    <w:rPr>
      <w:rFonts w:hint="default" w:ascii="Calibri" w:hAnsi="Calibri" w:cs="Calibri"/>
      <w:color w:val="000000"/>
      <w:sz w:val="21"/>
      <w:szCs w:val="21"/>
      <w:u w:val="none"/>
    </w:rPr>
  </w:style>
  <w:style w:type="character" w:customStyle="1" w:styleId="22">
    <w:name w:val="font61"/>
    <w:basedOn w:val="15"/>
    <w:qFormat/>
    <w:uiPriority w:val="0"/>
    <w:rPr>
      <w:rFonts w:hint="eastAsia" w:ascii="宋体" w:hAnsi="宋体" w:eastAsia="宋体" w:cs="宋体"/>
      <w:color w:val="000000"/>
      <w:sz w:val="21"/>
      <w:szCs w:val="21"/>
      <w:u w:val="none"/>
    </w:rPr>
  </w:style>
  <w:style w:type="character" w:customStyle="1" w:styleId="23">
    <w:name w:val="font31"/>
    <w:basedOn w:val="15"/>
    <w:qFormat/>
    <w:uiPriority w:val="0"/>
    <w:rPr>
      <w:rFonts w:hint="eastAsia" w:ascii="宋体" w:hAnsi="宋体" w:eastAsia="宋体" w:cs="宋体"/>
      <w:color w:val="000000"/>
      <w:sz w:val="21"/>
      <w:szCs w:val="21"/>
      <w:u w:val="none"/>
    </w:rPr>
  </w:style>
  <w:style w:type="character" w:customStyle="1" w:styleId="24">
    <w:name w:val="正文文本_"/>
    <w:basedOn w:val="15"/>
    <w:link w:val="25"/>
    <w:unhideWhenUsed/>
    <w:qFormat/>
    <w:locked/>
    <w:uiPriority w:val="99"/>
    <w:rPr>
      <w:rFonts w:ascii="宋体" w:cs="宋体"/>
      <w:kern w:val="0"/>
      <w:sz w:val="23"/>
      <w:szCs w:val="23"/>
    </w:rPr>
  </w:style>
  <w:style w:type="paragraph" w:customStyle="1" w:styleId="25">
    <w:name w:val="正文文本1"/>
    <w:basedOn w:val="1"/>
    <w:link w:val="24"/>
    <w:unhideWhenUsed/>
    <w:qFormat/>
    <w:uiPriority w:val="99"/>
    <w:pPr>
      <w:widowControl/>
      <w:shd w:val="clear" w:color="auto" w:fill="FFFFFF"/>
      <w:spacing w:line="619" w:lineRule="exact"/>
    </w:pPr>
    <w:rPr>
      <w:rFonts w:ascii="宋体" w:cs="宋体"/>
      <w:kern w:val="0"/>
      <w:sz w:val="23"/>
      <w:szCs w:val="23"/>
    </w:rPr>
  </w:style>
  <w:style w:type="paragraph" w:customStyle="1" w:styleId="26">
    <w:name w:val="纯文本1"/>
    <w:basedOn w:val="1"/>
    <w:qFormat/>
    <w:uiPriority w:val="99"/>
    <w:rPr>
      <w:rFonts w:ascii="宋体" w:hAnsi="Plotter"/>
      <w:szCs w:val="20"/>
    </w:rPr>
  </w:style>
  <w:style w:type="paragraph" w:customStyle="1" w:styleId="27">
    <w:name w:val="列出段落1"/>
    <w:basedOn w:val="1"/>
    <w:qFormat/>
    <w:uiPriority w:val="34"/>
    <w:pPr>
      <w:ind w:firstLine="420" w:firstLineChars="200"/>
    </w:pPr>
  </w:style>
  <w:style w:type="paragraph" w:customStyle="1" w:styleId="28">
    <w:name w:val="列出段落11"/>
    <w:basedOn w:val="1"/>
    <w:qFormat/>
    <w:uiPriority w:val="34"/>
    <w:pPr>
      <w:ind w:firstLine="420" w:firstLineChars="200"/>
    </w:pPr>
    <w:rPr>
      <w:rFonts w:ascii="Times New Roman" w:hAnsi="Times New Roman"/>
      <w:szCs w:val="24"/>
    </w:rPr>
  </w:style>
  <w:style w:type="paragraph" w:customStyle="1" w:styleId="29">
    <w:name w:val="列出段落2"/>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14425</Words>
  <Characters>14658</Characters>
  <Lines>0</Lines>
  <Paragraphs>0</Paragraphs>
  <TotalTime>43</TotalTime>
  <ScaleCrop>false</ScaleCrop>
  <LinksUpToDate>false</LinksUpToDate>
  <CharactersWithSpaces>15925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2023年度湖州南浔城投城市建设集团有限公司机械租赁项目</cp:category>
  <dcterms:created xsi:type="dcterms:W3CDTF">2023-03-16T09:34:00Z</dcterms:created>
  <dc:creator>2023-05-006</dc:creator>
  <dc:description> 机械租赁（机械种类详见报价清单）  </dc:description>
  <cp:keywords>每年年底凭双方确认的结算单按实际发生的数量统一支付。</cp:keywords>
  <cp:lastModifiedBy>HSM</cp:lastModifiedBy>
  <cp:lastPrinted>2023-10-13T03:06:00Z</cp:lastPrinted>
  <dcterms:modified xsi:type="dcterms:W3CDTF">2023-10-16T04:18:20Z</dcterms:modified>
  <dc:subject>  /  </dc:subject>
  <dc:title> 湖州市南浔区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F0E109B810DE4249A2F1948D9F7440CE_13</vt:lpwstr>
  </property>
</Properties>
</file>