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52045514"/>
      <w:bookmarkStart w:id="2" w:name="_Toc246996903"/>
      <w:bookmarkStart w:id="3" w:name="_Toc246996160"/>
      <w:bookmarkStart w:id="4" w:name="_Toc179632530"/>
      <w:bookmarkStart w:id="5" w:name="_Toc144974482"/>
      <w:bookmarkStart w:id="6" w:name="_Toc152042290"/>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南浔直播电商产业基地项目工程总承包-安装</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2024-N-011-下05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yellow"/>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南浔直播电商产业基地项目工程总承包-安装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val="en-US" w:eastAsia="zh-CN"/>
              </w:rPr>
              <w:t>项目总用地面积6670㎡，净用地面积6550m，总建筑面积约14967.2m，其中地上建筑面积约10605.19㎡，地下建筑面积约4362.01㎡，项目建安费为85875884元。主要为综合商务用房、物业管理用房、消防监控室、传达室、成品传达室的建设，包括但不限于建筑、结构、室内装修、给排水、消防、智能化、电气、暖通、景观及室外工程、装配式建筑、海绵城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eastAsia"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non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443日历天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yellow"/>
                <w:vertAlign w:val="baseline"/>
                <w:lang w:val="en-US" w:eastAsia="zh-CN"/>
              </w:rPr>
              <w:t>开工时间以建设单位开工报告日期为准。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1600万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highlight w:val="yellow"/>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lang w:val="zh-CN" w:eastAsia="zh-CN" w:bidi="ar-SA"/>
                </w:rPr>
              </w:sdtEndPr>
              <w:sdtContent>
                <w:r>
                  <w:rPr>
                    <w:rFonts w:hint="eastAsia" w:ascii="仿宋_GB2312" w:hAnsi="仿宋_GB2312" w:eastAsia="仿宋_GB2312" w:cs="仿宋_GB2312"/>
                    <w:color w:val="auto"/>
                    <w:kern w:val="2"/>
                    <w:sz w:val="28"/>
                    <w:szCs w:val="28"/>
                    <w:highlight w:val="yellow"/>
                    <w:lang w:val="en-US" w:eastAsia="zh-CN" w:bidi="ar-SA"/>
                  </w:rPr>
                  <w:t>湖州市南浔区和孚镇交警中队东侧</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建设内容包括但不限于给排水（含市政给水、排水出建筑外墙1米）、电气工程、暖通（含消防）、智能化、亮化、临时设施和工地配套水电、消防（其中临时设施和工地配套水电、消防不纳入审计）等工程，具体详见图纸，最终以招标人及业主单位要求为准，直至本工程满足功能性要求及设计单位、建设单位要求并竣工验收合格为止（精装修验收）。</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b w:val="0"/>
                <w:bCs w:val="0"/>
                <w:color w:val="auto"/>
                <w:kern w:val="0"/>
                <w:sz w:val="28"/>
                <w:szCs w:val="28"/>
                <w:highlight w:val="yellow"/>
                <w:u w:val="single"/>
                <w:lang w:val="en-US" w:eastAsia="zh-CN"/>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电缆、充电桩、光伏</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w:t>
            </w:r>
            <w:r>
              <w:rPr>
                <w:rFonts w:hint="eastAsia" w:ascii="仿宋_GB2312" w:hAnsi="仿宋_GB2312" w:eastAsia="仿宋_GB2312" w:cs="仿宋_GB2312"/>
                <w:sz w:val="28"/>
                <w:szCs w:val="28"/>
                <w:highlight w:val="none"/>
                <w:lang w:val="en-US" w:eastAsia="zh-CN"/>
              </w:rPr>
              <w:t>及</w:t>
            </w:r>
            <w:r>
              <w:rPr>
                <w:rFonts w:hint="eastAsia" w:ascii="仿宋_GB2312" w:hAnsi="仿宋_GB2312" w:eastAsia="仿宋_GB2312" w:cs="仿宋_GB2312"/>
                <w:sz w:val="28"/>
                <w:szCs w:val="28"/>
                <w:highlight w:val="none"/>
              </w:rPr>
              <w:t>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20万元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val="en-US" w:eastAsia="zh-CN"/>
              </w:rPr>
            </w:pPr>
            <w:r>
              <w:rPr>
                <w:rFonts w:hint="eastAsia" w:ascii="仿宋" w:hAnsi="仿宋" w:eastAsia="仿宋" w:cs="仿宋"/>
                <w:b w:val="0"/>
                <w:bCs/>
                <w:sz w:val="28"/>
                <w:szCs w:val="28"/>
                <w:highlight w:val="yellow"/>
                <w:u w:val="none"/>
              </w:rPr>
              <w:t>按月支付，每月按实际完成</w:t>
            </w:r>
            <w:r>
              <w:rPr>
                <w:rFonts w:hint="eastAsia" w:ascii="仿宋" w:hAnsi="仿宋" w:eastAsia="仿宋" w:cs="仿宋"/>
                <w:b w:val="0"/>
                <w:bCs/>
                <w:sz w:val="28"/>
                <w:szCs w:val="28"/>
                <w:highlight w:val="yellow"/>
                <w:u w:val="none"/>
                <w:lang w:val="en-US" w:eastAsia="zh-CN"/>
              </w:rPr>
              <w:t>合格工程量</w:t>
            </w:r>
            <w:r>
              <w:rPr>
                <w:rFonts w:hint="eastAsia" w:ascii="仿宋" w:hAnsi="仿宋" w:eastAsia="仿宋" w:cs="仿宋"/>
                <w:b w:val="0"/>
                <w:bCs/>
                <w:sz w:val="28"/>
                <w:szCs w:val="28"/>
                <w:highlight w:val="yellow"/>
                <w:u w:val="none"/>
              </w:rPr>
              <w:t>的</w:t>
            </w:r>
            <w:r>
              <w:rPr>
                <w:rFonts w:hint="eastAsia" w:ascii="仿宋" w:hAnsi="仿宋" w:eastAsia="仿宋" w:cs="仿宋"/>
                <w:b w:val="0"/>
                <w:bCs/>
                <w:sz w:val="28"/>
                <w:szCs w:val="28"/>
                <w:highlight w:val="yellow"/>
                <w:u w:val="none"/>
                <w:lang w:val="en-US" w:eastAsia="zh-CN"/>
              </w:rPr>
              <w:t>60</w:t>
            </w:r>
            <w:r>
              <w:rPr>
                <w:rFonts w:hint="eastAsia" w:ascii="仿宋" w:hAnsi="仿宋" w:eastAsia="仿宋" w:cs="仿宋"/>
                <w:b w:val="0"/>
                <w:bCs/>
                <w:sz w:val="28"/>
                <w:szCs w:val="28"/>
                <w:highlight w:val="yellow"/>
                <w:u w:val="none"/>
              </w:rPr>
              <w:t>%支付进度款；工程整体竣工验收合格（合同约定的及发包人在施工过程要求增加的全部工作内容完成）并提供竣工资料且资料归档提交竣工结算资料后付至合同价款的</w:t>
            </w:r>
            <w:r>
              <w:rPr>
                <w:rFonts w:hint="eastAsia" w:ascii="仿宋" w:hAnsi="仿宋" w:eastAsia="仿宋" w:cs="仿宋"/>
                <w:b w:val="0"/>
                <w:bCs/>
                <w:sz w:val="28"/>
                <w:szCs w:val="28"/>
                <w:highlight w:val="yellow"/>
                <w:u w:val="none"/>
                <w:lang w:val="en-US" w:eastAsia="zh-CN"/>
              </w:rPr>
              <w:t>7</w:t>
            </w:r>
            <w:r>
              <w:rPr>
                <w:rFonts w:hint="eastAsia" w:ascii="仿宋" w:hAnsi="仿宋" w:eastAsia="仿宋" w:cs="仿宋"/>
                <w:b w:val="0"/>
                <w:bCs/>
                <w:sz w:val="28"/>
                <w:szCs w:val="28"/>
                <w:highlight w:val="yellow"/>
                <w:u w:val="none"/>
              </w:rPr>
              <w:t>5%；结算审核后付至审定价的98.5%，质量保证金待竣工验收合格满二年付清。整体工程竣工验收合格后，承包人履行了全部合同约定且提交竣工结算资料后，发包人在竣工验收合格后10日内全额返还履约保证金。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建设</w:t>
            </w:r>
            <w:r>
              <w:rPr>
                <w:rFonts w:hint="eastAsia" w:ascii="仿宋_GB2312" w:hAnsi="仿宋_GB2312" w:eastAsia="仿宋_GB2312" w:cs="仿宋_GB2312"/>
                <w:sz w:val="28"/>
                <w:szCs w:val="28"/>
                <w:highlight w:val="none"/>
              </w:rPr>
              <w:t>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；对此投标人完全知晓并接受</w:t>
            </w:r>
            <w:r>
              <w:rPr>
                <w:rFonts w:hint="eastAsia" w:ascii="仿宋_GB2312" w:hAnsi="仿宋_GB2312" w:eastAsia="仿宋_GB2312" w:cs="仿宋_GB2312"/>
                <w:color w:val="auto"/>
                <w:sz w:val="28"/>
                <w:szCs w:val="28"/>
                <w:highlight w:val="none"/>
                <w:lang w:val="en-US" w:eastAsia="zh-CN"/>
              </w:rPr>
              <w:t>。</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如</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与</w:t>
            </w:r>
            <w:r>
              <w:rPr>
                <w:rFonts w:hint="eastAsia" w:ascii="仿宋_GB2312" w:hAnsi="仿宋_GB2312" w:eastAsia="仿宋_GB2312" w:cs="仿宋_GB2312"/>
                <w:sz w:val="28"/>
                <w:szCs w:val="28"/>
                <w:highlight w:val="none"/>
              </w:rPr>
              <w:t>业主单位</w:t>
            </w:r>
            <w:r>
              <w:rPr>
                <w:rFonts w:ascii="仿宋_GB2312" w:hAnsi="仿宋_GB2312" w:eastAsia="仿宋_GB2312" w:cs="仿宋_GB2312"/>
                <w:sz w:val="28"/>
                <w:szCs w:val="28"/>
                <w:highlight w:val="none"/>
              </w:rPr>
              <w:t>发生争议的，</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据此产生的诉讼费、律师费、财产保全需要购买保单的保险费等均由</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承担，并直接从应支付给</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的款项中扣除；对此投标人完全知晓并接受</w:t>
            </w:r>
            <w:r>
              <w:rPr>
                <w:rFonts w:hint="eastAsia" w:ascii="仿宋_GB2312" w:hAnsi="仿宋_GB2312" w:eastAsia="仿宋_GB2312" w:cs="仿宋_GB2312"/>
                <w:sz w:val="28"/>
                <w:szCs w:val="28"/>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rPr>
              <w:t>4</w:t>
            </w:r>
            <w:r>
              <w:rPr>
                <w:rFonts w:ascii="仿宋_GB2312" w:hAnsi="仿宋_GB2312" w:eastAsia="仿宋_GB2312" w:cs="仿宋_GB2312"/>
                <w:sz w:val="28"/>
                <w:szCs w:val="28"/>
                <w:highlight w:val="none"/>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消防、电子与智能化、机电安装专业 </w:t>
            </w:r>
            <w:r>
              <w:rPr>
                <w:rFonts w:hint="eastAsia" w:ascii="仿宋_GB2312" w:hAnsi="仿宋_GB2312" w:eastAsia="仿宋_GB2312" w:cs="仿宋_GB2312"/>
                <w:sz w:val="28"/>
                <w:szCs w:val="28"/>
                <w:highlight w:val="none"/>
                <w:vertAlign w:val="baseline"/>
                <w:lang w:val="en-US" w:eastAsia="zh-CN"/>
              </w:rPr>
              <w:t>分包库内库外单位。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w:t>
            </w:r>
            <w:r>
              <w:rPr>
                <w:rFonts w:hint="eastAsia" w:ascii="仿宋_GB2312" w:hAnsi="仿宋_GB2312" w:eastAsia="仿宋_GB2312" w:cs="仿宋_GB2312"/>
                <w:sz w:val="28"/>
                <w:szCs w:val="28"/>
                <w:highlight w:val="yellow"/>
                <w:vertAlign w:val="baseline"/>
                <w:lang w:val="en-US" w:eastAsia="zh-CN"/>
              </w:rPr>
              <w:t>应同时具备</w:t>
            </w:r>
            <w:r>
              <w:rPr>
                <w:rFonts w:hint="eastAsia" w:ascii="仿宋_GB2312" w:hAnsi="仿宋_GB2312" w:eastAsia="仿宋_GB2312" w:cs="仿宋_GB2312"/>
                <w:sz w:val="28"/>
                <w:szCs w:val="28"/>
                <w:highlight w:val="yellow"/>
                <w:u w:val="single"/>
                <w:vertAlign w:val="baseline"/>
                <w:lang w:val="en-US" w:eastAsia="zh-CN"/>
              </w:rPr>
              <w:t xml:space="preserve"> 消防设施工程专业承包二级及以上、建筑机电安装工程专业承包二级及以上、电子与智能化工程专业二级及以上资质</w:t>
            </w:r>
            <w:r>
              <w:rPr>
                <w:rFonts w:hint="eastAsia" w:ascii="仿宋_GB2312" w:hAnsi="仿宋_GB2312" w:eastAsia="仿宋_GB2312" w:cs="仿宋_GB2312"/>
                <w:sz w:val="28"/>
                <w:szCs w:val="28"/>
                <w:highlight w:val="yellow"/>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15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00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singl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sz w:val="28"/>
                <w:szCs w:val="28"/>
                <w:highlight w:val="yellow"/>
                <w:lang w:val="en-US" w:eastAsia="zh-CN"/>
              </w:rPr>
              <w:t>具备</w:t>
            </w:r>
            <w:r>
              <w:rPr>
                <w:rFonts w:hint="eastAsia" w:ascii="仿宋_GB2312" w:hAnsi="仿宋_GB2312" w:eastAsia="仿宋_GB2312" w:cs="仿宋_GB2312"/>
                <w:sz w:val="28"/>
                <w:szCs w:val="28"/>
                <w:highlight w:val="yellow"/>
                <w:u w:val="single"/>
                <w:vertAlign w:val="baseline"/>
                <w:lang w:val="en-US" w:eastAsia="zh-CN"/>
              </w:rPr>
              <w:t>消防设施工程专业承包二级及以上、建筑机电安装工程专业承包二级及以上、电子与智能化工程专业二级及以上</w:t>
            </w:r>
            <w:bookmarkStart w:id="8" w:name="_GoBack"/>
            <w:bookmarkEnd w:id="8"/>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b/>
                <w:bCs/>
                <w:sz w:val="28"/>
                <w:szCs w:val="28"/>
                <w:highlight w:val="none"/>
              </w:rPr>
              <w:t>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1、工程荣誉或业绩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2、临时水电专项施工方案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3、机电安装施工组织设计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color w:val="auto"/>
                <w:sz w:val="28"/>
                <w:szCs w:val="28"/>
                <w:highlight w:val="yellow"/>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w:t>
            </w:r>
            <w:r>
              <w:rPr>
                <w:rFonts w:hint="eastAsia" w:ascii="仿宋_GB2312" w:hAnsi="仿宋_GB2312" w:eastAsia="仿宋_GB2312" w:cs="仿宋_GB2312"/>
                <w:b/>
                <w:bCs/>
                <w:sz w:val="28"/>
                <w:szCs w:val="28"/>
                <w:highlight w:val="none"/>
                <w:u w:val="single"/>
              </w:rPr>
              <w:t>第一册投标文件</w:t>
            </w:r>
            <w:r>
              <w:rPr>
                <w:rFonts w:hint="eastAsia" w:ascii="仿宋_GB2312" w:hAnsi="仿宋_GB2312" w:eastAsia="仿宋_GB2312" w:cs="仿宋_GB2312"/>
                <w:b/>
                <w:bCs/>
                <w:color w:val="auto"/>
                <w:sz w:val="28"/>
                <w:szCs w:val="28"/>
                <w:highlight w:val="none"/>
                <w:lang w:val="en-US" w:eastAsia="zh-CN"/>
              </w:rPr>
              <w:t>只需要提供编号为1、2、</w:t>
            </w:r>
            <w:r>
              <w:rPr>
                <w:rFonts w:hint="eastAsia" w:ascii="仿宋_GB2312" w:hAnsi="仿宋_GB2312" w:eastAsia="仿宋_GB2312" w:cs="仿宋_GB2312"/>
                <w:b/>
                <w:bCs/>
                <w:color w:val="auto"/>
                <w:sz w:val="28"/>
                <w:szCs w:val="28"/>
                <w:highlight w:val="yellow"/>
                <w:lang w:val="en-US" w:eastAsia="zh-CN"/>
              </w:rPr>
              <w:t>12、13项的材料即可。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b/>
                <w:bCs/>
                <w:color w:val="auto"/>
                <w:sz w:val="28"/>
                <w:szCs w:val="28"/>
                <w:highlight w:val="yellow"/>
                <w:lang w:val="en-US" w:eastAsia="zh-CN"/>
              </w:rPr>
            </w:pPr>
            <w:r>
              <w:rPr>
                <w:rFonts w:hint="eastAsia" w:ascii="仿宋_GB2312" w:hAnsi="仿宋_GB2312" w:eastAsia="仿宋_GB2312" w:cs="仿宋_GB2312"/>
                <w:b/>
                <w:bCs/>
                <w:sz w:val="28"/>
                <w:szCs w:val="28"/>
                <w:highlight w:val="none"/>
              </w:rPr>
              <w:t>4、第二册投标文件各投标人需全部提供，且与第一册分开密封包装。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评标办法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的施工负责人（投标人的授权委托人即投标人委派的唯一代理人）进入答辩。</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五</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rPr>
        <w:t>（得分排名前五的单位如上述得分均相同,由招标人现场抽签确定排名）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答辩和技术文件进行评分。</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第七步，确定中标人。</w:t>
      </w:r>
    </w:p>
    <w:p>
      <w:pPr>
        <w:numPr>
          <w:ilvl w:val="0"/>
          <w:numId w:val="2"/>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3"/>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2"/>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0"/>
        </w:numPr>
        <w:tabs>
          <w:tab w:val="left" w:pos="210"/>
        </w:tabs>
        <w:spacing w:line="460" w:lineRule="exact"/>
        <w:ind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0"/>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yellow"/>
          <w:lang w:val="en-US" w:eastAsia="zh-CN"/>
        </w:rPr>
        <w:t>临时水电专项施工方案、机电安装施工组织设计</w:t>
      </w:r>
      <w:r>
        <w:rPr>
          <w:rFonts w:hint="eastAsia" w:ascii="仿宋_GB2312" w:hAnsi="仿宋_GB2312" w:eastAsia="仿宋_GB2312" w:cs="仿宋_GB2312"/>
          <w:sz w:val="28"/>
          <w:szCs w:val="28"/>
          <w:highlight w:val="none"/>
          <w:lang w:val="en-US" w:eastAsia="zh-CN"/>
        </w:rPr>
        <w:t>（30分）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color w:val="0000FF"/>
          <w:sz w:val="28"/>
          <w:szCs w:val="28"/>
          <w:highlight w:val="none"/>
          <w:lang w:val="en-US" w:eastAsia="zh-CN"/>
        </w:rPr>
        <w:t>工程业绩：荣</w:t>
      </w:r>
      <w:r>
        <w:rPr>
          <w:rFonts w:hint="eastAsia" w:ascii="仿宋_GB2312" w:hAnsi="仿宋_GB2312" w:eastAsia="仿宋_GB2312" w:cs="仿宋_GB2312"/>
          <w:color w:val="0000FF"/>
          <w:sz w:val="28"/>
          <w:szCs w:val="28"/>
          <w:highlight w:val="none"/>
        </w:rPr>
        <w:t>誉及同类业绩</w:t>
      </w:r>
      <w:r>
        <w:rPr>
          <w:rFonts w:hint="eastAsia" w:ascii="仿宋_GB2312" w:hAnsi="仿宋_GB2312" w:eastAsia="仿宋_GB2312" w:cs="仿宋_GB2312"/>
          <w:color w:val="0000FF"/>
          <w:sz w:val="28"/>
          <w:szCs w:val="28"/>
          <w:highlight w:val="none"/>
          <w:lang w:eastAsia="zh-CN"/>
        </w:rPr>
        <w:t>，</w:t>
      </w:r>
      <w:r>
        <w:rPr>
          <w:rFonts w:hint="eastAsia" w:ascii="仿宋_GB2312" w:hAnsi="仿宋_GB2312" w:eastAsia="仿宋_GB2312" w:cs="仿宋_GB2312"/>
          <w:color w:val="0000FF"/>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color w:val="0070C0"/>
          <w:sz w:val="28"/>
          <w:szCs w:val="28"/>
          <w:highlight w:val="none"/>
          <w:lang w:eastAsia="zh-CN"/>
        </w:rPr>
      </w:pPr>
      <w:r>
        <w:rPr>
          <w:rFonts w:hint="eastAsia" w:ascii="仿宋_GB2312" w:hAnsi="仿宋_GB2312" w:eastAsia="仿宋_GB2312" w:cs="仿宋_GB2312"/>
          <w:color w:val="FF0000"/>
          <w:sz w:val="28"/>
          <w:szCs w:val="28"/>
          <w:highlight w:val="none"/>
        </w:rPr>
        <w:t>工程的</w:t>
      </w:r>
      <w:r>
        <w:rPr>
          <w:rFonts w:hint="eastAsia" w:ascii="仿宋_GB2312" w:hAnsi="仿宋_GB2312" w:eastAsia="仿宋_GB2312" w:cs="仿宋_GB2312"/>
          <w:color w:val="FF0000"/>
          <w:sz w:val="28"/>
          <w:szCs w:val="28"/>
          <w:highlight w:val="none"/>
          <w:lang w:val="en-US" w:eastAsia="zh-CN"/>
        </w:rPr>
        <w:t>临时水电专项施工方案</w:t>
      </w:r>
      <w:r>
        <w:rPr>
          <w:rFonts w:hint="eastAsia" w:ascii="仿宋_GB2312" w:hAnsi="仿宋_GB2312" w:eastAsia="仿宋_GB2312" w:cs="仿宋_GB2312"/>
          <w:color w:val="0070C0"/>
          <w:sz w:val="28"/>
          <w:szCs w:val="28"/>
          <w:highlight w:val="none"/>
        </w:rPr>
        <w:t>：① 总体施工部署、场地平面布置及说明</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质量保障措施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安全生产及工种配合措施及技术要求；</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现场管理措施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材料管理措施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针对本项目的</w:t>
      </w:r>
      <w:r>
        <w:rPr>
          <w:rFonts w:hint="eastAsia" w:ascii="仿宋_GB2312" w:hAnsi="仿宋_GB2312" w:eastAsia="仿宋_GB2312" w:cs="仿宋_GB2312"/>
          <w:color w:val="0070C0"/>
          <w:sz w:val="28"/>
          <w:szCs w:val="28"/>
          <w:highlight w:val="none"/>
          <w:lang w:val="en-US" w:eastAsia="zh-CN"/>
        </w:rPr>
        <w:t>标化验收工地</w:t>
      </w:r>
      <w:r>
        <w:rPr>
          <w:rFonts w:hint="eastAsia" w:ascii="仿宋_GB2312" w:hAnsi="仿宋_GB2312" w:eastAsia="仿宋_GB2312" w:cs="仿宋_GB2312"/>
          <w:color w:val="0070C0"/>
          <w:sz w:val="28"/>
          <w:szCs w:val="28"/>
          <w:highlight w:val="none"/>
        </w:rPr>
        <w:t>施工工艺、重点、难点和关键点分析</w:t>
      </w:r>
      <w:r>
        <w:rPr>
          <w:rFonts w:hint="eastAsia" w:ascii="仿宋_GB2312" w:hAnsi="仿宋_GB2312" w:eastAsia="仿宋_GB2312" w:cs="仿宋_GB2312"/>
          <w:color w:val="0070C0"/>
          <w:sz w:val="28"/>
          <w:szCs w:val="28"/>
          <w:highlight w:val="none"/>
          <w:lang w:eastAsia="zh-CN"/>
        </w:rPr>
        <w:t>。</w:t>
      </w:r>
    </w:p>
    <w:p>
      <w:pPr>
        <w:numPr>
          <w:ilvl w:val="0"/>
          <w:numId w:val="0"/>
        </w:numPr>
        <w:spacing w:line="460" w:lineRule="exact"/>
        <w:ind w:firstLine="1120" w:firstLineChars="4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机电安装施工组织设计：</w:t>
      </w:r>
      <w:r>
        <w:rPr>
          <w:rFonts w:hint="eastAsia" w:ascii="仿宋_GB2312" w:hAnsi="仿宋_GB2312" w:eastAsia="仿宋_GB2312" w:cs="仿宋_GB2312"/>
          <w:color w:val="0070C0"/>
          <w:sz w:val="28"/>
          <w:szCs w:val="28"/>
          <w:highlight w:val="none"/>
        </w:rPr>
        <w:t>① 总体施工部署</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施工重点、难点分析及保证应对措施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主要分部分项工程施工方案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项目劳动力组织计划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施工机械设备数量及配套计划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施工讲度计划情况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工期保证措施情况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lang w:val="en-US" w:eastAsia="zh-CN"/>
        </w:rPr>
        <w:t>⑧ 工程质量保证措施情况；⑨ 安全生产、文明施工、环境保护保证措施情况；⑩ 雨季、台风和夏季高温季节的施工保证措施情况。</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rPr>
        <w:t>投标人的法人授权委托人本人确无法参加本次投标和开标的，可以由其委托其它人员（代表）参加，招标人在与投标人的法人授权委托人本人电话或微信视频确认后可按规定收取投标文件。</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五、中标人确定</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1、二次谈判后评标委员会对投标人按总分从高到低进行排序，并按照顺序推荐中标候选人，应当确定排名第1名的投标人为中标人。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排名第2名的投标人为中标人，排名第二的中标候选人因同样原因的，可以确定排名第3名的投标人为中标人，不再进行重新评审。招标人也可以重新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投标人在本次招投标期间已中标承揽工程项目中有在建未完工的项目数量达到3个及以上的，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4、开标完成后，招标人应发布中标公告，中标公告一般公示3个自然日，公示期满后招标人发布中标通知书予中标人。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中标人应当自招标人中标通知书发出之日起3个工作日内，根据招标人要求及招标文件规定与招标人签订书面合同，在合同签订前需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2、因业主单位原因导致本工程工程量增减、合同中止或终止等，招标人接受并同意的，本工程中标人一并接受和同意，由此对中标人可能造成的损失由中标人自行承担。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3、中标人收到中标通知书后、或者中标人与招标人签订合同后接到业主单位取消该项目实施的，招标人与中标人的合作自动终止，由此对中标人可能造成的损失由中标人自行承担。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6、投标人严格按照南浔城市集团品牌库或业主单位、招标人要求的工程材料及设备品牌采购相关材料和设备，对此投标人完全知晓并同意，并在投标报价时已充分考虑。</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7、因中标人原因导致招标人被通报批评的，招标人有权视情节严重对中标人处2至5万元每次的经济处罚，严重的处10万元每次的处罚，在当期工程款中进行扣除。</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spacing w:line="460" w:lineRule="exact"/>
              <w:ind w:firstLine="640" w:firstLineChars="200"/>
              <w:jc w:val="center"/>
              <w:rPr>
                <w:rFonts w:hint="eastAsia" w:ascii="仿宋_GB2312" w:hAnsi="仿宋_GB2312" w:eastAsia="仿宋_GB2312" w:cs="仿宋_GB2312"/>
                <w:kern w:val="0"/>
                <w:sz w:val="32"/>
                <w:szCs w:val="32"/>
                <w:highlight w:val="none"/>
                <w:u w:val="single"/>
                <w:lang w:eastAsia="zh-CN"/>
              </w:rPr>
            </w:pPr>
            <w:r>
              <w:rPr>
                <w:rFonts w:hint="eastAsia" w:ascii="仿宋_GB2312" w:hAnsi="仿宋_GB2312" w:eastAsia="仿宋_GB2312" w:cs="仿宋_GB2312"/>
                <w:kern w:val="0"/>
                <w:sz w:val="32"/>
                <w:szCs w:val="32"/>
                <w:highlight w:val="none"/>
                <w:lang w:val="en-US" w:eastAsia="zh-CN"/>
              </w:rPr>
              <w:t>（第</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none"/>
                <w:lang w:val="en-US" w:eastAsia="zh-CN"/>
              </w:rPr>
              <w:t>册）</w:t>
            </w:r>
          </w:p>
          <w:p>
            <w:pPr>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（本次招标无）</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highlight w:val="yellow"/>
          <w:lang w:val="zh-CN" w:eastAsia="zh-CN" w:bidi="ar-SA"/>
        </w:rPr>
      </w:pPr>
      <w:r>
        <w:rPr>
          <w:rFonts w:hint="eastAsia" w:ascii="方正小标宋简体" w:hAnsi="方正小标宋简体" w:eastAsia="方正小标宋简体" w:cs="方正小标宋简体"/>
          <w:b w:val="0"/>
          <w:bCs w:val="0"/>
          <w:color w:val="000000"/>
          <w:kern w:val="2"/>
          <w:sz w:val="32"/>
          <w:szCs w:val="32"/>
          <w:highlight w:val="yellow"/>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缴纳入库保证金10万元至贵公司账户。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南浔直播电商产业基地项目工程总承包-安装</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湖州市南浔区和孚镇交警中队东侧</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给排水（含市政给水、排水出建筑外墙1米）、电气工程、暖通（含消防）、智能化、亮化、临时设施和工地配套水电、消防（其中临时设施和工地配套水电、消防不纳入审计）等工程，具体详见图纸，最终以招标人及业主单位要求为准，直至本工程满足功能性要求及设计单位、建设单位要求并竣工验收合格为止（精装修验收）。</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专业承包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443日历天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电缆、充电桩、光伏</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highlight w:val="yellow"/>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yellow"/>
            <w:u w:val="none"/>
            <w:lang w:val="en-US" w:eastAsia="zh-CN" w:bidi="ar-SA"/>
          </w:rPr>
        </w:sdtEndPr>
        <w:sdtContent>
          <w:r>
            <w:rPr>
              <w:rFonts w:hint="eastAsia" w:ascii="仿宋" w:hAnsi="仿宋" w:eastAsia="仿宋" w:cs="仿宋"/>
              <w:b w:val="0"/>
              <w:bCs/>
              <w:sz w:val="28"/>
              <w:szCs w:val="28"/>
              <w:u w:val="none"/>
              <w:lang w:eastAsia="zh-CN"/>
            </w:rPr>
            <w:t>按月支付，每月按实际完成合格工程量的60%支付进度款；工程整体竣工验收合格（合同约定的及发包人在施工过程要求增加的全部工作内容完成）并提供竣工资料且资料归档提交竣工结算资料后付至合同价款的75%；结算审核后付至审定价的98.5%，质量保证金待竣工验收合格满二年付清。整体工程竣工验收合格后，承包人履行了全部合同约定且提交竣工结算资料后，发包人在竣工验收合格后10日内全额返还履约保证金。</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；对此投标人完全知晓并接受</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none"/>
          <w:lang w:val="zh-CN"/>
        </w:rPr>
      </w:pPr>
      <w:r>
        <w:rPr>
          <w:rFonts w:hint="default" w:ascii="仿宋_GB2312" w:hAnsi="仿宋_GB2312" w:eastAsia="仿宋_GB2312" w:cs="仿宋_GB2312"/>
          <w:color w:val="auto"/>
          <w:kern w:val="2"/>
          <w:sz w:val="28"/>
          <w:szCs w:val="28"/>
          <w:highlight w:val="none"/>
          <w:u w:val="none"/>
          <w:lang w:eastAsia="zh-CN"/>
        </w:rPr>
        <w:t>4</w:t>
      </w:r>
      <w:r>
        <w:rPr>
          <w:rFonts w:hint="eastAsia" w:ascii="仿宋_GB2312" w:hAnsi="仿宋_GB2312" w:eastAsia="仿宋_GB2312" w:cs="仿宋_GB2312"/>
          <w:color w:val="auto"/>
          <w:kern w:val="2"/>
          <w:sz w:val="28"/>
          <w:szCs w:val="28"/>
          <w:highlight w:val="none"/>
          <w:u w:val="none"/>
          <w:lang w:val="en-US" w:eastAsia="zh-CN"/>
        </w:rPr>
        <w:t>.按照甲方与业主单位签订合同的约定、工程业主单位的其他规定，</w:t>
      </w:r>
      <w:r>
        <w:rPr>
          <w:rFonts w:hint="eastAsia" w:ascii="仿宋_GB2312" w:hAnsi="仿宋_GB2312" w:eastAsia="仿宋_GB2312" w:cs="仿宋_GB2312"/>
          <w:bCs w:val="0"/>
          <w:color w:val="auto"/>
          <w:sz w:val="28"/>
          <w:szCs w:val="28"/>
          <w:highlight w:val="none"/>
          <w:u w:val="none"/>
          <w:lang w:val="zh-CN"/>
        </w:rPr>
        <w:t>最终结算审计核减率</w:t>
      </w:r>
      <w:r>
        <w:rPr>
          <w:rFonts w:hint="eastAsia" w:ascii="仿宋_GB2312" w:hAnsi="仿宋_GB2312" w:eastAsia="仿宋_GB2312" w:cs="仿宋_GB2312"/>
          <w:bCs w:val="0"/>
          <w:color w:val="auto"/>
          <w:sz w:val="28"/>
          <w:szCs w:val="28"/>
          <w:highlight w:val="none"/>
          <w:u w:val="none"/>
          <w:lang w:val="en-US" w:eastAsia="zh-CN"/>
        </w:rPr>
        <w:t>产生</w:t>
      </w:r>
      <w:r>
        <w:rPr>
          <w:rFonts w:hint="eastAsia" w:ascii="仿宋_GB2312" w:hAnsi="仿宋_GB2312" w:eastAsia="仿宋_GB2312" w:cs="仿宋_GB2312"/>
          <w:color w:val="auto"/>
          <w:kern w:val="2"/>
          <w:sz w:val="28"/>
          <w:szCs w:val="28"/>
          <w:highlight w:val="none"/>
          <w:u w:val="none"/>
          <w:lang w:val="zh-CN"/>
        </w:rPr>
        <w:t>的罚款</w:t>
      </w:r>
      <w:r>
        <w:rPr>
          <w:rFonts w:hint="eastAsia" w:ascii="仿宋_GB2312" w:hAnsi="仿宋_GB2312" w:eastAsia="仿宋_GB2312" w:cs="仿宋_GB2312"/>
          <w:color w:val="auto"/>
          <w:kern w:val="2"/>
          <w:sz w:val="28"/>
          <w:szCs w:val="28"/>
          <w:highlight w:val="none"/>
          <w:u w:val="none"/>
          <w:lang w:val="en-US" w:eastAsia="zh-CN"/>
        </w:rPr>
        <w:t>由乙方承担</w:t>
      </w:r>
      <w:r>
        <w:rPr>
          <w:rFonts w:hint="eastAsia" w:ascii="仿宋_GB2312" w:hAnsi="仿宋_GB2312" w:eastAsia="仿宋_GB2312" w:cs="仿宋_GB2312"/>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28"/>
          <w:szCs w:val="28"/>
          <w:lang w:val="en-US" w:eastAsia="zh-CN"/>
        </w:rPr>
      </w:pPr>
      <w:r>
        <w:rPr>
          <w:rFonts w:hint="default" w:ascii="仿宋_GB2312" w:hAnsi="仿宋_GB2312" w:eastAsia="仿宋_GB2312" w:cs="仿宋_GB2312"/>
          <w:color w:val="auto"/>
          <w:kern w:val="2"/>
          <w:sz w:val="28"/>
          <w:szCs w:val="28"/>
          <w:highlight w:val="none"/>
          <w:u w:val="none"/>
          <w:lang w:eastAsia="zh-CN"/>
        </w:rPr>
        <w:t>5</w:t>
      </w:r>
      <w:r>
        <w:rPr>
          <w:rFonts w:hint="eastAsia" w:ascii="仿宋_GB2312" w:hAnsi="仿宋_GB2312" w:eastAsia="仿宋_GB2312" w:cs="仿宋_GB2312"/>
          <w:color w:val="auto"/>
          <w:kern w:val="2"/>
          <w:sz w:val="28"/>
          <w:szCs w:val="28"/>
          <w:highlight w:val="none"/>
          <w:u w:val="none"/>
          <w:lang w:val="en-US" w:eastAsia="zh-CN"/>
        </w:rPr>
        <w:t>.</w:t>
      </w:r>
      <w:r>
        <w:rPr>
          <w:rFonts w:hint="eastAsia" w:ascii="仿宋_GB2312" w:hAnsi="仿宋_GB2312" w:eastAsia="仿宋_GB2312" w:cs="仿宋_GB2312"/>
          <w:color w:val="auto"/>
          <w:kern w:val="2"/>
          <w:sz w:val="28"/>
          <w:szCs w:val="28"/>
          <w:highlight w:val="none"/>
          <w:u w:val="none"/>
          <w:lang w:val="zh-CN" w:eastAsia="zh-CN"/>
        </w:rPr>
        <w:t>甲方</w:t>
      </w:r>
      <w:r>
        <w:rPr>
          <w:rFonts w:hint="eastAsia" w:ascii="仿宋_GB2312" w:hAnsi="仿宋_GB2312" w:eastAsia="仿宋_GB2312" w:cs="仿宋_GB2312"/>
          <w:color w:val="auto"/>
          <w:kern w:val="2"/>
          <w:sz w:val="28"/>
          <w:szCs w:val="28"/>
          <w:highlight w:val="none"/>
          <w:u w:val="none"/>
          <w:lang w:val="zh-CN"/>
        </w:rPr>
        <w:t>接收</w:t>
      </w:r>
      <w:r>
        <w:rPr>
          <w:rFonts w:hint="eastAsia" w:ascii="仿宋_GB2312" w:hAnsi="仿宋_GB2312" w:eastAsia="仿宋_GB2312" w:cs="仿宋_GB2312"/>
          <w:color w:val="auto"/>
          <w:kern w:val="2"/>
          <w:sz w:val="28"/>
          <w:szCs w:val="28"/>
          <w:highlight w:val="none"/>
          <w:u w:val="none"/>
          <w:lang w:val="zh-CN" w:eastAsia="zh-CN"/>
        </w:rPr>
        <w:t>结算</w:t>
      </w:r>
      <w:r>
        <w:rPr>
          <w:rFonts w:hint="eastAsia" w:ascii="仿宋_GB2312" w:hAnsi="仿宋_GB2312" w:eastAsia="仿宋_GB2312" w:cs="仿宋_GB2312"/>
          <w:color w:val="auto"/>
          <w:kern w:val="2"/>
          <w:sz w:val="28"/>
          <w:szCs w:val="28"/>
          <w:highlight w:val="none"/>
          <w:u w:val="none"/>
          <w:lang w:val="zh-CN"/>
        </w:rPr>
        <w:t>资料后原则上不再接收增补资料，要求</w:t>
      </w:r>
      <w:r>
        <w:rPr>
          <w:rFonts w:hint="eastAsia" w:ascii="仿宋_GB2312" w:hAnsi="仿宋_GB2312" w:eastAsia="仿宋_GB2312" w:cs="仿宋_GB2312"/>
          <w:color w:val="auto"/>
          <w:kern w:val="2"/>
          <w:sz w:val="28"/>
          <w:szCs w:val="28"/>
          <w:highlight w:val="none"/>
          <w:u w:val="none"/>
          <w:lang w:val="zh-CN" w:eastAsia="zh-CN"/>
        </w:rPr>
        <w:t>乙方</w:t>
      </w:r>
      <w:r>
        <w:rPr>
          <w:rFonts w:hint="eastAsia" w:ascii="仿宋_GB2312" w:hAnsi="仿宋_GB2312" w:eastAsia="仿宋_GB2312" w:cs="仿宋_GB2312"/>
          <w:color w:val="auto"/>
          <w:kern w:val="2"/>
          <w:sz w:val="28"/>
          <w:szCs w:val="28"/>
          <w:highlight w:val="none"/>
          <w:u w:val="none"/>
          <w:lang w:val="zh-CN"/>
        </w:rPr>
        <w:t>提供的除外。如有遗漏而增补现象，需</w:t>
      </w:r>
      <w:r>
        <w:rPr>
          <w:rFonts w:hint="eastAsia" w:ascii="仿宋_GB2312" w:hAnsi="仿宋_GB2312" w:eastAsia="仿宋_GB2312" w:cs="仿宋_GB2312"/>
          <w:color w:val="auto"/>
          <w:kern w:val="2"/>
          <w:sz w:val="28"/>
          <w:szCs w:val="28"/>
          <w:highlight w:val="none"/>
          <w:u w:val="none"/>
          <w:lang w:val="zh-CN" w:eastAsia="zh-CN"/>
        </w:rPr>
        <w:t>甲方单位</w:t>
      </w:r>
      <w:r>
        <w:rPr>
          <w:rFonts w:hint="eastAsia" w:ascii="仿宋_GB2312" w:hAnsi="仿宋_GB2312" w:eastAsia="仿宋_GB2312" w:cs="仿宋_GB2312"/>
          <w:color w:val="auto"/>
          <w:kern w:val="2"/>
          <w:sz w:val="28"/>
          <w:szCs w:val="28"/>
          <w:highlight w:val="none"/>
          <w:u w:val="none"/>
          <w:lang w:val="zh-CN"/>
        </w:rPr>
        <w:t>签字确认再移交</w:t>
      </w:r>
      <w:r>
        <w:rPr>
          <w:rFonts w:hint="eastAsia" w:ascii="仿宋_GB2312" w:hAnsi="仿宋_GB2312" w:eastAsia="仿宋_GB2312" w:cs="仿宋_GB2312"/>
          <w:color w:val="auto"/>
          <w:kern w:val="2"/>
          <w:sz w:val="28"/>
          <w:szCs w:val="28"/>
          <w:highlight w:val="none"/>
          <w:u w:val="none"/>
          <w:lang w:val="zh-CN" w:eastAsia="zh-CN"/>
        </w:rPr>
        <w:t>业主</w:t>
      </w:r>
      <w:r>
        <w:rPr>
          <w:rFonts w:hint="eastAsia" w:ascii="仿宋_GB2312" w:hAnsi="仿宋_GB2312" w:eastAsia="仿宋_GB2312" w:cs="仿宋_GB2312"/>
          <w:color w:val="auto"/>
          <w:kern w:val="2"/>
          <w:sz w:val="28"/>
          <w:szCs w:val="28"/>
          <w:highlight w:val="none"/>
          <w:u w:val="none"/>
          <w:lang w:val="zh-CN"/>
        </w:rPr>
        <w:t>，</w:t>
      </w:r>
      <w:r>
        <w:rPr>
          <w:rFonts w:hint="eastAsia" w:ascii="仿宋_GB2312" w:hAnsi="仿宋_GB2312" w:eastAsia="仿宋_GB2312" w:cs="仿宋_GB2312"/>
          <w:color w:val="auto"/>
          <w:kern w:val="2"/>
          <w:sz w:val="28"/>
          <w:szCs w:val="28"/>
          <w:highlight w:val="none"/>
          <w:u w:val="none"/>
          <w:lang w:val="en-US" w:eastAsia="zh-CN"/>
        </w:rPr>
        <w:t>如业主单位不接收而对甲方造成的损失、以及</w:t>
      </w:r>
      <w:r>
        <w:rPr>
          <w:rFonts w:hint="eastAsia" w:ascii="仿宋_GB2312" w:hAnsi="仿宋_GB2312" w:eastAsia="仿宋_GB2312" w:cs="仿宋_GB2312"/>
          <w:color w:val="auto"/>
          <w:kern w:val="2"/>
          <w:sz w:val="28"/>
          <w:szCs w:val="28"/>
          <w:highlight w:val="none"/>
          <w:u w:val="none"/>
          <w:lang w:val="zh-CN" w:eastAsia="zh-CN"/>
        </w:rPr>
        <w:t>由此对可能造成</w:t>
      </w:r>
      <w:r>
        <w:rPr>
          <w:rFonts w:hint="eastAsia" w:ascii="仿宋_GB2312" w:hAnsi="仿宋_GB2312" w:eastAsia="仿宋_GB2312" w:cs="仿宋_GB2312"/>
          <w:color w:val="auto"/>
          <w:kern w:val="2"/>
          <w:sz w:val="28"/>
          <w:szCs w:val="28"/>
          <w:highlight w:val="none"/>
          <w:u w:val="none"/>
          <w:lang w:val="en-US" w:eastAsia="zh-CN"/>
        </w:rPr>
        <w:t>乙方</w:t>
      </w:r>
      <w:r>
        <w:rPr>
          <w:rFonts w:hint="eastAsia" w:ascii="仿宋_GB2312" w:hAnsi="仿宋_GB2312" w:eastAsia="仿宋_GB2312" w:cs="仿宋_GB2312"/>
          <w:color w:val="auto"/>
          <w:kern w:val="2"/>
          <w:sz w:val="28"/>
          <w:szCs w:val="28"/>
          <w:highlight w:val="none"/>
          <w:u w:val="none"/>
          <w:lang w:val="zh-CN" w:eastAsia="zh-CN"/>
        </w:rPr>
        <w:t>经济损失的一切责任与风险由</w:t>
      </w:r>
      <w:r>
        <w:rPr>
          <w:rFonts w:hint="eastAsia" w:ascii="仿宋_GB2312" w:hAnsi="仿宋_GB2312" w:eastAsia="仿宋_GB2312" w:cs="仿宋_GB2312"/>
          <w:color w:val="auto"/>
          <w:kern w:val="2"/>
          <w:sz w:val="28"/>
          <w:szCs w:val="28"/>
          <w:highlight w:val="none"/>
          <w:u w:val="none"/>
          <w:lang w:val="en-US" w:eastAsia="zh-CN"/>
        </w:rPr>
        <w:t>乙方</w:t>
      </w:r>
      <w:r>
        <w:rPr>
          <w:rFonts w:hint="eastAsia" w:ascii="仿宋_GB2312" w:hAnsi="仿宋_GB2312" w:eastAsia="仿宋_GB2312" w:cs="仿宋_GB2312"/>
          <w:color w:val="auto"/>
          <w:kern w:val="2"/>
          <w:sz w:val="28"/>
          <w:szCs w:val="28"/>
          <w:highlight w:val="none"/>
          <w:u w:val="none"/>
          <w:lang w:val="zh-CN" w:eastAsia="zh-CN"/>
        </w:rPr>
        <w:t>自行承担</w:t>
      </w:r>
      <w:r>
        <w:rPr>
          <w:rFonts w:hint="eastAsia" w:ascii="仿宋_GB2312" w:hAnsi="仿宋_GB2312" w:eastAsia="仿宋_GB2312" w:cs="仿宋_GB2312"/>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_GB2312" w:hAnsi="仿宋_GB2312" w:eastAsia="仿宋_GB2312" w:cs="仿宋_GB2312"/>
          <w:color w:val="auto"/>
          <w:sz w:val="28"/>
          <w:szCs w:val="28"/>
          <w:lang w:val="en-US" w:eastAsia="zh-CN"/>
        </w:rPr>
        <w:t>律师费</w:t>
      </w:r>
      <w:r>
        <w:rPr>
          <w:rFonts w:hint="eastAsia" w:ascii="仿宋_GB2312" w:hAnsi="仿宋_GB2312" w:eastAsia="仿宋_GB2312" w:cs="仿宋_GB2312"/>
          <w:color w:val="auto"/>
          <w:sz w:val="28"/>
          <w:szCs w:val="28"/>
          <w:lang w:val="zh-CN"/>
        </w:rPr>
        <w:t>、交通费等）；</w:t>
      </w:r>
      <w:r>
        <w:rPr>
          <w:rFonts w:hint="eastAsia" w:ascii="仿宋_GB2312" w:hAnsi="仿宋_GB2312" w:eastAsia="仿宋_GB2312" w:cs="仿宋_GB2312"/>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bidi w:val="0"/>
        <w:snapToGrid/>
        <w:spacing w:after="0" w:afterLines="0" w:line="560" w:lineRule="exact"/>
        <w:ind w:left="0" w:leftChars="0" w:firstLine="0" w:firstLineChars="0"/>
        <w:textAlignment w:val="auto"/>
        <w:rPr>
          <w:rFonts w:hint="eastAsia" w:ascii="仿宋_GB2312" w:hAnsi="仿宋_GB2312" w:eastAsia="仿宋_GB2312" w:cs="仿宋_GB2312"/>
          <w:color w:val="auto"/>
          <w:sz w:val="28"/>
          <w:szCs w:val="28"/>
          <w:lang w:val="en-US" w:eastAsia="zh-CN"/>
        </w:rPr>
      </w:pP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p>
      <w:pPr>
        <w:rPr>
          <w:rFonts w:hint="eastAsia"/>
          <w:sz w:val="28"/>
          <w:szCs w:val="28"/>
          <w:lang w:val="en-US" w:eastAsia="zh-CN"/>
        </w:rPr>
      </w:pP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0BCD1EE"/>
    <w:multiLevelType w:val="singleLevel"/>
    <w:tmpl w:val="30BCD1EE"/>
    <w:lvl w:ilvl="0" w:tentative="0">
      <w:start w:val="2"/>
      <w:numFmt w:val="decimal"/>
      <w:suff w:val="nothing"/>
      <w:lvlText w:val="（%1）"/>
      <w:lvlJc w:val="left"/>
    </w:lvl>
  </w:abstractNum>
  <w:abstractNum w:abstractNumId="4">
    <w:nsid w:val="783D01EB"/>
    <w:multiLevelType w:val="singleLevel"/>
    <w:tmpl w:val="783D01EB"/>
    <w:lvl w:ilvl="0" w:tentative="0">
      <w:start w:val="4"/>
      <w:numFmt w:val="chineseCounting"/>
      <w:suff w:val="nothing"/>
      <w:lvlText w:val="%1、"/>
      <w:lvlJc w:val="left"/>
      <w:rPr>
        <w:rFonts w:hint="eastAsia"/>
      </w:rPr>
    </w:lvl>
  </w:abstractNum>
  <w:abstractNum w:abstractNumId="5">
    <w:nsid w:val="7C8A8F1E"/>
    <w:multiLevelType w:val="singleLevel"/>
    <w:tmpl w:val="7C8A8F1E"/>
    <w:lvl w:ilvl="0" w:tentative="0">
      <w:start w:val="2"/>
      <w:numFmt w:val="decimal"/>
      <w:suff w:val="nothing"/>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C742BA"/>
    <w:rsid w:val="02BC5875"/>
    <w:rsid w:val="030D350D"/>
    <w:rsid w:val="03376B69"/>
    <w:rsid w:val="060D2627"/>
    <w:rsid w:val="0664493D"/>
    <w:rsid w:val="08A300C3"/>
    <w:rsid w:val="08FB4D60"/>
    <w:rsid w:val="0A2B40C2"/>
    <w:rsid w:val="0ABC39D8"/>
    <w:rsid w:val="0C0C541E"/>
    <w:rsid w:val="0D306EB7"/>
    <w:rsid w:val="0D663F87"/>
    <w:rsid w:val="0E213296"/>
    <w:rsid w:val="0FFB54E4"/>
    <w:rsid w:val="103A3A1D"/>
    <w:rsid w:val="12712DC5"/>
    <w:rsid w:val="13AA1793"/>
    <w:rsid w:val="13DD1836"/>
    <w:rsid w:val="150838E9"/>
    <w:rsid w:val="15237A06"/>
    <w:rsid w:val="16D80B50"/>
    <w:rsid w:val="172401FC"/>
    <w:rsid w:val="18FD3554"/>
    <w:rsid w:val="1BF85EDD"/>
    <w:rsid w:val="1E1C5E7B"/>
    <w:rsid w:val="1EFA0FA5"/>
    <w:rsid w:val="20966027"/>
    <w:rsid w:val="211A47E2"/>
    <w:rsid w:val="240C6FC1"/>
    <w:rsid w:val="25AC1A52"/>
    <w:rsid w:val="25AC3ECC"/>
    <w:rsid w:val="25CC4F38"/>
    <w:rsid w:val="26D25106"/>
    <w:rsid w:val="270578BC"/>
    <w:rsid w:val="273F34FA"/>
    <w:rsid w:val="2860121C"/>
    <w:rsid w:val="29A02139"/>
    <w:rsid w:val="2A1D189D"/>
    <w:rsid w:val="2A5C1303"/>
    <w:rsid w:val="2A76033E"/>
    <w:rsid w:val="2CB847E8"/>
    <w:rsid w:val="2DDD275B"/>
    <w:rsid w:val="2EA60DD6"/>
    <w:rsid w:val="2EED2E72"/>
    <w:rsid w:val="2FC82286"/>
    <w:rsid w:val="30C70839"/>
    <w:rsid w:val="3475190B"/>
    <w:rsid w:val="34C66947"/>
    <w:rsid w:val="365555C4"/>
    <w:rsid w:val="37AA340D"/>
    <w:rsid w:val="38527208"/>
    <w:rsid w:val="3CCF61D5"/>
    <w:rsid w:val="3EE94E91"/>
    <w:rsid w:val="40182300"/>
    <w:rsid w:val="401933BF"/>
    <w:rsid w:val="40B66728"/>
    <w:rsid w:val="43DB70C2"/>
    <w:rsid w:val="44637801"/>
    <w:rsid w:val="44743BF0"/>
    <w:rsid w:val="448A4217"/>
    <w:rsid w:val="44E839C9"/>
    <w:rsid w:val="45466415"/>
    <w:rsid w:val="46C44060"/>
    <w:rsid w:val="48AD296E"/>
    <w:rsid w:val="4933371F"/>
    <w:rsid w:val="4A095C7C"/>
    <w:rsid w:val="4AF72C27"/>
    <w:rsid w:val="4C95730F"/>
    <w:rsid w:val="4D72579F"/>
    <w:rsid w:val="4ED11A10"/>
    <w:rsid w:val="4EFD01D6"/>
    <w:rsid w:val="4F2C520F"/>
    <w:rsid w:val="4F3B50DC"/>
    <w:rsid w:val="506E5C81"/>
    <w:rsid w:val="50812FC2"/>
    <w:rsid w:val="51517373"/>
    <w:rsid w:val="526B23B2"/>
    <w:rsid w:val="57376AD1"/>
    <w:rsid w:val="57522A51"/>
    <w:rsid w:val="580C6F3F"/>
    <w:rsid w:val="5B73507F"/>
    <w:rsid w:val="5CBD7585"/>
    <w:rsid w:val="5FF854DD"/>
    <w:rsid w:val="609360DE"/>
    <w:rsid w:val="61990971"/>
    <w:rsid w:val="62BB2312"/>
    <w:rsid w:val="63665421"/>
    <w:rsid w:val="669E0497"/>
    <w:rsid w:val="67AF3F97"/>
    <w:rsid w:val="680E6F72"/>
    <w:rsid w:val="6D880B42"/>
    <w:rsid w:val="6E244BCE"/>
    <w:rsid w:val="71646433"/>
    <w:rsid w:val="72044E22"/>
    <w:rsid w:val="73D20082"/>
    <w:rsid w:val="74B67236"/>
    <w:rsid w:val="750232A8"/>
    <w:rsid w:val="75AC0A0E"/>
    <w:rsid w:val="75F16FE0"/>
    <w:rsid w:val="75F82D28"/>
    <w:rsid w:val="77CC339C"/>
    <w:rsid w:val="77ED4572"/>
    <w:rsid w:val="79440FB3"/>
    <w:rsid w:val="799933D4"/>
    <w:rsid w:val="7A1B7966"/>
    <w:rsid w:val="7B65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25133</Words>
  <Characters>25531</Characters>
  <Lines>0</Lines>
  <Paragraphs>0</Paragraphs>
  <TotalTime>4</TotalTime>
  <ScaleCrop>false</ScaleCrop>
  <LinksUpToDate>false</LinksUpToDate>
  <CharactersWithSpaces>26548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按月支付，每月按实际完成合格工程量的60%支付进度款；工程整体竣工验收合格（合同约定的及发包人在施工过程要求增加的全部工作内容完成）并提供竣工资料且资料归档提交竣工结算资料后付至合同价款的75%；结算审核后付至审定价的98.5%，质量保证金待竣工验收合格满二年付清。整体工程竣工验收合格后，承包人履行了全部合同约定且提交竣工结算资料后，发包人在竣工验收合格后10日内全额返还履约保证金。</dc:creator>
  <dc:description>湖州市南浔区和孚镇交警中队东侧</dc:description>
  <cp:keywords>南浔直播电商产业基地项目工程总承包-安装</cp:keywords>
  <cp:lastModifiedBy>Administrator</cp:lastModifiedBy>
  <cp:lastPrinted>2024-04-17T07:20:00Z</cp:lastPrinted>
  <dcterms:modified xsi:type="dcterms:W3CDTF">2024-04-19T08:36:13Z</dcterms:modified>
  <dc:subject>建设内容包括但不限于给排水（含市政给水、排水出建筑外墙1米）、电气工程、暖通（含消防）、智能化、亮化、临时设施和工地配套水电、消防（其中临时设施和工地配套水电、消防不纳入审计）等工程，具体详见图纸，最终以招标人及业主单位要求为准，直至本工程满足功能性要求及设计单位、建设单位要求并竣工验收合格为止（精装修验收）。</dc:subject>
  <dc:title> 电缆、充电桩、光伏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3F52CB52AA1C422480497BEB270EB666_13</vt:lpwstr>
  </property>
</Properties>
</file>