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903"/>
      <w:bookmarkStart w:id="1" w:name="_Toc247085674"/>
      <w:bookmarkStart w:id="2" w:name="_Toc152042290"/>
      <w:bookmarkStart w:id="3" w:name="_Toc144974482"/>
      <w:bookmarkStart w:id="4" w:name="_Toc246996160"/>
      <w:bookmarkStart w:id="5" w:name="_Toc449509649"/>
      <w:bookmarkStart w:id="6" w:name="_Toc152045514"/>
      <w:bookmarkStart w:id="7" w:name="_Toc17963253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2024年亨通北广场内构造柱梁粉刷零星维修项目劳务分包工程</w:t>
          </w:r>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2024-N-063-下01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2024年5月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sdt>
              <w:sdtPr>
                <w:rPr>
                  <w:rFonts w:hint="eastAsia" w:ascii="仿宋" w:hAnsi="仿宋" w:eastAsia="仿宋" w:cs="仿宋"/>
                  <w:b w:val="0"/>
                  <w:bCs w:val="0"/>
                  <w:kern w:val="2"/>
                  <w:sz w:val="28"/>
                  <w:szCs w:val="28"/>
                  <w:highlight w:val="none"/>
                  <w:u w:val="single"/>
                  <w:lang w:val="en-US" w:eastAsia="zh-CN" w:bidi="ar-SA"/>
                </w:rPr>
                <w:id w:val="147480176"/>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2024年亨通北广场内构造柱梁粉刷零星维修项目劳务分包工程</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vertAlign w:val="baseline"/>
                <w:lang w:val="en-US" w:eastAsia="zh-CN"/>
              </w:rPr>
              <w:t>湖州南浔城投资产经营集团有限公司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构造柱梁粉刷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30日历天</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约10万</w:t>
            </w:r>
            <w:r>
              <w:rPr>
                <w:rFonts w:hint="eastAsia" w:ascii="仿宋_GB2312" w:hAnsi="仿宋_GB2312" w:eastAsia="仿宋_GB2312" w:cs="仿宋_GB2312"/>
                <w:sz w:val="28"/>
                <w:szCs w:val="28"/>
                <w:highlight w:val="yellow"/>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sdt>
              <w:sdtPr>
                <w:rPr>
                  <w:rFonts w:hint="eastAsia" w:ascii="仿宋_GB2312" w:hAnsi="仿宋_GB2312" w:eastAsia="仿宋_GB2312" w:cs="仿宋_GB2312"/>
                  <w:color w:val="auto"/>
                  <w:kern w:val="2"/>
                  <w:sz w:val="28"/>
                  <w:szCs w:val="28"/>
                  <w:lang w:val="zh-CN"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zh-CN" w:eastAsia="zh-CN" w:bidi="ar-SA"/>
                </w:rPr>
              </w:sdtEndPr>
              <w:sdtContent>
                <w:r>
                  <w:rPr>
                    <w:rFonts w:hint="eastAsia" w:ascii="仿宋_GB2312" w:hAnsi="仿宋_GB2312" w:eastAsia="仿宋_GB2312" w:cs="仿宋_GB2312"/>
                    <w:color w:val="auto"/>
                    <w:kern w:val="2"/>
                    <w:sz w:val="28"/>
                    <w:szCs w:val="28"/>
                    <w:lang w:val="en-US" w:eastAsia="zh-CN" w:bidi="ar-SA"/>
                  </w:rPr>
                  <w:t>湖州市南浔区</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建设内容包括但不限于亨通北广场内构造柱粉刷 等工程，最终以招标人及业主单位要求为准，直至本工程满足功能性要求及设计单位、业主单位要求并竣工验收合格为止。</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5万元</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业主单位确认的结算审计价</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中标下浮率</w:t>
            </w:r>
            <w:r>
              <w:rPr>
                <w:rFonts w:hint="eastAsia" w:ascii="仿宋_GB2312" w:hAnsi="仿宋_GB2312" w:eastAsia="仿宋_GB2312" w:cs="仿宋_GB2312"/>
                <w:color w:val="auto"/>
                <w:sz w:val="28"/>
                <w:szCs w:val="28"/>
                <w:highlight w:val="none"/>
              </w:rPr>
              <w:t>）-其他扣款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中标人在</w:t>
            </w:r>
            <w:r>
              <w:rPr>
                <w:rFonts w:hint="eastAsia" w:ascii="仿宋_GB2312" w:hAnsi="仿宋_GB2312" w:eastAsia="仿宋_GB2312" w:cs="仿宋_GB2312"/>
                <w:color w:val="auto"/>
                <w:sz w:val="28"/>
                <w:szCs w:val="28"/>
                <w:highlight w:val="none"/>
                <w:lang w:eastAsia="zh-CN"/>
              </w:rPr>
              <w:t>工程款结清前提供</w:t>
            </w:r>
            <w:r>
              <w:rPr>
                <w:rFonts w:hint="eastAsia" w:ascii="仿宋_GB2312" w:hAnsi="仿宋_GB2312" w:eastAsia="仿宋_GB2312" w:cs="仿宋_GB2312"/>
                <w:color w:val="auto"/>
                <w:sz w:val="28"/>
                <w:szCs w:val="28"/>
                <w:highlight w:val="none"/>
                <w:lang w:val="en-US" w:eastAsia="zh-CN"/>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建筑劳务或装修劳务 </w:t>
            </w:r>
            <w:r>
              <w:rPr>
                <w:rFonts w:hint="eastAsia" w:ascii="仿宋_GB2312" w:hAnsi="仿宋_GB2312" w:eastAsia="仿宋_GB2312" w:cs="仿宋_GB2312"/>
                <w:sz w:val="28"/>
                <w:szCs w:val="28"/>
                <w:highlight w:val="none"/>
                <w:vertAlign w:val="baseline"/>
                <w:lang w:val="en-US" w:eastAsia="zh-CN"/>
              </w:rPr>
              <w:t>分包库内单位。</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u w:val="singl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 未进入招标人班组库的单位，具备</w:t>
            </w:r>
            <w:r>
              <w:rPr>
                <w:rFonts w:hint="eastAsia" w:ascii="仿宋_GB2312" w:hAnsi="仿宋_GB2312" w:eastAsia="仿宋_GB2312" w:cs="仿宋_GB2312"/>
                <w:sz w:val="28"/>
                <w:szCs w:val="28"/>
                <w:highlight w:val="none"/>
                <w:u w:val="single"/>
                <w:vertAlign w:val="baseline"/>
                <w:lang w:val="en-US" w:eastAsia="zh-CN"/>
              </w:rPr>
              <w:t xml:space="preserve">              </w:t>
            </w:r>
            <w:r>
              <w:rPr>
                <w:rFonts w:hint="eastAsia" w:ascii="仿宋_GB2312" w:hAnsi="仿宋_GB2312" w:eastAsia="仿宋_GB2312" w:cs="仿宋_GB2312"/>
                <w:sz w:val="28"/>
                <w:szCs w:val="28"/>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5万元</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9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3%</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8" w:name="_GoBack"/>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4</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23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8"/>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pPr>
              <w:ind w:firstLine="640" w:firstLineChars="2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pPr>
              <w:ind w:firstLine="960" w:firstLineChars="300"/>
              <w:rPr>
                <w:rFonts w:hint="eastAsia" w:ascii="仿宋_GB2312" w:hAnsi="仿宋_GB2312" w:eastAsia="仿宋_GB2312" w:cs="仿宋_GB2312"/>
                <w:kern w:val="0"/>
                <w:sz w:val="32"/>
                <w:szCs w:val="32"/>
                <w:u w:val="single"/>
              </w:rPr>
            </w:pPr>
          </w:p>
          <w:p>
            <w:pPr>
              <w:ind w:firstLine="160" w:firstLineChars="50"/>
              <w:rPr>
                <w:rFonts w:hint="eastAsia" w:ascii="仿宋_GB2312" w:hAnsi="仿宋_GB2312" w:eastAsia="仿宋_GB2312" w:cs="仿宋_GB2312"/>
                <w:kern w:val="0"/>
                <w:sz w:val="32"/>
                <w:szCs w:val="32"/>
              </w:rPr>
            </w:pPr>
          </w:p>
          <w:p>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pPr>
              <w:rPr>
                <w:rFonts w:hint="eastAsia" w:ascii="仿宋_GB2312" w:hAnsi="仿宋_GB2312" w:eastAsia="仿宋_GB2312" w:cs="仿宋_GB2312"/>
                <w:kern w:val="0"/>
                <w:sz w:val="32"/>
                <w:szCs w:val="32"/>
              </w:rPr>
            </w:pP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pPr>
              <w:rPr>
                <w:rFonts w:hint="eastAsia" w:ascii="仿宋_GB2312" w:hAnsi="仿宋_GB2312" w:eastAsia="仿宋_GB2312" w:cs="仿宋_GB2312"/>
                <w:kern w:val="0"/>
                <w:sz w:val="28"/>
                <w:szCs w:val="28"/>
              </w:rPr>
            </w:pPr>
          </w:p>
        </w:tc>
      </w:tr>
    </w:tbl>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pPr>
        <w:pStyle w:val="11"/>
        <w:rPr>
          <w:rFonts w:hint="eastAsia"/>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pStyle w:val="4"/>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pPr>
        <w:pStyle w:val="11"/>
        <w:rPr>
          <w:rFonts w:hint="eastAsia"/>
          <w:sz w:val="28"/>
          <w:szCs w:val="28"/>
          <w:lang w:val="zh-CN"/>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如：绿化工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如：泥工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如：油漆工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如：水电工</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pPr>
        <w:rPr>
          <w:rFonts w:hint="eastAsia"/>
          <w:sz w:val="28"/>
          <w:szCs w:val="28"/>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劳务</w:t>
      </w:r>
      <w:r>
        <w:rPr>
          <w:rFonts w:hint="eastAsia" w:ascii="方正小标宋简体" w:hAnsi="方正小标宋简体" w:eastAsia="方正小标宋简体" w:cs="方正小标宋简体"/>
          <w:b w:val="0"/>
          <w:bCs w:val="0"/>
          <w:color w:val="auto"/>
          <w:sz w:val="44"/>
          <w:szCs w:val="44"/>
          <w:lang w:val="zh-CN"/>
        </w:rPr>
        <w:t>承包合同</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80176"/>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2024年亨通北广场内构造柱梁粉刷零星维修项目劳务分包工程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79754"/>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建设内容包括但不限于亨通北广场内构造柱粉刷 等工程，最终以招标人及业主单位要求为准，直至本工程满足功能性要求及设计单位、业主单位要求并竣工验收合格为止。</w:t>
          </w:r>
        </w:sdtContent>
      </w:sdt>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 劳务承包                                            </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380"/>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30日历天</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8997"/>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 主材</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w:t>
          </w:r>
        </w:sdtContent>
      </w:sdt>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color w:val="auto"/>
          <w:kern w:val="2"/>
          <w:sz w:val="28"/>
          <w:szCs w:val="28"/>
          <w:lang w:val="zh-CN" w:eastAsia="zh-CN" w:bidi="ar-SA"/>
        </w:rPr>
        <w:t>业主单位确认的结算审计价*（1-</w:t>
      </w:r>
      <w:r>
        <w:rPr>
          <w:rFonts w:hint="eastAsia" w:ascii="仿宋_GB2312" w:hAnsi="仿宋_GB2312" w:eastAsia="仿宋_GB2312" w:cs="仿宋_GB2312"/>
          <w:color w:val="auto"/>
          <w:kern w:val="2"/>
          <w:sz w:val="28"/>
          <w:szCs w:val="28"/>
          <w:lang w:val="en-US" w:eastAsia="zh-CN" w:bidi="ar-SA"/>
        </w:rPr>
        <w:t>中标下浮率</w:t>
      </w:r>
      <w:r>
        <w:rPr>
          <w:rFonts w:hint="eastAsia" w:ascii="仿宋_GB2312" w:hAnsi="仿宋_GB2312" w:eastAsia="仿宋_GB2312" w:cs="仿宋_GB2312"/>
          <w:color w:val="auto"/>
          <w:kern w:val="2"/>
          <w:sz w:val="28"/>
          <w:szCs w:val="28"/>
          <w:lang w:val="zh-CN" w:eastAsia="zh-CN" w:bidi="ar-SA"/>
        </w:rPr>
        <w:t>）-其他扣款，</w:t>
      </w:r>
      <w:r>
        <w:rPr>
          <w:rFonts w:hint="eastAsia" w:ascii="仿宋_GB2312" w:hAnsi="仿宋_GB2312" w:eastAsia="仿宋_GB2312" w:cs="仿宋_GB2312"/>
          <w:color w:val="auto"/>
          <w:kern w:val="2"/>
          <w:sz w:val="28"/>
          <w:szCs w:val="28"/>
          <w:lang w:val="en-US" w:eastAsia="zh-CN" w:bidi="ar-SA"/>
        </w:rPr>
        <w:t>中标人在</w:t>
      </w:r>
      <w:r>
        <w:rPr>
          <w:rFonts w:hint="eastAsia" w:ascii="仿宋_GB2312" w:hAnsi="仿宋_GB2312" w:eastAsia="仿宋_GB2312" w:cs="仿宋_GB2312"/>
          <w:color w:val="auto"/>
          <w:kern w:val="2"/>
          <w:sz w:val="28"/>
          <w:szCs w:val="28"/>
          <w:lang w:val="zh-CN" w:eastAsia="zh-CN" w:bidi="ar-SA"/>
        </w:rPr>
        <w:t>工程款结清前提供</w:t>
      </w:r>
      <w:r>
        <w:rPr>
          <w:rFonts w:hint="eastAsia" w:ascii="仿宋_GB2312" w:hAnsi="仿宋_GB2312" w:eastAsia="仿宋_GB2312" w:cs="仿宋_GB2312"/>
          <w:color w:val="auto"/>
          <w:kern w:val="2"/>
          <w:sz w:val="28"/>
          <w:szCs w:val="28"/>
          <w:lang w:val="en-US" w:eastAsia="zh-CN" w:bidi="ar-SA"/>
        </w:rPr>
        <w:t>应付工程款足额的9%增值税税额专用发票，不足部分从应付工程款中进行扣除。</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pPr>
        <w:pStyle w:val="11"/>
        <w:keepNext w:val="0"/>
        <w:keepLines w:val="0"/>
        <w:pageBreakBefore w:val="0"/>
        <w:widowControl/>
        <w:kinsoku/>
        <w:wordWrap/>
        <w:overflowPunct/>
        <w:topLinePunct w:val="0"/>
        <w:autoSpaceDE/>
        <w:autoSpaceDN/>
        <w:bidi w:val="0"/>
        <w:adjustRightInd/>
        <w:snapToGrid/>
        <w:spacing w:after="0" w:afterLines="0" w:line="108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24D517C"/>
    <w:rsid w:val="02BC5875"/>
    <w:rsid w:val="036F73CD"/>
    <w:rsid w:val="060D2627"/>
    <w:rsid w:val="0664493D"/>
    <w:rsid w:val="08A300C3"/>
    <w:rsid w:val="08FB4D60"/>
    <w:rsid w:val="0A2B40C2"/>
    <w:rsid w:val="0ABC39D8"/>
    <w:rsid w:val="0C380864"/>
    <w:rsid w:val="0D435CF0"/>
    <w:rsid w:val="0D5B23CC"/>
    <w:rsid w:val="0D8B3083"/>
    <w:rsid w:val="0E213296"/>
    <w:rsid w:val="0FFB54E4"/>
    <w:rsid w:val="128C4F28"/>
    <w:rsid w:val="140B4E5D"/>
    <w:rsid w:val="150838E9"/>
    <w:rsid w:val="16D80B50"/>
    <w:rsid w:val="172401FC"/>
    <w:rsid w:val="175E1271"/>
    <w:rsid w:val="177B16DD"/>
    <w:rsid w:val="17F90A1F"/>
    <w:rsid w:val="18651DBE"/>
    <w:rsid w:val="18FD3554"/>
    <w:rsid w:val="1F4F5857"/>
    <w:rsid w:val="20966027"/>
    <w:rsid w:val="21A9704B"/>
    <w:rsid w:val="240C6FC1"/>
    <w:rsid w:val="24923529"/>
    <w:rsid w:val="25AC1A52"/>
    <w:rsid w:val="25AC3ECC"/>
    <w:rsid w:val="25CC4F38"/>
    <w:rsid w:val="268202E5"/>
    <w:rsid w:val="273F34FA"/>
    <w:rsid w:val="29385A89"/>
    <w:rsid w:val="29931E14"/>
    <w:rsid w:val="2A1D189D"/>
    <w:rsid w:val="2A5C1303"/>
    <w:rsid w:val="2A76033E"/>
    <w:rsid w:val="2BF235E5"/>
    <w:rsid w:val="2BFB6029"/>
    <w:rsid w:val="2CA46F92"/>
    <w:rsid w:val="2D2E3708"/>
    <w:rsid w:val="2DDD275B"/>
    <w:rsid w:val="2EA60DD6"/>
    <w:rsid w:val="2EE70255"/>
    <w:rsid w:val="2EED2E72"/>
    <w:rsid w:val="2F7B4131"/>
    <w:rsid w:val="2FD47A9D"/>
    <w:rsid w:val="34390751"/>
    <w:rsid w:val="34B25A95"/>
    <w:rsid w:val="34C66947"/>
    <w:rsid w:val="39C872B8"/>
    <w:rsid w:val="3A8373E6"/>
    <w:rsid w:val="3B346B06"/>
    <w:rsid w:val="3B790C66"/>
    <w:rsid w:val="3CCF61D5"/>
    <w:rsid w:val="3EE94E91"/>
    <w:rsid w:val="401933BF"/>
    <w:rsid w:val="401B49F1"/>
    <w:rsid w:val="42913872"/>
    <w:rsid w:val="43DB70C2"/>
    <w:rsid w:val="44743BF0"/>
    <w:rsid w:val="448A4217"/>
    <w:rsid w:val="45466415"/>
    <w:rsid w:val="46606607"/>
    <w:rsid w:val="48475477"/>
    <w:rsid w:val="48AD296E"/>
    <w:rsid w:val="4933371F"/>
    <w:rsid w:val="4A7D1CB1"/>
    <w:rsid w:val="4AF72C27"/>
    <w:rsid w:val="4C95730F"/>
    <w:rsid w:val="4D72579F"/>
    <w:rsid w:val="4ED11A10"/>
    <w:rsid w:val="4F2C520F"/>
    <w:rsid w:val="4F3B50DC"/>
    <w:rsid w:val="4F9801E7"/>
    <w:rsid w:val="50812FC2"/>
    <w:rsid w:val="50DC22A0"/>
    <w:rsid w:val="526B23B2"/>
    <w:rsid w:val="52B64033"/>
    <w:rsid w:val="57230952"/>
    <w:rsid w:val="57376AD1"/>
    <w:rsid w:val="57522A51"/>
    <w:rsid w:val="580C6F3F"/>
    <w:rsid w:val="5B73507F"/>
    <w:rsid w:val="5C1678E0"/>
    <w:rsid w:val="5ED66666"/>
    <w:rsid w:val="5F7E0DDA"/>
    <w:rsid w:val="609360DE"/>
    <w:rsid w:val="60A87BAD"/>
    <w:rsid w:val="61083DAF"/>
    <w:rsid w:val="61990971"/>
    <w:rsid w:val="63665421"/>
    <w:rsid w:val="650E0CA2"/>
    <w:rsid w:val="66221F5E"/>
    <w:rsid w:val="669E0497"/>
    <w:rsid w:val="67121B6C"/>
    <w:rsid w:val="67B31BB7"/>
    <w:rsid w:val="680E6F72"/>
    <w:rsid w:val="689950F9"/>
    <w:rsid w:val="69244882"/>
    <w:rsid w:val="69DD59B8"/>
    <w:rsid w:val="6AB563C0"/>
    <w:rsid w:val="6ACB5B2B"/>
    <w:rsid w:val="6AD63EF6"/>
    <w:rsid w:val="6E244BCE"/>
    <w:rsid w:val="6F370F32"/>
    <w:rsid w:val="6FDD7C1E"/>
    <w:rsid w:val="71774396"/>
    <w:rsid w:val="72044E22"/>
    <w:rsid w:val="73D20082"/>
    <w:rsid w:val="74B67236"/>
    <w:rsid w:val="750232A8"/>
    <w:rsid w:val="75F16FE0"/>
    <w:rsid w:val="75F82D28"/>
    <w:rsid w:val="77CC339C"/>
    <w:rsid w:val="7A1B7966"/>
    <w:rsid w:val="7B65103C"/>
    <w:rsid w:val="7BF33070"/>
    <w:rsid w:val="7CB1418D"/>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24668</Words>
  <Characters>25056</Characters>
  <Lines>0</Lines>
  <Paragraphs>0</Paragraphs>
  <TotalTime>7</TotalTime>
  <ScaleCrop>false</ScaleCrop>
  <LinksUpToDate>false</LinksUpToDate>
  <CharactersWithSpaces>26063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实际完成合格工程量扣除甲供材料对应款项、其他应扣款项后所得金额下浮后的20%，支付时须提供有效的民工工资表，提交本工程实际完成合格总工程量50%的进项发票，否则公司有权不予付款；工程竣工验收并移交完成、结算审计资料提交至业主单位签收完成后支付至实际完成合格工程量扣除甲供材料对应款项、其他应扣款项后所得金额下浮后的50%，支付时须提供竣工验收证书、移交证书、结算资料业主签收凭证等，提交本工程实际完成合格总工程量70%-75%的进项发票，否则公司有权不予支付；工程审计完成后15个工作日内完成招标人与中标人双方最终结算，中标人提交全额进项发票后，支付至最终结算价的95%，支付时须提供结算书；尾款待保修期满后付清（无息）。</dc:creator>
  <dc:description>湖州市南浔区</dc:description>
  <cp:keywords>2024年亨通北广场内构造柱梁粉刷零星维修项目劳务分包工程</cp:keywords>
  <cp:lastModifiedBy>Administrator</cp:lastModifiedBy>
  <cp:lastPrinted>2024-05-20T00:47:00Z</cp:lastPrinted>
  <dcterms:modified xsi:type="dcterms:W3CDTF">2024-05-20T09:10:00Z</dcterms:modified>
  <dc:subject>建设内容包括但不限于亨通北广场内构造柱粉刷 等工程，最终以招标人及业主单位要求为准，直至本工程满足功能性要求及设计单位、业主单位要求并竣工验收合格为止。</dc:subject>
  <dc:title> 主材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4694928C8C4545DB99332A903739E6C8_11</vt:lpwstr>
  </property>
</Properties>
</file>