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5514"/>
      <w:bookmarkStart w:id="1" w:name="_Toc246996160"/>
      <w:bookmarkStart w:id="2" w:name="_Toc449509649"/>
      <w:bookmarkStart w:id="3" w:name="_Toc247085674"/>
      <w:bookmarkStart w:id="4" w:name="_Toc152042290"/>
      <w:bookmarkStart w:id="5" w:name="_Toc179632530"/>
      <w:bookmarkStart w:id="6" w:name="_Toc144974482"/>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頔塘代征道路管道修复、复检劳务分包工程（重新招标）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2024-N-069-下01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頔塘代征道路管道修复、复检劳务分包工程（重新招标）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湖州南浔頔塘复兴建设有限公司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管道修复、复检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湖州市南浔区甲午塘</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6</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附件2：测绘报告及图纸</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附件3：缺陷汇总表</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頔塘代征道路管道修复、复检劳务分包工程（重新招标）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湖州市南浔区甲午塘</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除违约金20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color w:val="auto"/>
          <w:sz w:val="28"/>
          <w:szCs w:val="28"/>
          <w:lang w:val="en-US" w:eastAsia="zh-CN"/>
        </w:rPr>
        <w:t>违约金</w:t>
      </w:r>
      <w:r>
        <w:rPr>
          <w:rFonts w:hint="eastAsia" w:ascii="仿宋_GB2312" w:hAnsi="仿宋_GB2312" w:eastAsia="仿宋_GB2312" w:cs="仿宋_GB2312"/>
          <w:bCs/>
          <w:color w:val="auto"/>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每发生一次20000元违约金</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F017F7"/>
    <w:rsid w:val="014B6C9A"/>
    <w:rsid w:val="024D517C"/>
    <w:rsid w:val="02BC5875"/>
    <w:rsid w:val="036F73CD"/>
    <w:rsid w:val="060D2627"/>
    <w:rsid w:val="0664493D"/>
    <w:rsid w:val="08A300C3"/>
    <w:rsid w:val="08FB4D60"/>
    <w:rsid w:val="0A2B40C2"/>
    <w:rsid w:val="0A9E584F"/>
    <w:rsid w:val="0ABC39D8"/>
    <w:rsid w:val="0C380864"/>
    <w:rsid w:val="0D435CF0"/>
    <w:rsid w:val="0D5B23CC"/>
    <w:rsid w:val="0D8B3083"/>
    <w:rsid w:val="0E213296"/>
    <w:rsid w:val="0FFB54E4"/>
    <w:rsid w:val="10F82033"/>
    <w:rsid w:val="128C4F28"/>
    <w:rsid w:val="140B4E5D"/>
    <w:rsid w:val="1437301A"/>
    <w:rsid w:val="150838E9"/>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760485E"/>
    <w:rsid w:val="39C872B8"/>
    <w:rsid w:val="3A8373E6"/>
    <w:rsid w:val="3B346B06"/>
    <w:rsid w:val="3B790C66"/>
    <w:rsid w:val="3CCF61D5"/>
    <w:rsid w:val="3EE94E91"/>
    <w:rsid w:val="401933BF"/>
    <w:rsid w:val="401B49F1"/>
    <w:rsid w:val="407C2246"/>
    <w:rsid w:val="427B0BC9"/>
    <w:rsid w:val="42913872"/>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3AA1332"/>
    <w:rsid w:val="57230952"/>
    <w:rsid w:val="57376AD1"/>
    <w:rsid w:val="57522A51"/>
    <w:rsid w:val="580C6F3F"/>
    <w:rsid w:val="59875B51"/>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CF32E05"/>
    <w:rsid w:val="6E244BCE"/>
    <w:rsid w:val="6E984CA0"/>
    <w:rsid w:val="6F370F32"/>
    <w:rsid w:val="6FDD7C1E"/>
    <w:rsid w:val="71774396"/>
    <w:rsid w:val="72044E22"/>
    <w:rsid w:val="73D20082"/>
    <w:rsid w:val="73E37D26"/>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25062</Words>
  <Characters>25447</Characters>
  <Lines>0</Lines>
  <Paragraphs>0</Paragraphs>
  <TotalTime>3</TotalTime>
  <ScaleCrop>false</ScaleCrop>
  <LinksUpToDate>false</LinksUpToDate>
  <CharactersWithSpaces>26451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湖州市南浔区甲午塘</dc:description>
  <cp:keywords>頔塘代征道路管道修复、复检劳务分包工程（重新招标）</cp:keywords>
  <cp:lastModifiedBy>Administrator</cp:lastModifiedBy>
  <cp:lastPrinted>2024-05-31T06:40:00Z</cp:lastPrinted>
  <dcterms:modified xsi:type="dcterms:W3CDTF">2024-05-31T07:10:06Z</dcterms:modified>
  <dc:subject>建设内容包括但不限于滨河路（辽里路—东长兴港北桥）、常增路（泰安路-滨河路）、广场东路（泰安路—滨河路）、振浔路(辽里路-广场东路)已出具排水管道检测报告，按移交住建要求，共15个点位需要修复（包含13个3级、4级点修复，滨河路14号和20号点清理干净，具体详见检测报告），由于涉及有限空间作业，要求中标人中标后需现场勘察制定修复方案，原则上尽量避免开挖，再进行预算报价，包含一切修复和管道复检等工程，具体详见图纸及测绘报告，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