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6996903"/>
      <w:bookmarkStart w:id="1" w:name="_Toc247085674"/>
      <w:bookmarkStart w:id="2" w:name="_Toc246996160"/>
      <w:bookmarkStart w:id="3" w:name="_Toc152045514"/>
      <w:bookmarkStart w:id="4" w:name="_Toc179632530"/>
      <w:bookmarkStart w:id="5" w:name="_Toc144974482"/>
      <w:bookmarkStart w:id="6" w:name="_Toc152042290"/>
      <w:bookmarkStart w:id="7" w:name="_Toc449509649"/>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2024年南浔电动自行车充电停场所增建劳务分包工程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2024-N-078-下01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2024年6月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2024年南浔电动自行车充电停场所增建劳务分包工程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湖州浔城智慧新能源停车管理有限公司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电动自行车充电停场所增建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要求2024年6月底完成增建工程的20%，2024年8月底完成60%，2024年10月底前完成增建工程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390万</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zh-CN" w:eastAsia="zh-CN" w:bidi="ar-SA"/>
                </w:rPr>
              </w:sdtEndPr>
              <w:sdtContent>
                <w:r>
                  <w:rPr>
                    <w:rFonts w:hint="eastAsia" w:ascii="仿宋_GB2312" w:hAnsi="仿宋_GB2312" w:eastAsia="仿宋_GB2312" w:cs="仿宋_GB2312"/>
                    <w:sz w:val="28"/>
                    <w:szCs w:val="28"/>
                    <w:highlight w:val="none"/>
                    <w:vertAlign w:val="baseline"/>
                    <w:lang w:val="en-US" w:eastAsia="zh-CN"/>
                  </w:rPr>
                  <w:t>嘉业路845弄、頔塘府（东、西区）、贝尚湾、湖滨家园、同心花苑、中央公园等（以住建局提供名单为准）</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kern w:val="0"/>
                <w:sz w:val="28"/>
                <w:szCs w:val="28"/>
                <w:vertAlign w:val="baseline"/>
                <w:lang w:val="en-US" w:eastAsia="zh-CN" w:bidi="ar-SA"/>
              </w:rPr>
              <w:t>1、</w:t>
            </w:r>
            <w:r>
              <w:rPr>
                <w:rFonts w:hint="eastAsia" w:ascii="仿宋_GB2312" w:hAnsi="仿宋_GB2312" w:eastAsia="仿宋_GB2312" w:cs="仿宋_GB2312"/>
                <w:sz w:val="28"/>
                <w:szCs w:val="28"/>
                <w:highlight w:val="none"/>
                <w:vertAlign w:val="baseline"/>
                <w:lang w:val="en-US" w:eastAsia="zh-CN"/>
              </w:rPr>
              <w:t>本项目设置3个标段，按排名顺序确定中标标段（即排名第一的投标人为一标段中标人，排名第二的投标人为二标段中标人，排名第三的中标人为三标段中标人），具体标段内容详见附件（最终以招标人及业主单位要求为准），中标人不得有异议，否则视为自动放弃。</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建设内容包括但不限于以住建局提供名单为准的小区内的电动自行车充电停场所电力设计、电力施工、停车棚、土建基础等工程，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r>
              <w:rPr>
                <w:rFonts w:hint="eastAsia" w:ascii="仿宋_GB2312" w:hAnsi="仿宋_GB2312" w:eastAsia="仿宋_GB2312" w:cs="仿宋_GB2312"/>
                <w:color w:val="auto"/>
                <w:sz w:val="28"/>
                <w:szCs w:val="28"/>
                <w:highlight w:val="yellow"/>
                <w:u w:val="none"/>
                <w:lang w:val="en-US" w:eastAsia="zh-CN"/>
              </w:rPr>
              <w:t>中标下浮率为</w:t>
            </w:r>
            <w:r>
              <w:rPr>
                <w:rFonts w:hint="eastAsia" w:ascii="仿宋_GB2312" w:hAnsi="仿宋_GB2312" w:eastAsia="仿宋_GB2312" w:cs="仿宋_GB2312"/>
                <w:color w:val="auto"/>
                <w:sz w:val="28"/>
                <w:szCs w:val="28"/>
                <w:highlight w:val="yellow"/>
                <w:lang w:val="en-US" w:eastAsia="zh-CN"/>
              </w:rPr>
              <w:t>排名第一的投标</w:t>
            </w:r>
            <w:r>
              <w:rPr>
                <w:rFonts w:hint="eastAsia" w:ascii="仿宋_GB2312" w:hAnsi="仿宋_GB2312" w:eastAsia="仿宋_GB2312" w:cs="仿宋_GB2312"/>
                <w:color w:val="auto"/>
                <w:sz w:val="28"/>
                <w:szCs w:val="28"/>
                <w:highlight w:val="yellow"/>
                <w:lang w:val="zh-CN" w:eastAsia="zh-CN"/>
              </w:rPr>
              <w:t>单位的投标报价</w:t>
            </w:r>
            <w:r>
              <w:rPr>
                <w:rFonts w:hint="eastAsia" w:ascii="仿宋_GB2312" w:hAnsi="仿宋_GB2312" w:eastAsia="仿宋_GB2312" w:cs="仿宋_GB2312"/>
                <w:color w:val="auto"/>
                <w:sz w:val="28"/>
                <w:szCs w:val="28"/>
                <w:lang w:val="zh-CN"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所有劳务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1、控制价（基础下浮率）为</w:t>
            </w:r>
            <w:r>
              <w:rPr>
                <w:rFonts w:hint="eastAsia" w:ascii="仿宋_GB2312" w:hAnsi="仿宋_GB2312" w:eastAsia="仿宋_GB2312" w:cs="仿宋_GB2312"/>
                <w:color w:val="000000"/>
                <w:sz w:val="28"/>
                <w:szCs w:val="28"/>
                <w:highlight w:val="yellow"/>
                <w:u w:val="single"/>
                <w:lang w:val="en-US" w:eastAsia="zh-CN"/>
              </w:rPr>
              <w:t xml:space="preserve"> 17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2、三个标段的合同签约下浮率为</w:t>
            </w:r>
            <w:r>
              <w:rPr>
                <w:rFonts w:hint="eastAsia" w:ascii="仿宋_GB2312" w:hAnsi="仿宋_GB2312" w:eastAsia="仿宋_GB2312" w:cs="仿宋_GB2312"/>
                <w:color w:val="auto"/>
                <w:sz w:val="28"/>
                <w:szCs w:val="28"/>
                <w:highlight w:val="yellow"/>
                <w:lang w:val="en-US" w:eastAsia="zh-CN"/>
              </w:rPr>
              <w:t>排名第一的投标</w:t>
            </w:r>
            <w:r>
              <w:rPr>
                <w:rFonts w:hint="eastAsia" w:ascii="仿宋_GB2312" w:hAnsi="仿宋_GB2312" w:eastAsia="仿宋_GB2312" w:cs="仿宋_GB2312"/>
                <w:color w:val="auto"/>
                <w:sz w:val="28"/>
                <w:szCs w:val="28"/>
                <w:highlight w:val="yellow"/>
                <w:lang w:val="zh-CN" w:eastAsia="zh-CN"/>
              </w:rPr>
              <w:t>单位的投标报价</w:t>
            </w:r>
            <w:r>
              <w:rPr>
                <w:rFonts w:hint="eastAsia" w:ascii="仿宋_GB2312" w:hAnsi="仿宋_GB2312" w:eastAsia="仿宋_GB2312" w:cs="仿宋_GB2312"/>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6</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20</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14</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应当确定</w:t>
      </w:r>
      <w:r>
        <w:rPr>
          <w:rFonts w:hint="eastAsia" w:ascii="仿宋_GB2312" w:hAnsi="仿宋_GB2312" w:eastAsia="仿宋_GB2312" w:cs="仿宋_GB2312"/>
          <w:sz w:val="28"/>
          <w:szCs w:val="28"/>
          <w:lang w:val="en-US" w:eastAsia="zh-CN"/>
        </w:rPr>
        <w:t>排名第一的投标人为一标段中标人，排名第二的投标人为二标段中标人，排名第三的中标人为三标段中标人。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2、所有中标单位的中标价均按本次中标单位排名</w:t>
      </w:r>
      <w:r>
        <w:rPr>
          <w:rFonts w:hint="eastAsia" w:ascii="仿宋_GB2312" w:hAnsi="仿宋_GB2312" w:eastAsia="仿宋_GB2312" w:cs="仿宋_GB2312"/>
          <w:color w:val="auto"/>
          <w:sz w:val="28"/>
          <w:szCs w:val="28"/>
          <w:highlight w:val="yellow"/>
          <w:lang w:val="en-US" w:eastAsia="zh-CN"/>
        </w:rPr>
        <w:t>第一的投标</w:t>
      </w:r>
      <w:r>
        <w:rPr>
          <w:rFonts w:hint="eastAsia" w:ascii="仿宋_GB2312" w:hAnsi="仿宋_GB2312" w:eastAsia="仿宋_GB2312" w:cs="仿宋_GB2312"/>
          <w:color w:val="auto"/>
          <w:sz w:val="28"/>
          <w:szCs w:val="28"/>
          <w:highlight w:val="yellow"/>
          <w:lang w:val="zh-CN" w:eastAsia="zh-CN"/>
        </w:rPr>
        <w:t>单位的投标报价</w:t>
      </w:r>
      <w:r>
        <w:rPr>
          <w:rFonts w:hint="eastAsia" w:ascii="仿宋_GB2312" w:hAnsi="仿宋_GB2312" w:eastAsia="仿宋_GB2312" w:cs="仿宋_GB2312"/>
          <w:sz w:val="28"/>
          <w:szCs w:val="28"/>
          <w:lang w:val="en-US" w:eastAsia="zh-CN"/>
        </w:rPr>
        <w:t>计取，前3名单位中如有不认可该中标价的默认为其放弃中标，中标入围缺口名额可向排名第4名及之后的单位中通过商谈等方式补足。排名前3名的中标候选人中若有放弃中标、因不可抗力不能履行合同、不按照招标文件要求提交履约保证金，或者被查实存在影响中标结果的违法行为等情形，不符合中标条件的，招标人可以按照评标委员会提出的排名第4名的投标人为中标人，排名第四的中标候选人因同样原因的，可以确定排名第五名的投标人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附件2：标段划分（最终以招标人及住建局提供的名单为准）</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3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3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3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3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2024年南浔电动自行车充电停场所增建劳务分包工程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嘉业路845弄、頔塘府（东、西区）、贝尚湾、湖滨家园、同心花苑、中央公园等（以住建局提供名单为准）</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以住建局提供名单为准的小区内的电动自行车充电停场所电力设计、电力施工、停车棚、土建基础等工程，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3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none"/>
          <w:shd w:val="clear" w:color="auto" w:fill="FFFFFF"/>
        </w:rPr>
        <w:t>×</w:t>
      </w:r>
      <w:r>
        <w:rPr>
          <w:rFonts w:hint="eastAsia" w:ascii="仿宋_GB2312" w:hAnsi="仿宋_GB2312" w:eastAsia="仿宋_GB2312" w:cs="仿宋_GB2312"/>
          <w:color w:val="auto"/>
          <w:sz w:val="28"/>
          <w:szCs w:val="28"/>
          <w:u w:val="none"/>
          <w:lang w:val="en-US" w:eastAsia="zh-CN"/>
        </w:rPr>
        <w:t>（1- 中标下浮率%）（注：</w:t>
      </w:r>
      <w:r>
        <w:rPr>
          <w:rFonts w:hint="eastAsia" w:ascii="仿宋_GB2312" w:hAnsi="仿宋_GB2312" w:eastAsia="仿宋_GB2312" w:cs="仿宋_GB2312"/>
          <w:color w:val="auto"/>
          <w:sz w:val="28"/>
          <w:szCs w:val="28"/>
          <w:highlight w:val="yellow"/>
          <w:u w:val="none"/>
          <w:lang w:val="en-US" w:eastAsia="zh-CN"/>
        </w:rPr>
        <w:t>中标下浮率为</w:t>
      </w:r>
      <w:r>
        <w:rPr>
          <w:rFonts w:hint="eastAsia" w:ascii="仿宋_GB2312" w:hAnsi="仿宋_GB2312" w:eastAsia="仿宋_GB2312" w:cs="仿宋_GB2312"/>
          <w:color w:val="auto"/>
          <w:sz w:val="28"/>
          <w:szCs w:val="28"/>
          <w:highlight w:val="yellow"/>
          <w:lang w:val="en-US" w:eastAsia="zh-CN"/>
        </w:rPr>
        <w:t>排名第一的投标</w:t>
      </w:r>
      <w:r>
        <w:rPr>
          <w:rFonts w:hint="eastAsia" w:ascii="仿宋_GB2312" w:hAnsi="仿宋_GB2312" w:eastAsia="仿宋_GB2312" w:cs="仿宋_GB2312"/>
          <w:color w:val="auto"/>
          <w:sz w:val="28"/>
          <w:szCs w:val="28"/>
          <w:highlight w:val="yellow"/>
          <w:lang w:val="zh-CN" w:eastAsia="zh-CN"/>
        </w:rPr>
        <w:t>单位的投标报价</w:t>
      </w: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u w:val="none"/>
          <w:lang w:val="en-US" w:eastAsia="zh-CN"/>
        </w:rPr>
        <w:t>-其他扣款，同时最终结算价不得高于业主单位与甲</w:t>
      </w:r>
      <w:bookmarkStart w:id="8" w:name="_GoBack"/>
      <w:bookmarkEnd w:id="8"/>
      <w:r>
        <w:rPr>
          <w:rFonts w:hint="eastAsia" w:ascii="仿宋_GB2312" w:hAnsi="仿宋_GB2312" w:eastAsia="仿宋_GB2312" w:cs="仿宋_GB2312"/>
          <w:color w:val="auto"/>
          <w:sz w:val="28"/>
          <w:szCs w:val="28"/>
          <w:u w:val="none"/>
          <w:lang w:val="en-US" w:eastAsia="zh-CN"/>
        </w:rPr>
        <w:t>方确认后出具的本工程竣工结算审计报告对应金额</w:t>
      </w:r>
      <w:r>
        <w:rPr>
          <w:rFonts w:hint="eastAsia" w:ascii="仿宋_GB2312" w:hAnsi="仿宋_GB2312" w:eastAsia="仿宋_GB2312" w:cs="仿宋_GB2312"/>
          <w:i w:val="0"/>
          <w:iCs w:val="0"/>
          <w:caps w:val="0"/>
          <w:color w:val="auto"/>
          <w:spacing w:val="0"/>
          <w:sz w:val="28"/>
          <w:szCs w:val="28"/>
          <w:u w:val="none"/>
          <w:shd w:val="clear" w:color="auto" w:fill="FFFFFF"/>
        </w:rPr>
        <w:t>×</w:t>
      </w:r>
      <w:r>
        <w:rPr>
          <w:rFonts w:hint="eastAsia" w:ascii="仿宋_GB2312" w:hAnsi="仿宋_GB2312" w:eastAsia="仿宋_GB2312" w:cs="仿宋_GB2312"/>
          <w:color w:val="auto"/>
          <w:sz w:val="28"/>
          <w:szCs w:val="28"/>
          <w:u w:val="none"/>
          <w:lang w:val="en-US" w:eastAsia="zh-CN"/>
        </w:rPr>
        <w:t>（1- 中标下浮率%）（注：</w:t>
      </w:r>
      <w:r>
        <w:rPr>
          <w:rFonts w:hint="eastAsia" w:ascii="仿宋_GB2312" w:hAnsi="仿宋_GB2312" w:eastAsia="仿宋_GB2312" w:cs="仿宋_GB2312"/>
          <w:color w:val="auto"/>
          <w:sz w:val="28"/>
          <w:szCs w:val="28"/>
          <w:highlight w:val="yellow"/>
          <w:u w:val="none"/>
          <w:lang w:val="en-US" w:eastAsia="zh-CN"/>
        </w:rPr>
        <w:t>中标下浮率为</w:t>
      </w:r>
      <w:r>
        <w:rPr>
          <w:rFonts w:hint="eastAsia" w:ascii="仿宋_GB2312" w:hAnsi="仿宋_GB2312" w:eastAsia="仿宋_GB2312" w:cs="仿宋_GB2312"/>
          <w:color w:val="auto"/>
          <w:sz w:val="28"/>
          <w:szCs w:val="28"/>
          <w:highlight w:val="yellow"/>
          <w:lang w:val="en-US" w:eastAsia="zh-CN"/>
        </w:rPr>
        <w:t>排名第一的投标</w:t>
      </w:r>
      <w:r>
        <w:rPr>
          <w:rFonts w:hint="eastAsia" w:ascii="仿宋_GB2312" w:hAnsi="仿宋_GB2312" w:eastAsia="仿宋_GB2312" w:cs="仿宋_GB2312"/>
          <w:color w:val="auto"/>
          <w:sz w:val="28"/>
          <w:szCs w:val="28"/>
          <w:highlight w:val="yellow"/>
          <w:lang w:val="zh-CN" w:eastAsia="zh-CN"/>
        </w:rPr>
        <w:t>单位的投标报价</w:t>
      </w: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u w:val="none"/>
          <w:lang w:val="en-US" w:eastAsia="zh-CN"/>
        </w:rPr>
        <w:t>。</w:t>
      </w:r>
    </w:p>
    <w:p>
      <w:pPr>
        <w:keepNext w:val="0"/>
        <w:keepLines w:val="0"/>
        <w:pageBreakBefore w:val="0"/>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要求2024年6月底完成增建工程的20%，2024年8月底完成60%，2024年10月底前完成增建工程 </w:t>
          </w:r>
        </w:sdtContent>
      </w:sdt>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3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3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3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3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3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3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3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3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3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3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3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3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3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3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除违约金20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3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否则视为乙方违约，甲方有权视情况决定对乙方处20000元/次的违约金，情节严重的，甲方有权单方面解除合同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3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w:t>
      </w:r>
      <w:r>
        <w:rPr>
          <w:rFonts w:hint="eastAsia" w:ascii="仿宋_GB2312" w:hAnsi="仿宋_GB2312" w:eastAsia="仿宋_GB2312" w:cs="仿宋_GB2312"/>
          <w:color w:val="auto"/>
          <w:sz w:val="28"/>
          <w:szCs w:val="28"/>
          <w:lang w:val="en-US" w:eastAsia="zh-CN"/>
        </w:rPr>
        <w:t>违约金</w:t>
      </w:r>
      <w:r>
        <w:rPr>
          <w:rFonts w:hint="eastAsia" w:ascii="仿宋_GB2312" w:hAnsi="仿宋_GB2312" w:eastAsia="仿宋_GB2312" w:cs="仿宋_GB2312"/>
          <w:bCs/>
          <w:color w:val="auto"/>
          <w:sz w:val="28"/>
          <w:szCs w:val="28"/>
        </w:rPr>
        <w:t>。</w:t>
      </w:r>
    </w:p>
    <w:p>
      <w:pPr>
        <w:pStyle w:val="11"/>
        <w:keepNext w:val="0"/>
        <w:keepLines w:val="0"/>
        <w:pageBreakBefore w:val="0"/>
        <w:widowControl/>
        <w:kinsoku/>
        <w:wordWrap/>
        <w:overflowPunct/>
        <w:topLinePunct w:val="0"/>
        <w:bidi w:val="0"/>
        <w:snapToGrid/>
        <w:spacing w:after="0" w:afterLines="0" w:line="53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3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3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3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违约金；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3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每发生一次20000元违约金</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3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3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3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3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3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诉讼费、律师费、财产保全费、因财产保全向保险公司购买保单的保险费等均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w:t>
      </w:r>
      <w:r>
        <w:rPr>
          <w:rFonts w:hint="eastAsia" w:ascii="仿宋_GB2312" w:hAnsi="仿宋_GB2312" w:eastAsia="仿宋_GB2312" w:cs="仿宋_GB2312"/>
          <w:color w:val="auto"/>
          <w:sz w:val="28"/>
          <w:szCs w:val="28"/>
          <w:lang w:val="en-US" w:eastAsia="zh-CN"/>
        </w:rPr>
        <w:t>诉讼</w:t>
      </w:r>
      <w:r>
        <w:rPr>
          <w:rFonts w:hint="eastAsia" w:ascii="仿宋_GB2312" w:hAnsi="仿宋_GB2312" w:eastAsia="仿宋_GB2312" w:cs="仿宋_GB2312"/>
          <w:color w:val="auto"/>
          <w:sz w:val="28"/>
          <w:szCs w:val="28"/>
          <w:lang w:val="zh-CN"/>
        </w:rPr>
        <w:t>过程中，双方应执行争议部分之外的其他合同条款。</w:t>
      </w:r>
    </w:p>
    <w:p>
      <w:pPr>
        <w:keepNext w:val="0"/>
        <w:keepLines w:val="0"/>
        <w:pageBreakBefore w:val="0"/>
        <w:widowControl/>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3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0F017F7"/>
    <w:rsid w:val="014B6C9A"/>
    <w:rsid w:val="024A30FF"/>
    <w:rsid w:val="024D517C"/>
    <w:rsid w:val="02BC5875"/>
    <w:rsid w:val="036F73CD"/>
    <w:rsid w:val="05B3152F"/>
    <w:rsid w:val="060D2627"/>
    <w:rsid w:val="0664493D"/>
    <w:rsid w:val="07F81E33"/>
    <w:rsid w:val="08A300C3"/>
    <w:rsid w:val="08FB4D60"/>
    <w:rsid w:val="09651747"/>
    <w:rsid w:val="09902086"/>
    <w:rsid w:val="0A2B40C2"/>
    <w:rsid w:val="0A9E584F"/>
    <w:rsid w:val="0ABC39D8"/>
    <w:rsid w:val="0C380864"/>
    <w:rsid w:val="0D435CF0"/>
    <w:rsid w:val="0D5B23CC"/>
    <w:rsid w:val="0D8B3083"/>
    <w:rsid w:val="0E213296"/>
    <w:rsid w:val="0E6601D0"/>
    <w:rsid w:val="0FFB54E4"/>
    <w:rsid w:val="10A14A82"/>
    <w:rsid w:val="11FC21F1"/>
    <w:rsid w:val="128C4F28"/>
    <w:rsid w:val="12F21F22"/>
    <w:rsid w:val="140B4E5D"/>
    <w:rsid w:val="1437301A"/>
    <w:rsid w:val="150838E9"/>
    <w:rsid w:val="150C1F90"/>
    <w:rsid w:val="15B4059B"/>
    <w:rsid w:val="16D80B50"/>
    <w:rsid w:val="172401FC"/>
    <w:rsid w:val="175E1271"/>
    <w:rsid w:val="177B16DD"/>
    <w:rsid w:val="17F90A1F"/>
    <w:rsid w:val="18651DBE"/>
    <w:rsid w:val="188B1748"/>
    <w:rsid w:val="18FD3554"/>
    <w:rsid w:val="1950327C"/>
    <w:rsid w:val="1A6E25BB"/>
    <w:rsid w:val="1C7806FB"/>
    <w:rsid w:val="1CF10D17"/>
    <w:rsid w:val="1F4F5857"/>
    <w:rsid w:val="20966027"/>
    <w:rsid w:val="20B979B2"/>
    <w:rsid w:val="20F86C66"/>
    <w:rsid w:val="21A9704B"/>
    <w:rsid w:val="23F95523"/>
    <w:rsid w:val="240C6FC1"/>
    <w:rsid w:val="243674C1"/>
    <w:rsid w:val="24923529"/>
    <w:rsid w:val="25AC1A52"/>
    <w:rsid w:val="25AC3ECC"/>
    <w:rsid w:val="25CC4F38"/>
    <w:rsid w:val="25CE726C"/>
    <w:rsid w:val="26067F9E"/>
    <w:rsid w:val="268202E5"/>
    <w:rsid w:val="273F34FA"/>
    <w:rsid w:val="29385A89"/>
    <w:rsid w:val="29931E14"/>
    <w:rsid w:val="2A1D189D"/>
    <w:rsid w:val="2A5C1303"/>
    <w:rsid w:val="2A76033E"/>
    <w:rsid w:val="2BF235E5"/>
    <w:rsid w:val="2BFB6029"/>
    <w:rsid w:val="2CA46F92"/>
    <w:rsid w:val="2D2E3708"/>
    <w:rsid w:val="2DDD275B"/>
    <w:rsid w:val="2EA60DD6"/>
    <w:rsid w:val="2EAD2DD1"/>
    <w:rsid w:val="2EE70255"/>
    <w:rsid w:val="2EED2E72"/>
    <w:rsid w:val="2F7B4131"/>
    <w:rsid w:val="2FD47A9D"/>
    <w:rsid w:val="33CC1E64"/>
    <w:rsid w:val="34390751"/>
    <w:rsid w:val="34B25A95"/>
    <w:rsid w:val="34C66947"/>
    <w:rsid w:val="34DF500B"/>
    <w:rsid w:val="36B61B40"/>
    <w:rsid w:val="3760485E"/>
    <w:rsid w:val="39553F77"/>
    <w:rsid w:val="39C872B8"/>
    <w:rsid w:val="3A8373E6"/>
    <w:rsid w:val="3B346B06"/>
    <w:rsid w:val="3B790C66"/>
    <w:rsid w:val="3C375C11"/>
    <w:rsid w:val="3CCF61D5"/>
    <w:rsid w:val="3D203E96"/>
    <w:rsid w:val="3EE460A6"/>
    <w:rsid w:val="3EE94E91"/>
    <w:rsid w:val="3F805287"/>
    <w:rsid w:val="401933BF"/>
    <w:rsid w:val="401B49F1"/>
    <w:rsid w:val="407C2246"/>
    <w:rsid w:val="42042555"/>
    <w:rsid w:val="427B0BC9"/>
    <w:rsid w:val="42913872"/>
    <w:rsid w:val="43DB70C2"/>
    <w:rsid w:val="44743BF0"/>
    <w:rsid w:val="448A4217"/>
    <w:rsid w:val="45466415"/>
    <w:rsid w:val="46606607"/>
    <w:rsid w:val="48475477"/>
    <w:rsid w:val="48AD296E"/>
    <w:rsid w:val="4933371F"/>
    <w:rsid w:val="4A7D1CB1"/>
    <w:rsid w:val="4A90461A"/>
    <w:rsid w:val="4AF72C27"/>
    <w:rsid w:val="4C95730F"/>
    <w:rsid w:val="4D4626C8"/>
    <w:rsid w:val="4D72579F"/>
    <w:rsid w:val="4ED11A10"/>
    <w:rsid w:val="4F2C520F"/>
    <w:rsid w:val="4F3B50DC"/>
    <w:rsid w:val="4F9801E7"/>
    <w:rsid w:val="50812FC2"/>
    <w:rsid w:val="50DC22A0"/>
    <w:rsid w:val="526B23B2"/>
    <w:rsid w:val="52B64033"/>
    <w:rsid w:val="532950EE"/>
    <w:rsid w:val="53AA1332"/>
    <w:rsid w:val="54E3322D"/>
    <w:rsid w:val="56424FA2"/>
    <w:rsid w:val="57230952"/>
    <w:rsid w:val="57376AD1"/>
    <w:rsid w:val="57522A51"/>
    <w:rsid w:val="580C6F3F"/>
    <w:rsid w:val="59875B51"/>
    <w:rsid w:val="5B73507F"/>
    <w:rsid w:val="5C1678E0"/>
    <w:rsid w:val="5EC87CEE"/>
    <w:rsid w:val="5ED66666"/>
    <w:rsid w:val="5F7E0DDA"/>
    <w:rsid w:val="6031230F"/>
    <w:rsid w:val="607105DC"/>
    <w:rsid w:val="609360DE"/>
    <w:rsid w:val="60A87BAD"/>
    <w:rsid w:val="61083DAF"/>
    <w:rsid w:val="61990971"/>
    <w:rsid w:val="630A2043"/>
    <w:rsid w:val="63665421"/>
    <w:rsid w:val="650E0CA2"/>
    <w:rsid w:val="66221F5E"/>
    <w:rsid w:val="669E0497"/>
    <w:rsid w:val="67121B6C"/>
    <w:rsid w:val="67B31BB7"/>
    <w:rsid w:val="68083E32"/>
    <w:rsid w:val="680E6F72"/>
    <w:rsid w:val="689950F9"/>
    <w:rsid w:val="69244882"/>
    <w:rsid w:val="69DD59B8"/>
    <w:rsid w:val="6A51371E"/>
    <w:rsid w:val="6AB563C0"/>
    <w:rsid w:val="6ACB5B2B"/>
    <w:rsid w:val="6AD63EF6"/>
    <w:rsid w:val="6BEF307E"/>
    <w:rsid w:val="6CF32E05"/>
    <w:rsid w:val="6D8E6FF3"/>
    <w:rsid w:val="6DAE24A2"/>
    <w:rsid w:val="6DD4040B"/>
    <w:rsid w:val="6E244BCE"/>
    <w:rsid w:val="6F0D7E9E"/>
    <w:rsid w:val="6F370F32"/>
    <w:rsid w:val="6FDD7C1E"/>
    <w:rsid w:val="71774396"/>
    <w:rsid w:val="72044E22"/>
    <w:rsid w:val="73D20082"/>
    <w:rsid w:val="73E37D26"/>
    <w:rsid w:val="74B67236"/>
    <w:rsid w:val="750232A8"/>
    <w:rsid w:val="75F16FE0"/>
    <w:rsid w:val="75F82D28"/>
    <w:rsid w:val="77CC339C"/>
    <w:rsid w:val="786A7F95"/>
    <w:rsid w:val="7A1B7966"/>
    <w:rsid w:val="7B65103C"/>
    <w:rsid w:val="7BF33070"/>
    <w:rsid w:val="7C750A2C"/>
    <w:rsid w:val="7CB1418D"/>
    <w:rsid w:val="7D111591"/>
    <w:rsid w:val="7D4D5A42"/>
    <w:rsid w:val="7E7A640D"/>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25268</Words>
  <Characters>25689</Characters>
  <Lines>0</Lines>
  <Paragraphs>0</Paragraphs>
  <TotalTime>0</TotalTime>
  <ScaleCrop>false</ScaleCrop>
  <LinksUpToDate>false</LinksUpToDate>
  <CharactersWithSpaces>26690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嘉业路845弄、頔塘府（东、西区）、贝尚湾、湖滨家园、同心花苑、中央公园等（以住建局提供名单为准）</dc:description>
  <cp:keywords>2024年南浔电动自行车充电停场所增建劳务分包工程</cp:keywords>
  <cp:lastModifiedBy>Administrator</cp:lastModifiedBy>
  <cp:lastPrinted>2024-06-18T02:13:00Z</cp:lastPrinted>
  <dcterms:modified xsi:type="dcterms:W3CDTF">2024-06-18T09:16:45Z</dcterms:modified>
  <dc:subject>建设内容包括但不限于以住建局提供名单为准的小区内的电动自行车充电停场所电力设计、电力施工、停车棚、土建基础等工程，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