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160"/>
      <w:bookmarkStart w:id="1" w:name="_Toc152045514"/>
      <w:bookmarkStart w:id="2" w:name="_Toc247085674"/>
      <w:bookmarkStart w:id="3" w:name="_Toc179632530"/>
      <w:bookmarkStart w:id="4" w:name="_Toc449509649"/>
      <w:bookmarkStart w:id="5" w:name="_Toc144974482"/>
      <w:bookmarkStart w:id="6" w:name="_Toc246996903"/>
      <w:bookmarkStart w:id="7" w:name="_Toc15204229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2024年美丽乡村景观线绿化养护工程</w:t>
          </w:r>
        </w:sdtContent>
      </w:sdt>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4"/>
        <w:numPr>
          <w:ilvl w:val="0"/>
          <w:numId w:val="0"/>
        </w:numPr>
        <w:shd w:val="clear"/>
        <w:spacing w:after="0"/>
        <w:jc w:val="both"/>
        <w:rPr>
          <w:rFonts w:hint="eastAsia" w:ascii="仿宋" w:hAnsi="仿宋" w:eastAsia="仿宋" w:cs="仿宋"/>
          <w:sz w:val="32"/>
          <w:szCs w:val="32"/>
          <w:highlight w:val="none"/>
          <w:vertAlign w:val="baseline"/>
          <w:lang w:val="en-US" w:eastAsia="zh-CN"/>
        </w:rPr>
      </w:pP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2024-W-019-下01  </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代理机构：</w:t>
      </w:r>
      <w:r>
        <w:rPr>
          <w:rFonts w:hint="eastAsia" w:ascii="仿宋_GB2312" w:hAnsi="仿宋_GB2312" w:eastAsia="仿宋_GB2312" w:cs="仿宋_GB2312"/>
          <w:sz w:val="32"/>
          <w:szCs w:val="32"/>
          <w:highlight w:val="none"/>
          <w:u w:val="single"/>
          <w:vertAlign w:val="baseline"/>
          <w:lang w:val="en-US" w:eastAsia="zh-CN"/>
        </w:rPr>
        <w:t xml:space="preserve"> 浙江金业管理咨询有限公司</w:t>
      </w:r>
      <w:r>
        <w:rPr>
          <w:rFonts w:hint="eastAsia" w:ascii="仿宋_GB2312" w:hAnsi="仿宋_GB2312" w:eastAsia="仿宋_GB2312" w:cs="仿宋_GB2312"/>
          <w:b w:val="0"/>
          <w:bCs w:val="0"/>
          <w:sz w:val="32"/>
          <w:szCs w:val="32"/>
          <w:highlight w:val="none"/>
          <w:u w:val="single"/>
          <w:vertAlign w:val="baseline"/>
          <w:lang w:val="en-US" w:eastAsia="zh-CN"/>
        </w:rPr>
        <w:t>（盖章）</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2024年6月 </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4"/>
        <w:keepNext w:val="0"/>
        <w:keepLines w:val="0"/>
        <w:pageBreakBefore/>
        <w:widowControl w:val="0"/>
        <w:shd w:val="clea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类别</w:t>
            </w:r>
          </w:p>
        </w:tc>
        <w:tc>
          <w:tcPr>
            <w:tcW w:w="7144"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项目名称</w:t>
            </w:r>
          </w:p>
        </w:tc>
        <w:tc>
          <w:tcPr>
            <w:tcW w:w="7144"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color w:val="000000"/>
                <w:sz w:val="28"/>
                <w:szCs w:val="28"/>
                <w:highlight w:val="none"/>
                <w:vertAlign w:val="baseline"/>
                <w:lang w:val="en-US" w:eastAsia="zh-CN"/>
              </w:rPr>
            </w:pPr>
            <w:sdt>
              <w:sdtPr>
                <w:rPr>
                  <w:rFonts w:hint="eastAsia" w:ascii="仿宋" w:hAnsi="仿宋" w:eastAsia="仿宋" w:cs="仿宋"/>
                  <w:b w:val="0"/>
                  <w:bCs w:val="0"/>
                  <w:color w:val="00000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color w:val="000000"/>
                  <w:kern w:val="2"/>
                  <w:sz w:val="28"/>
                  <w:szCs w:val="28"/>
                  <w:highlight w:val="none"/>
                  <w:u w:val="none"/>
                  <w:lang w:val="en-US" w:eastAsia="zh-CN" w:bidi="ar-SA"/>
                </w:rPr>
              </w:sdtEndPr>
              <w:sdtContent>
                <w:r>
                  <w:rPr>
                    <w:rFonts w:hint="eastAsia" w:ascii="仿宋" w:hAnsi="仿宋" w:eastAsia="仿宋" w:cs="仿宋"/>
                    <w:b w:val="0"/>
                    <w:bCs w:val="0"/>
                    <w:color w:val="000000"/>
                    <w:kern w:val="2"/>
                    <w:sz w:val="28"/>
                    <w:szCs w:val="28"/>
                    <w:highlight w:val="none"/>
                    <w:u w:val="none"/>
                    <w:lang w:val="en-US" w:eastAsia="zh-CN" w:bidi="ar-SA"/>
                  </w:rPr>
                  <w:t>2024年美丽乡村景观线绿化养护工程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建设单位</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default" w:ascii="仿宋_GB2312" w:hAnsi="仿宋_GB2312" w:eastAsia="仿宋_GB2312" w:cs="仿宋_GB2312"/>
                <w:color w:val="000000"/>
                <w:sz w:val="28"/>
                <w:szCs w:val="28"/>
                <w:highlight w:val="none"/>
                <w:vertAlign w:val="baseline"/>
                <w:lang w:val="en-US" w:eastAsia="zh-CN"/>
              </w:rPr>
            </w:pPr>
            <w:r>
              <w:rPr>
                <w:rFonts w:hint="eastAsia" w:ascii="仿宋" w:hAnsi="仿宋" w:eastAsia="仿宋" w:cs="仿宋"/>
                <w:color w:val="000000"/>
                <w:kern w:val="2"/>
                <w:sz w:val="28"/>
                <w:szCs w:val="28"/>
                <w:highlight w:val="yellow"/>
                <w:lang w:val="en-US" w:eastAsia="zh-CN" w:bidi="ar-SA"/>
              </w:rPr>
              <w:t>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总承包单位</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招标单位</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分包模式</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vertAlign w:val="baseline"/>
                <w:lang w:val="en-US" w:eastAsia="zh-CN"/>
              </w:rPr>
              <w:t xml:space="preserve">直营 </w:t>
            </w:r>
            <w:r>
              <w:rPr>
                <w:rFonts w:hint="eastAsia" w:ascii="仿宋_GB2312" w:hAnsi="仿宋_GB2312" w:eastAsia="仿宋_GB2312" w:cs="仿宋_GB2312"/>
                <w:color w:val="000000"/>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vertAlign w:val="baseline"/>
                <w:lang w:val="en-US" w:eastAsia="zh-CN"/>
              </w:rPr>
              <w:t xml:space="preserve">劳务分包 </w:t>
            </w:r>
            <w:r>
              <w:rPr>
                <w:rFonts w:hint="eastAsia" w:ascii="仿宋_GB2312" w:hAnsi="仿宋_GB2312" w:eastAsia="仿宋_GB2312" w:cs="仿宋_GB2312"/>
                <w:color w:val="000000"/>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vertAlign w:val="baseline"/>
                <w:lang w:val="en-US" w:eastAsia="zh-CN"/>
              </w:rPr>
              <w:t>劳务分包+部分主材甲供</w:t>
            </w:r>
            <w:r>
              <w:rPr>
                <w:rFonts w:hint="default" w:ascii="仿宋_GB2312" w:hAnsi="仿宋_GB2312" w:eastAsia="仿宋_GB2312" w:cs="仿宋_GB2312"/>
                <w:color w:val="000000"/>
                <w:sz w:val="28"/>
                <w:szCs w:val="28"/>
                <w:highlight w:val="none"/>
                <w:vertAlign w:val="baseline"/>
                <w:lang w:eastAsia="zh-CN"/>
              </w:rPr>
              <w:t xml:space="preserve">  </w:t>
            </w:r>
            <w:r>
              <w:rPr>
                <w:rFonts w:hint="eastAsia" w:ascii="仿宋_GB2312" w:hAnsi="仿宋_GB2312" w:eastAsia="仿宋_GB2312" w:cs="仿宋_GB2312"/>
                <w:color w:val="000000"/>
                <w:sz w:val="28"/>
                <w:szCs w:val="28"/>
                <w:highlight w:val="none"/>
                <w:vertAlign w:val="baseline"/>
                <w:lang w:val="en-US" w:eastAsia="zh-CN"/>
              </w:rPr>
              <w:t xml:space="preserve"> </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sym w:font="Wingdings" w:char="00FE"/>
            </w:r>
            <w:r>
              <w:rPr>
                <w:rFonts w:hint="eastAsia" w:ascii="仿宋_GB2312" w:hAnsi="仿宋_GB2312" w:eastAsia="仿宋_GB2312" w:cs="仿宋_GB2312"/>
                <w:color w:val="000000"/>
                <w:sz w:val="28"/>
                <w:szCs w:val="28"/>
                <w:highlight w:val="none"/>
                <w:vertAlign w:val="baseline"/>
                <w:lang w:val="en-US" w:eastAsia="zh-CN"/>
              </w:rPr>
              <w:t xml:space="preserve">专业分包 </w:t>
            </w:r>
            <w:r>
              <w:rPr>
                <w:rFonts w:hint="eastAsia" w:ascii="仿宋_GB2312" w:hAnsi="仿宋_GB2312" w:eastAsia="仿宋_GB2312" w:cs="仿宋_GB2312"/>
                <w:color w:val="000000"/>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工程规模</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default"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服务时间</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yellow"/>
                <w:u w:val="single"/>
                <w:vertAlign w:val="baseline"/>
                <w:lang w:val="en-US" w:eastAsia="zh-CN"/>
              </w:rPr>
              <w:t>约1.5年，具体以附件2为准</w:t>
            </w:r>
            <w:r>
              <w:rPr>
                <w:rFonts w:hint="eastAsia" w:ascii="仿宋_GB2312" w:hAnsi="仿宋_GB2312" w:eastAsia="仿宋_GB2312" w:cs="仿宋_GB2312"/>
                <w:color w:val="000000"/>
                <w:sz w:val="28"/>
                <w:szCs w:val="28"/>
                <w:highlight w:val="none"/>
                <w:vertAlign w:val="baseline"/>
                <w:lang w:val="en-US" w:eastAsia="zh-CN"/>
              </w:rPr>
              <w:t>，招标人有权视中标人的履约情况决定是否续签合同。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项目预算价</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yellow"/>
                <w:u w:val="single"/>
                <w:vertAlign w:val="baseline"/>
                <w:lang w:val="en-US" w:eastAsia="zh-CN"/>
              </w:rPr>
              <w:t xml:space="preserve"> 9131607 </w:t>
            </w:r>
            <w:r>
              <w:rPr>
                <w:rFonts w:hint="eastAsia" w:ascii="仿宋_GB2312" w:hAnsi="仿宋_GB2312" w:eastAsia="仿宋_GB2312" w:cs="仿宋_GB2312"/>
                <w:color w:val="000000"/>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项目地点</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vertAlign w:val="baseline"/>
                <w:lang w:val="en-US" w:eastAsia="zh-CN"/>
              </w:rPr>
            </w:pPr>
            <w:sdt>
              <w:sdtPr>
                <w:rPr>
                  <w:rFonts w:hint="eastAsia" w:ascii="仿宋_GB2312" w:hAnsi="仿宋_GB2312" w:eastAsia="仿宋_GB2312" w:cs="仿宋_GB2312"/>
                  <w:color w:val="000000"/>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000000"/>
                  <w:kern w:val="2"/>
                  <w:sz w:val="28"/>
                  <w:szCs w:val="28"/>
                  <w:lang w:val="en-US" w:eastAsia="zh-CN" w:bidi="ar-SA"/>
                </w:rPr>
              </w:sdtEndPr>
              <w:sdtContent>
                <w:r>
                  <w:rPr>
                    <w:rFonts w:hint="eastAsia" w:ascii="仿宋_GB2312" w:hAnsi="仿宋_GB2312" w:eastAsia="仿宋_GB2312" w:cs="仿宋_GB2312"/>
                    <w:color w:val="000000"/>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施工范围</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sdt>
            <w:sdtPr>
              <w:rPr>
                <w:rFonts w:hint="eastAsia" w:ascii="仿宋_GB2312" w:hAnsi="仿宋_GB2312" w:eastAsia="仿宋_GB2312" w:cs="仿宋_GB2312"/>
                <w:color w:val="000000"/>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color w:val="000000"/>
                <w:kern w:val="0"/>
                <w:sz w:val="28"/>
                <w:szCs w:val="28"/>
                <w:highlight w:val="none"/>
                <w:vertAlign w:val="baseline"/>
                <w:lang w:val="en-US" w:eastAsia="zh-CN" w:bidi="ar-SA"/>
              </w:rPr>
            </w:sdtEndPr>
            <w:sdtContent>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kern w:val="0"/>
                    <w:sz w:val="28"/>
                    <w:szCs w:val="28"/>
                    <w:highlight w:val="none"/>
                    <w:vertAlign w:val="baseline"/>
                    <w:lang w:val="en-US" w:eastAsia="zh-CN" w:bidi="ar-SA"/>
                  </w:rPr>
                </w:pPr>
                <w:r>
                  <w:rPr>
                    <w:rFonts w:hint="eastAsia" w:ascii="仿宋_GB2312" w:hAnsi="仿宋_GB2312" w:eastAsia="仿宋_GB2312" w:cs="仿宋_GB2312"/>
                    <w:color w:val="000000"/>
                    <w:sz w:val="28"/>
                    <w:szCs w:val="28"/>
                    <w:highlight w:val="none"/>
                    <w:vertAlign w:val="baseline"/>
                    <w:lang w:val="en-US" w:eastAsia="zh-CN"/>
                  </w:rPr>
                  <w:t>1、养护内容：①绿化养护，景观线绿化带除草、病虫害防治、水肥管理、苗木补植等项目的管护；②环境卫生保洁, 绿化带环境卫生保洁，绿化带边坡清理；③设施维护, 绿道、平侧石、灯光设施、座椅、公交驿站、旅游驿站、旅游标识、停车场、 景观节点等设施管理维修（包括材料）；④排水系统日常维护， 明沟、暗沟、沟盖板、排水井等维护；（包括附属设施及材料）⑤其它绿化带范围内的建筑设施等。管护范围不包括主干路的路基、路面的养护。2、养护范围：美丽乡村景观线绿化带（一般 15 米左右，不超过 30 米）范围内，景观节点宽度可适当延伸。管护范围：美丽乡村景观线建设区级财政补助区域，具体由镇（开发区） 在景观线与周边农田、鱼塘、村庄设定界桩，并以区交通局提供的测绘数据为准。3、养护单位需负责养护区域的四季草花种植。4、以招标人对上合同中约定的内容为准。</w:t>
                </w:r>
              </w:p>
            </w:sdtContent>
          </w:sdt>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kern w:val="0"/>
                <w:sz w:val="28"/>
                <w:szCs w:val="28"/>
                <w:highlight w:val="none"/>
                <w:vertAlign w:val="baseline"/>
                <w:lang w:val="en-US" w:eastAsia="zh-CN" w:bidi="ar-SA"/>
              </w:rPr>
            </w:pPr>
            <w:r>
              <w:rPr>
                <w:rFonts w:hint="eastAsia" w:ascii="仿宋" w:hAnsi="仿宋" w:eastAsia="仿宋" w:cs="仿宋"/>
                <w:color w:val="000000"/>
                <w:sz w:val="28"/>
                <w:szCs w:val="28"/>
                <w:highlight w:val="yellow"/>
                <w:vertAlign w:val="baseline"/>
                <w:lang w:val="en-US" w:eastAsia="zh-CN"/>
              </w:rPr>
              <w:t>注：本项目共8个标段，</w:t>
            </w:r>
            <w:r>
              <w:rPr>
                <w:rFonts w:hint="eastAsia" w:ascii="仿宋" w:hAnsi="仿宋" w:eastAsia="仿宋" w:cs="仿宋"/>
                <w:color w:val="000000"/>
                <w:sz w:val="28"/>
                <w:szCs w:val="28"/>
                <w:highlight w:val="yellow"/>
                <w:u w:val="none"/>
                <w:vertAlign w:val="baseline"/>
                <w:lang w:val="en-US" w:eastAsia="zh-CN"/>
              </w:rPr>
              <w:t>具体标段划分详见附件2，投标人可投多个标段，同一投标人只能中一个标段，若出现同一投标人中不同标段时，则按该标段中标顺序由下一名递补。同一投标人中不同标段时，中标顺序原则按标段先后顺序确定（如：同一投标人同时分别为1标段和2标段的第一中标侯选人，按标段顺序确定其为1标段的中标人，2标段则由第二中标候选人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甲供材料</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000000"/>
                <w:kern w:val="0"/>
                <w:sz w:val="24"/>
                <w:szCs w:val="24"/>
                <w:highlight w:val="yellow"/>
                <w:u w:val="none"/>
                <w:lang w:val="en-US" w:eastAsia="zh-CN" w:bidi="ar"/>
              </w:rPr>
            </w:pPr>
            <w:sdt>
              <w:sdtPr>
                <w:rPr>
                  <w:rFonts w:hint="eastAsia" w:ascii="仿宋_GB2312" w:hAnsi="仿宋_GB2312" w:eastAsia="仿宋_GB2312" w:cs="仿宋_GB2312"/>
                  <w:color w:val="000000"/>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color w:val="000000"/>
                  <w:kern w:val="0"/>
                  <w:sz w:val="28"/>
                  <w:szCs w:val="28"/>
                  <w:highlight w:val="cyan"/>
                  <w:u w:val="single"/>
                  <w:vertAlign w:val="baseline"/>
                  <w:lang w:val="en-US" w:eastAsia="zh-CN" w:bidi="ar-SA"/>
                </w:rPr>
              </w:sdtEndPr>
              <w:sdtContent>
                <w:r>
                  <w:rPr>
                    <w:rFonts w:hint="eastAsia" w:ascii="仿宋_GB2312" w:hAnsi="仿宋_GB2312" w:eastAsia="仿宋_GB2312" w:cs="仿宋_GB2312"/>
                    <w:color w:val="000000"/>
                    <w:kern w:val="0"/>
                    <w:sz w:val="28"/>
                    <w:szCs w:val="28"/>
                    <w:highlight w:val="cyan"/>
                    <w:u w:val="single"/>
                    <w:vertAlign w:val="baseline"/>
                    <w:lang w:val="en-US" w:eastAsia="zh-CN" w:bidi="ar-SA"/>
                  </w:rPr>
                  <w:t xml:space="preserve"> /</w:t>
                </w:r>
              </w:sdtContent>
            </w:sdt>
            <w:r>
              <w:rPr>
                <w:rFonts w:hint="eastAsia" w:ascii="仿宋_GB2312" w:hAnsi="仿宋_GB2312" w:eastAsia="仿宋_GB2312" w:cs="仿宋_GB2312"/>
                <w:b w:val="0"/>
                <w:bCs w:val="0"/>
                <w:color w:val="000000"/>
                <w:kern w:val="0"/>
                <w:sz w:val="28"/>
                <w:szCs w:val="28"/>
                <w:highlight w:val="cyan"/>
                <w:u w:val="single"/>
                <w:lang w:val="en-US" w:eastAsia="zh-CN"/>
              </w:rPr>
              <w:t xml:space="preserve"> </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质量目标</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sym w:font="Wingdings" w:char="00FE"/>
            </w:r>
            <w:r>
              <w:rPr>
                <w:rFonts w:hint="eastAsia" w:ascii="仿宋_GB2312" w:hAnsi="仿宋_GB2312" w:eastAsia="仿宋_GB2312" w:cs="仿宋_GB2312"/>
                <w:color w:val="000000"/>
                <w:sz w:val="28"/>
                <w:szCs w:val="28"/>
                <w:highlight w:val="none"/>
                <w:vertAlign w:val="baseline"/>
                <w:lang w:val="en-US" w:eastAsia="zh-CN"/>
              </w:rPr>
              <w:t xml:space="preserve">合格  </w:t>
            </w:r>
            <w:r>
              <w:rPr>
                <w:rFonts w:hint="eastAsia" w:ascii="仿宋_GB2312" w:hAnsi="仿宋_GB2312" w:eastAsia="仿宋_GB2312" w:cs="仿宋_GB2312"/>
                <w:color w:val="000000"/>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vertAlign w:val="baseline"/>
                <w:lang w:val="en-US" w:eastAsia="zh-CN"/>
              </w:rPr>
              <w:t xml:space="preserve">区标化  </w:t>
            </w:r>
            <w:r>
              <w:rPr>
                <w:rFonts w:hint="eastAsia" w:ascii="仿宋_GB2312" w:hAnsi="仿宋_GB2312" w:eastAsia="仿宋_GB2312" w:cs="仿宋_GB2312"/>
                <w:color w:val="000000"/>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vertAlign w:val="baseline"/>
                <w:lang w:val="en-US" w:eastAsia="zh-CN"/>
              </w:rPr>
              <w:t xml:space="preserve">市标化  </w:t>
            </w:r>
            <w:r>
              <w:rPr>
                <w:rFonts w:hint="eastAsia" w:ascii="仿宋_GB2312" w:hAnsi="仿宋_GB2312" w:eastAsia="仿宋_GB2312" w:cs="仿宋_GB2312"/>
                <w:color w:val="000000"/>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vertAlign w:val="baseline"/>
                <w:lang w:val="en-US" w:eastAsia="zh-CN"/>
              </w:rPr>
              <w:t xml:space="preserve">金象杯  </w:t>
            </w:r>
            <w:r>
              <w:rPr>
                <w:rFonts w:hint="eastAsia" w:ascii="仿宋_GB2312" w:hAnsi="仿宋_GB2312" w:eastAsia="仿宋_GB2312" w:cs="仿宋_GB2312"/>
                <w:color w:val="000000"/>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安全目标</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_GB2312" w:hAnsi="仿宋_GB2312" w:eastAsia="仿宋_GB2312" w:cs="仿宋_GB2312"/>
                <w:b/>
                <w:bCs/>
                <w:color w:val="000000"/>
                <w:kern w:val="0"/>
                <w:sz w:val="28"/>
                <w:szCs w:val="28"/>
                <w:highlight w:val="none"/>
                <w:vertAlign w:val="baseline"/>
                <w:lang w:val="en-US" w:eastAsia="zh-CN" w:bidi="ar-SA"/>
              </w:rPr>
            </w:pPr>
            <w:r>
              <w:rPr>
                <w:rFonts w:hint="eastAsia" w:ascii="仿宋_GB2312" w:hAnsi="仿宋_GB2312" w:eastAsia="仿宋_GB2312" w:cs="仿宋_GB2312"/>
                <w:b/>
                <w:bCs/>
                <w:color w:val="000000"/>
                <w:sz w:val="28"/>
                <w:szCs w:val="28"/>
                <w:highlight w:val="none"/>
                <w:vertAlign w:val="baseline"/>
                <w:lang w:val="en-US" w:eastAsia="zh-CN"/>
              </w:rPr>
              <w:t>履约保证金</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000000"/>
                <w:kern w:val="0"/>
                <w:sz w:val="28"/>
                <w:szCs w:val="28"/>
                <w:highlight w:val="none"/>
                <w:vertAlign w:val="baseline"/>
                <w:lang w:val="en-US" w:eastAsia="zh-Hans" w:bidi="ar-SA"/>
              </w:rPr>
            </w:pPr>
            <w:r>
              <w:rPr>
                <w:rFonts w:hint="eastAsia" w:ascii="仿宋_GB2312" w:hAnsi="仿宋_GB2312" w:eastAsia="仿宋_GB2312" w:cs="仿宋_GB2312"/>
                <w:color w:val="000000"/>
                <w:sz w:val="28"/>
                <w:szCs w:val="28"/>
                <w:highlight w:val="none"/>
                <w:lang w:val="en-US" w:eastAsia="zh-CN"/>
              </w:rPr>
              <w:t>招标人库内</w:t>
            </w:r>
            <w:r>
              <w:rPr>
                <w:rFonts w:hint="eastAsia" w:ascii="仿宋_GB2312" w:hAnsi="仿宋_GB2312" w:eastAsia="仿宋_GB2312" w:cs="仿宋_GB2312"/>
                <w:color w:val="000000"/>
                <w:sz w:val="28"/>
                <w:szCs w:val="28"/>
                <w:highlight w:val="none"/>
              </w:rPr>
              <w:t>单位可以不再缴纳履约保证金，未</w:t>
            </w:r>
            <w:r>
              <w:rPr>
                <w:rFonts w:hint="eastAsia" w:ascii="仿宋_GB2312" w:hAnsi="仿宋_GB2312" w:eastAsia="仿宋_GB2312" w:cs="仿宋_GB2312"/>
                <w:color w:val="000000"/>
                <w:sz w:val="28"/>
                <w:szCs w:val="28"/>
                <w:highlight w:val="none"/>
                <w:lang w:val="en-US" w:eastAsia="zh-CN"/>
              </w:rPr>
              <w:t>进</w:t>
            </w:r>
            <w:r>
              <w:rPr>
                <w:rFonts w:hint="eastAsia" w:ascii="仿宋_GB2312" w:hAnsi="仿宋_GB2312" w:eastAsia="仿宋_GB2312" w:cs="仿宋_GB2312"/>
                <w:color w:val="000000"/>
                <w:sz w:val="28"/>
                <w:szCs w:val="28"/>
                <w:highlight w:val="none"/>
              </w:rPr>
              <w:t>入</w:t>
            </w:r>
            <w:r>
              <w:rPr>
                <w:rFonts w:hint="eastAsia" w:ascii="仿宋_GB2312" w:hAnsi="仿宋_GB2312" w:eastAsia="仿宋_GB2312" w:cs="仿宋_GB2312"/>
                <w:color w:val="000000"/>
                <w:sz w:val="28"/>
                <w:szCs w:val="28"/>
                <w:highlight w:val="none"/>
                <w:lang w:val="en-US" w:eastAsia="zh-CN"/>
              </w:rPr>
              <w:t>招标人班组</w:t>
            </w:r>
            <w:r>
              <w:rPr>
                <w:rFonts w:hint="eastAsia" w:ascii="仿宋_GB2312" w:hAnsi="仿宋_GB2312" w:eastAsia="仿宋_GB2312" w:cs="仿宋_GB2312"/>
                <w:color w:val="000000"/>
                <w:sz w:val="28"/>
                <w:szCs w:val="28"/>
                <w:highlight w:val="none"/>
              </w:rPr>
              <w:t>库</w:t>
            </w:r>
            <w:r>
              <w:rPr>
                <w:rFonts w:hint="eastAsia" w:ascii="仿宋_GB2312" w:hAnsi="仿宋_GB2312" w:eastAsia="仿宋_GB2312" w:cs="仿宋_GB2312"/>
                <w:color w:val="000000"/>
                <w:sz w:val="28"/>
                <w:szCs w:val="28"/>
                <w:highlight w:val="none"/>
                <w:lang w:val="en-US" w:eastAsia="zh-CN"/>
              </w:rPr>
              <w:t>的单位在中标后合同签订前</w:t>
            </w:r>
            <w:r>
              <w:rPr>
                <w:rFonts w:hint="eastAsia" w:ascii="仿宋_GB2312" w:hAnsi="仿宋_GB2312" w:eastAsia="仿宋_GB2312" w:cs="仿宋_GB2312"/>
                <w:color w:val="000000"/>
                <w:sz w:val="28"/>
                <w:szCs w:val="28"/>
                <w:highlight w:val="none"/>
              </w:rPr>
              <w:t>缴纳</w:t>
            </w:r>
            <w:r>
              <w:rPr>
                <w:rFonts w:hint="eastAsia" w:ascii="仿宋_GB2312" w:hAnsi="仿宋_GB2312" w:eastAsia="仿宋_GB2312" w:cs="仿宋_GB2312"/>
                <w:color w:val="000000"/>
                <w:sz w:val="28"/>
                <w:szCs w:val="28"/>
                <w:highlight w:val="yellow"/>
                <w:u w:val="single"/>
                <w:lang w:val="en-US" w:eastAsia="zh-CN"/>
              </w:rPr>
              <w:t>/万元</w:t>
            </w:r>
            <w:r>
              <w:rPr>
                <w:rFonts w:hint="eastAsia" w:ascii="仿宋_GB2312" w:hAnsi="仿宋_GB2312" w:eastAsia="仿宋_GB2312" w:cs="仿宋_GB2312"/>
                <w:color w:val="000000"/>
                <w:sz w:val="28"/>
                <w:szCs w:val="28"/>
                <w:highlight w:val="none"/>
                <w:lang w:val="en-US" w:eastAsia="zh-CN"/>
              </w:rPr>
              <w:t>履约保证金</w:t>
            </w:r>
            <w:r>
              <w:rPr>
                <w:rFonts w:hint="eastAsia" w:ascii="仿宋_GB2312" w:hAnsi="仿宋_GB2312" w:eastAsia="仿宋_GB2312" w:cs="仿宋_GB2312"/>
                <w:color w:val="000000"/>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预付款</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付款方式</w:t>
            </w:r>
          </w:p>
        </w:tc>
        <w:sdt>
          <w:sdtPr>
            <w:rPr>
              <w:rFonts w:hint="default" w:ascii="仿宋" w:hAnsi="仿宋" w:eastAsia="仿宋" w:cs="仿宋"/>
              <w:color w:val="000000"/>
              <w:kern w:val="0"/>
              <w:sz w:val="28"/>
              <w:szCs w:val="28"/>
              <w:highlight w:val="none"/>
              <w:vertAlign w:val="baseline"/>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color w:val="000000"/>
              <w:kern w:val="0"/>
              <w:sz w:val="28"/>
              <w:szCs w:val="28"/>
              <w:highlight w:val="yellow"/>
              <w:vertAlign w:val="baseline"/>
              <w:lang w:val="en-US" w:eastAsia="zh-CN" w:bidi="ar-SA"/>
            </w:rPr>
          </w:sdtEndPr>
          <w:sdtContent>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00"/>
                    <w:sz w:val="28"/>
                    <w:szCs w:val="28"/>
                    <w:highlight w:val="yellow"/>
                    <w:lang w:eastAsia="zh-CN"/>
                  </w:rPr>
                </w:pPr>
                <w:r>
                  <w:rPr>
                    <w:rFonts w:hint="eastAsia" w:ascii="仿宋" w:hAnsi="仿宋" w:eastAsia="仿宋" w:cs="仿宋"/>
                    <w:color w:val="000000"/>
                    <w:kern w:val="0"/>
                    <w:sz w:val="28"/>
                    <w:szCs w:val="28"/>
                    <w:highlight w:val="none"/>
                    <w:vertAlign w:val="baseline"/>
                    <w:lang w:val="en-US" w:eastAsia="zh-CN" w:bidi="ar-SA"/>
                  </w:rPr>
                  <w:t>年终根据考核结果及收到业主款项后根据结算方式支付。</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color w:val="000000"/>
                <w:sz w:val="28"/>
                <w:szCs w:val="28"/>
                <w:highlight w:val="none"/>
                <w:vertAlign w:val="baseline"/>
                <w:lang w:val="en-US" w:eastAsia="zh-CN"/>
              </w:rPr>
            </w:pPr>
            <w:r>
              <w:rPr>
                <w:rFonts w:hint="eastAsia" w:ascii="仿宋_GB2312" w:hAnsi="仿宋_GB2312" w:eastAsia="仿宋_GB2312" w:cs="仿宋_GB2312"/>
                <w:b/>
                <w:bCs/>
                <w:color w:val="000000"/>
                <w:sz w:val="28"/>
                <w:szCs w:val="28"/>
                <w:highlight w:val="none"/>
                <w:vertAlign w:val="baseline"/>
                <w:lang w:val="en-US" w:eastAsia="zh-CN"/>
              </w:rPr>
              <w:t>结算方式</w:t>
            </w:r>
          </w:p>
        </w:tc>
        <w:tc>
          <w:tcPr>
            <w:tcW w:w="714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00"/>
                <w:sz w:val="28"/>
                <w:szCs w:val="28"/>
                <w:highlight w:val="none"/>
                <w:lang w:eastAsia="zh-CN"/>
              </w:rPr>
            </w:pPr>
            <w:r>
              <w:rPr>
                <w:rFonts w:hint="eastAsia" w:ascii="仿宋" w:hAnsi="仿宋" w:eastAsia="仿宋" w:cs="仿宋"/>
                <w:color w:val="000000"/>
                <w:sz w:val="28"/>
                <w:szCs w:val="28"/>
                <w:highlight w:val="none"/>
                <w:lang w:val="en-US" w:eastAsia="zh-CN"/>
              </w:rPr>
              <w:t>养护单价*实际养护面积-其他扣款，合同签约养护单价为8个标段中标价的平均值，且最终结算价不超过招标人与业主单位结算价下浮的28.3%，中标人在</w:t>
            </w:r>
            <w:r>
              <w:rPr>
                <w:rFonts w:hint="eastAsia" w:ascii="仿宋" w:hAnsi="仿宋" w:eastAsia="仿宋" w:cs="仿宋"/>
                <w:color w:val="000000"/>
                <w:sz w:val="28"/>
                <w:szCs w:val="28"/>
                <w:highlight w:val="none"/>
                <w:lang w:eastAsia="zh-CN"/>
              </w:rPr>
              <w:t>工程款结清前提供</w:t>
            </w:r>
            <w:r>
              <w:rPr>
                <w:rFonts w:hint="eastAsia" w:ascii="仿宋" w:hAnsi="仿宋" w:eastAsia="仿宋" w:cs="仿宋"/>
                <w:color w:val="000000"/>
                <w:sz w:val="28"/>
                <w:szCs w:val="28"/>
                <w:highlight w:val="none"/>
                <w:lang w:val="en-US" w:eastAsia="zh-CN"/>
              </w:rPr>
              <w:t>应付工程款足额的6%增值税税额专用发票，</w:t>
            </w:r>
            <w:r>
              <w:rPr>
                <w:rFonts w:hint="eastAsia" w:ascii="仿宋_GB2312" w:hAnsi="仿宋_GB2312" w:eastAsia="仿宋_GB2312" w:cs="仿宋_GB2312"/>
                <w:color w:val="auto"/>
                <w:sz w:val="28"/>
                <w:szCs w:val="28"/>
                <w:highlight w:val="none"/>
                <w:lang w:val="en-US" w:eastAsia="zh-CN"/>
              </w:rPr>
              <w:t>不足部分从应付工程款中进行扣除</w:t>
            </w:r>
            <w:r>
              <w:rPr>
                <w:rFonts w:hint="eastAsia" w:ascii="仿宋" w:hAnsi="仿宋" w:eastAsia="仿宋" w:cs="仿宋"/>
                <w:color w:val="000000"/>
                <w:sz w:val="28"/>
                <w:szCs w:val="28"/>
                <w:highlight w:val="none"/>
                <w:lang w:val="en-US" w:eastAsia="zh-CN"/>
              </w:rPr>
              <w:t>。</w:t>
            </w:r>
          </w:p>
        </w:tc>
      </w:tr>
    </w:tbl>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绿化劳务班组</w:t>
            </w:r>
            <w:r>
              <w:rPr>
                <w:rFonts w:hint="eastAsia" w:ascii="仿宋_GB2312" w:hAnsi="仿宋_GB2312" w:eastAsia="仿宋_GB2312" w:cs="仿宋_GB2312"/>
                <w:sz w:val="28"/>
                <w:szCs w:val="28"/>
                <w:highlight w:val="none"/>
                <w:vertAlign w:val="baseline"/>
                <w:lang w:val="en-US" w:eastAsia="zh-CN"/>
              </w:rPr>
              <w:t>分包库内单位。</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w:t>
            </w:r>
            <w:r>
              <w:rPr>
                <w:rFonts w:hint="eastAsia" w:ascii="仿宋" w:hAnsi="仿宋" w:eastAsia="仿宋" w:cs="仿宋"/>
                <w:sz w:val="28"/>
                <w:szCs w:val="28"/>
                <w:highlight w:val="none"/>
                <w:u w:val="single"/>
                <w:vertAlign w:val="baseline"/>
                <w:lang w:val="en-US" w:eastAsia="zh-CN"/>
              </w:rPr>
              <w:t>独立法人资格，营业执照经营范围具有园林绿化相关内容（属于区政府扶持的强村公司）</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备注：二个资质满足其一即可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cyan"/>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控制价为4.5元/m2·年</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w:t>
            </w:r>
            <w:r>
              <w:rPr>
                <w:rFonts w:hint="eastAsia" w:ascii="仿宋_GB2312" w:hAnsi="仿宋_GB2312" w:eastAsia="仿宋_GB2312" w:cs="仿宋_GB2312"/>
                <w:color w:val="000000"/>
                <w:sz w:val="28"/>
                <w:szCs w:val="28"/>
                <w:highlight w:val="none"/>
                <w:lang w:val="en-US" w:eastAsia="zh-CN"/>
              </w:rPr>
              <w:t>高于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，否则作为废标处理</w:t>
            </w:r>
            <w:r>
              <w:rPr>
                <w:rFonts w:hint="eastAsia" w:ascii="仿宋_GB2312" w:hAnsi="仿宋_GB2312" w:eastAsia="仿宋_GB2312" w:cs="仿宋_GB2312"/>
                <w:color w:val="000000"/>
                <w:sz w:val="28"/>
                <w:szCs w:val="28"/>
                <w:highlight w:val="none"/>
                <w:lang w:eastAsia="zh-CN"/>
              </w:rPr>
              <w:t>。</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1标段招标代理费5538元，2标段招标代理费5000元，3标段招标代理费5366元，4标段招标代理费5550元，5标段招标代理费10510元，6标段招标代理费5000元，7标段招标代理费8430元，8标段招标代理费6147元，由各标段的中标单位承担对应标段的招标代理费。</w:t>
            </w:r>
          </w:p>
        </w:tc>
      </w:tr>
    </w:tbl>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 w:type="pct"/>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6</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 xml:space="preserve"> 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00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浙江金业管理咨询有限公司：徐而侃 0572-2</w:t>
            </w:r>
            <w:bookmarkStart w:id="8" w:name="_GoBack"/>
            <w:bookmarkEnd w:id="8"/>
            <w:r>
              <w:rPr>
                <w:rFonts w:hint="eastAsia" w:ascii="仿宋_GB2312" w:hAnsi="仿宋_GB2312" w:eastAsia="仿宋_GB2312" w:cs="仿宋_GB2312"/>
                <w:sz w:val="28"/>
                <w:szCs w:val="28"/>
                <w:highlight w:val="none"/>
                <w:u w:val="none"/>
                <w:lang w:val="en-US" w:eastAsia="zh-CN"/>
              </w:rPr>
              <w:t>557283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资格部分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b/>
                <w:bCs/>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1、《近三年内的强村公司证明文件（加盖镇政府公章）》（库内劳务班组不需要提供）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2、工商营业执照复印件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3、资质证书复印件、</w:t>
            </w:r>
            <w:r>
              <w:rPr>
                <w:rFonts w:hint="eastAsia" w:ascii="仿宋_GB2312" w:hAnsi="仿宋_GB2312" w:eastAsia="仿宋_GB2312" w:cs="仿宋_GB2312"/>
                <w:color w:val="auto"/>
                <w:sz w:val="28"/>
                <w:szCs w:val="28"/>
                <w:highlight w:val="none"/>
                <w:lang w:val="en-US" w:eastAsia="zh-CN"/>
              </w:rPr>
              <w:t>安全生产许可证复印件</w:t>
            </w:r>
            <w:r>
              <w:rPr>
                <w:rFonts w:hint="eastAsia" w:ascii="仿宋_GB2312" w:hAnsi="仿宋_GB2312" w:eastAsia="仿宋_GB2312" w:cs="仿宋_GB2312"/>
                <w:color w:val="auto"/>
                <w:sz w:val="28"/>
                <w:szCs w:val="28"/>
                <w:highlight w:val="cyan"/>
                <w:lang w:val="en-US" w:eastAsia="zh-CN"/>
              </w:rPr>
              <w:t>（</w:t>
            </w:r>
            <w:r>
              <w:rPr>
                <w:rFonts w:hint="eastAsia" w:ascii="仿宋_GB2312" w:hAnsi="仿宋_GB2312" w:eastAsia="仿宋_GB2312" w:cs="仿宋_GB2312"/>
                <w:sz w:val="28"/>
                <w:szCs w:val="28"/>
                <w:highlight w:val="cyan"/>
                <w:lang w:val="en-US" w:eastAsia="zh-CN"/>
              </w:rPr>
              <w:t>强村公司</w:t>
            </w:r>
            <w:r>
              <w:rPr>
                <w:rFonts w:hint="eastAsia" w:ascii="仿宋_GB2312" w:hAnsi="仿宋_GB2312" w:eastAsia="仿宋_GB2312" w:cs="仿宋_GB2312"/>
                <w:color w:val="auto"/>
                <w:sz w:val="28"/>
                <w:szCs w:val="28"/>
                <w:highlight w:val="cyan"/>
                <w:lang w:val="en-US" w:eastAsia="zh-CN"/>
              </w:rPr>
              <w:t>本项无需提供）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4、法定代表人身份证明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5、法定代表人授权委托书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6、《承诺书》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7、《安全生产目标管理责任书》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8、《廉洁自律承诺书》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9、《不参与围标串标承诺书》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10、公司基本账户开户证明及账号信息（开户许可证或银行基本存款账户开户信息）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11、项目管理机构配备情况表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14、拟投入项目人员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15、对本项目有效的改进措施和合理化的建议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16、服务保障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17、企业业绩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18、应急保障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19、绿化养护投入使用设备配备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20、投标函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投标人应严格按照本招标文件关于投标文件要求的文件格式、内容打印装订（胶装或订书机装订，并在指定页面上加盖公司公章），不得擅自涂抹、更改，否则视为无效标。</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3、已进入招标人班组库的单位只需提供编号为11-20项的材料即可。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2" w:type="pct"/>
            <w:noWrap w:val="0"/>
            <w:vAlign w:val="center"/>
          </w:tcPr>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10.投标报价超出招标控制价范围的；</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投标人的最终得分=报价得分+技术标得分</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（一）有效标的确定</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在评定商务文件分值前，由评审委员会先对商务文件进行初步评审，存在以下情况之一的，其投标按无效投标处理：</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（1）投标人的商务文件对招标人提供的报价格式内容进行更改的；</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（2）投标人的有效报价超过最高限价的；</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（3）未响应招标文件其他实质性要求的。</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凡有效投标报价低于平均报价8％及以上的(平均报价的计算方法为所有有效投标报价去掉一个最高和一个最低报价后的算术平均价；当有效投标报价在3家及以下时，平均报价的计算方法为全部有效投标报价的算术平均值）。</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按以上评审去除无效投标后，剩余为最终有效投标报价。</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（二）最佳报价的确定：以所有最终有效投标报价的平均值作为最佳报价。</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（三）各有效投标报价与最佳报价进行比较，按以下公式求出百分比K值（保留小数点后一位，第二位四舍五入），计算商务标得分：</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K=（有效投标报价—最佳报价）÷最佳报价*100%</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当K值等于零时，得满分60分；</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当K值大于零时，K值每增1%，在总分上扣0.2分；</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当K值小于零时，K值每减1%，在总分上扣0.1分；</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（四）评标基准价由评标委员会进行计算、复核并签字确认。</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计算差错， 仅限于以下两种情况：（1）纯算术性四则运算差错；（2）未按约定的计算方法， 多计或者少计投标人报价的。由于评标差错， 导致否决投标错误，重新评标纠正等其他情况，不属于计算差错。</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numPr>
          <w:ilvl w:val="0"/>
          <w:numId w:val="1"/>
        </w:numPr>
        <w:shd w:val="clear"/>
        <w:spacing w:line="40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cyan"/>
          <w:lang w:val="en-US" w:eastAsia="zh-CN"/>
        </w:rPr>
        <w:t>技术标得分。</w:t>
      </w:r>
      <w:r>
        <w:rPr>
          <w:rFonts w:hint="eastAsia" w:ascii="仿宋_GB2312" w:hAnsi="仿宋_GB2312" w:eastAsia="仿宋_GB2312" w:cs="仿宋_GB2312"/>
          <w:sz w:val="28"/>
          <w:szCs w:val="28"/>
          <w:lang w:val="en-US" w:eastAsia="zh-CN"/>
        </w:rPr>
        <w:t>技术标总分40分，按以下标准评定。</w:t>
      </w:r>
    </w:p>
    <w:tbl>
      <w:tblPr>
        <w:tblStyle w:val="15"/>
        <w:tblW w:w="516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89"/>
        <w:gridCol w:w="5815"/>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52" w:type="pct"/>
            <w:tcBorders>
              <w:bottom w:val="single" w:color="auto" w:sz="4" w:space="0"/>
            </w:tcBorders>
            <w:noWrap w:val="0"/>
            <w:vAlign w:val="center"/>
          </w:tcPr>
          <w:p>
            <w:pPr>
              <w:shd w:val="clear"/>
              <w:spacing w:line="500" w:lineRule="exact"/>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序号</w:t>
            </w:r>
          </w:p>
        </w:tc>
        <w:tc>
          <w:tcPr>
            <w:tcW w:w="4172" w:type="pct"/>
            <w:gridSpan w:val="2"/>
            <w:tcBorders>
              <w:bottom w:val="single" w:color="auto" w:sz="4" w:space="0"/>
            </w:tcBorders>
            <w:noWrap w:val="0"/>
            <w:vAlign w:val="center"/>
          </w:tcPr>
          <w:p>
            <w:pPr>
              <w:shd w:val="clear"/>
              <w:spacing w:line="500" w:lineRule="exact"/>
              <w:jc w:val="center"/>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评分内容</w:t>
            </w:r>
          </w:p>
        </w:tc>
        <w:tc>
          <w:tcPr>
            <w:tcW w:w="474" w:type="pct"/>
            <w:tcBorders>
              <w:bottom w:val="single" w:color="auto" w:sz="4" w:space="0"/>
            </w:tcBorders>
            <w:noWrap w:val="0"/>
            <w:vAlign w:val="center"/>
          </w:tcPr>
          <w:p>
            <w:pPr>
              <w:shd w:val="clear"/>
              <w:spacing w:line="500" w:lineRule="exact"/>
              <w:rPr>
                <w:rFonts w:hint="eastAsia" w:ascii="Times New Roman" w:hAnsi="Times New Roman" w:eastAsia="仿宋" w:cs="Times New Roman"/>
                <w:sz w:val="24"/>
              </w:rPr>
            </w:pPr>
            <w:r>
              <w:rPr>
                <w:rFonts w:hint="eastAsia" w:ascii="Times New Roman" w:hAnsi="Times New Roman" w:eastAsia="仿宋" w:cs="Times New Roman"/>
                <w:sz w:val="24"/>
              </w:rPr>
              <w:t>最高</w:t>
            </w:r>
          </w:p>
          <w:p>
            <w:pPr>
              <w:shd w:val="clear"/>
              <w:spacing w:line="500" w:lineRule="exact"/>
              <w:rPr>
                <w:rFonts w:hint="eastAsia" w:ascii="Times New Roman" w:hAnsi="Times New Roman" w:eastAsia="仿宋" w:cs="Times New Roman"/>
                <w:sz w:val="24"/>
              </w:rPr>
            </w:pPr>
            <w:r>
              <w:rPr>
                <w:rFonts w:hint="eastAsia" w:ascii="Times New Roman" w:hAnsi="Times New Roman" w:eastAsia="仿宋" w:cs="Times New Roman"/>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352" w:type="pct"/>
            <w:noWrap w:val="0"/>
            <w:vAlign w:val="center"/>
          </w:tcPr>
          <w:p>
            <w:pPr>
              <w:shd w:val="clear"/>
              <w:spacing w:line="500" w:lineRule="exact"/>
              <w:rPr>
                <w:rFonts w:hint="eastAsia" w:ascii="Times New Roman" w:hAnsi="Times New Roman" w:eastAsia="仿宋" w:cs="Times New Roman"/>
                <w:sz w:val="24"/>
                <w:highlight w:val="none"/>
                <w:lang w:eastAsia="zh-CN"/>
              </w:rPr>
            </w:pPr>
            <w:r>
              <w:rPr>
                <w:rFonts w:hint="eastAsia" w:ascii="Times New Roman" w:hAnsi="Times New Roman" w:eastAsia="仿宋" w:cs="Times New Roman"/>
                <w:sz w:val="24"/>
                <w:highlight w:val="none"/>
                <w:lang w:val="en-US" w:eastAsia="zh-CN"/>
              </w:rPr>
              <w:t>1</w:t>
            </w:r>
          </w:p>
        </w:tc>
        <w:tc>
          <w:tcPr>
            <w:tcW w:w="1063" w:type="pct"/>
            <w:noWrap w:val="0"/>
            <w:vAlign w:val="center"/>
          </w:tcPr>
          <w:p>
            <w:pPr>
              <w:shd w:val="clear"/>
              <w:spacing w:line="240" w:lineRule="auto"/>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服务方案</w:t>
            </w:r>
          </w:p>
        </w:tc>
        <w:tc>
          <w:tcPr>
            <w:tcW w:w="3109" w:type="pct"/>
            <w:noWrap w:val="0"/>
            <w:vAlign w:val="center"/>
          </w:tcPr>
          <w:p>
            <w:pPr>
              <w:shd w:val="clear"/>
              <w:spacing w:line="240" w:lineRule="auto"/>
              <w:rPr>
                <w:rFonts w:hint="eastAsia" w:ascii="Times New Roman" w:hAnsi="Times New Roman" w:eastAsia="宋体" w:cs="Times New Roman"/>
                <w:sz w:val="24"/>
                <w:highlight w:val="none"/>
                <w:lang w:val="en-US" w:eastAsia="zh-CN"/>
              </w:rPr>
            </w:pPr>
            <w:r>
              <w:rPr>
                <w:rFonts w:hint="eastAsia" w:ascii="Times New Roman" w:hAnsi="Times New Roman" w:eastAsia="仿宋" w:cs="Times New Roman"/>
                <w:sz w:val="24"/>
                <w:highlight w:val="none"/>
              </w:rPr>
              <w:t>服务方案</w:t>
            </w:r>
            <w:r>
              <w:rPr>
                <w:rFonts w:hint="eastAsia" w:eastAsia="仿宋" w:cs="Times New Roman"/>
                <w:sz w:val="24"/>
                <w:highlight w:val="none"/>
                <w:lang w:val="en-US" w:eastAsia="zh-CN"/>
              </w:rPr>
              <w:t>从</w:t>
            </w:r>
            <w:r>
              <w:rPr>
                <w:rFonts w:hint="eastAsia" w:ascii="Times New Roman" w:hAnsi="Times New Roman" w:eastAsia="仿宋" w:cs="Times New Roman"/>
                <w:sz w:val="24"/>
                <w:highlight w:val="none"/>
              </w:rPr>
              <w:t>运行管理模式</w:t>
            </w:r>
            <w:r>
              <w:rPr>
                <w:rFonts w:hint="eastAsia" w:eastAsia="仿宋" w:cs="Times New Roman"/>
                <w:sz w:val="24"/>
                <w:highlight w:val="none"/>
                <w:lang w:eastAsia="zh-CN"/>
              </w:rPr>
              <w:t>、</w:t>
            </w:r>
            <w:r>
              <w:rPr>
                <w:rFonts w:hint="eastAsia" w:eastAsia="仿宋" w:cs="Times New Roman"/>
                <w:sz w:val="24"/>
                <w:highlight w:val="none"/>
                <w:lang w:val="en-US" w:eastAsia="zh-CN"/>
              </w:rPr>
              <w:t>实施方案以及</w:t>
            </w:r>
            <w:r>
              <w:rPr>
                <w:rFonts w:hint="eastAsia" w:ascii="仿宋" w:hAnsi="仿宋" w:eastAsia="仿宋" w:cs="仿宋"/>
                <w:color w:val="000000"/>
                <w:kern w:val="0"/>
                <w:sz w:val="24"/>
                <w:szCs w:val="24"/>
                <w:highlight w:val="none"/>
                <w:lang w:val="en-US" w:eastAsia="zh-CN" w:bidi="ar"/>
              </w:rPr>
              <w:t>养护移交平</w:t>
            </w:r>
            <w:r>
              <w:rPr>
                <w:rFonts w:hint="eastAsia" w:ascii="Times New Roman" w:hAnsi="Times New Roman" w:eastAsia="仿宋" w:cs="Times New Roman"/>
                <w:sz w:val="24"/>
                <w:highlight w:val="none"/>
                <w:lang w:val="en-US" w:eastAsia="zh-CN"/>
              </w:rPr>
              <w:t>稳过渡等方面入手，</w:t>
            </w:r>
            <w:r>
              <w:rPr>
                <w:rFonts w:hint="eastAsia" w:ascii="Times New Roman" w:hAnsi="Times New Roman" w:eastAsia="仿宋" w:cs="Times New Roman"/>
                <w:sz w:val="24"/>
                <w:highlight w:val="none"/>
              </w:rPr>
              <w:t>方案合理、详细的</w:t>
            </w:r>
            <w:r>
              <w:rPr>
                <w:rFonts w:hint="eastAsia" w:ascii="Times New Roman" w:hAnsi="Times New Roman" w:eastAsia="仿宋" w:cs="Times New Roman"/>
                <w:sz w:val="24"/>
                <w:highlight w:val="none"/>
                <w:lang w:val="en-US" w:eastAsia="zh-CN"/>
              </w:rPr>
              <w:t>得</w:t>
            </w:r>
            <w:r>
              <w:rPr>
                <w:rFonts w:hint="eastAsia" w:eastAsia="仿宋" w:cs="Times New Roman"/>
                <w:sz w:val="24"/>
                <w:highlight w:val="none"/>
                <w:lang w:val="en-US" w:eastAsia="zh-CN"/>
              </w:rPr>
              <w:t>10</w:t>
            </w:r>
            <w:r>
              <w:rPr>
                <w:rFonts w:hint="eastAsia" w:ascii="Times New Roman" w:hAnsi="Times New Roman" w:eastAsia="仿宋" w:cs="Times New Roman"/>
                <w:sz w:val="24"/>
                <w:highlight w:val="none"/>
                <w:lang w:val="en-US" w:eastAsia="zh-CN"/>
              </w:rPr>
              <w:t>分；</w:t>
            </w:r>
            <w:r>
              <w:rPr>
                <w:rFonts w:hint="eastAsia" w:ascii="Times New Roman" w:hAnsi="Times New Roman" w:eastAsia="仿宋" w:cs="Times New Roman"/>
                <w:sz w:val="24"/>
                <w:highlight w:val="none"/>
              </w:rPr>
              <w:t>方案欠缺或不完整的每项扣</w:t>
            </w:r>
            <w:r>
              <w:rPr>
                <w:rFonts w:hint="eastAsia" w:eastAsia="仿宋" w:cs="Times New Roman"/>
                <w:sz w:val="24"/>
                <w:highlight w:val="none"/>
                <w:lang w:val="en-US" w:eastAsia="zh-CN"/>
              </w:rPr>
              <w:t>2</w:t>
            </w:r>
            <w:r>
              <w:rPr>
                <w:rFonts w:hint="eastAsia" w:ascii="Times New Roman" w:hAnsi="Times New Roman" w:eastAsia="仿宋" w:cs="Times New Roman"/>
                <w:sz w:val="24"/>
                <w:highlight w:val="none"/>
              </w:rPr>
              <w:t>分，扣完为止</w:t>
            </w:r>
            <w:r>
              <w:rPr>
                <w:rFonts w:hint="eastAsia" w:ascii="Times New Roman" w:hAnsi="Times New Roman" w:eastAsia="仿宋" w:cs="Times New Roman"/>
                <w:sz w:val="24"/>
                <w:highlight w:val="none"/>
                <w:lang w:val="en-US" w:eastAsia="zh-CN"/>
              </w:rPr>
              <w:t>.</w:t>
            </w:r>
          </w:p>
        </w:tc>
        <w:tc>
          <w:tcPr>
            <w:tcW w:w="474" w:type="pct"/>
            <w:noWrap w:val="0"/>
            <w:vAlign w:val="center"/>
          </w:tcPr>
          <w:p>
            <w:pPr>
              <w:shd w:val="clear"/>
              <w:spacing w:line="500" w:lineRule="exact"/>
              <w:rPr>
                <w:rFonts w:hint="eastAsia" w:ascii="Times New Roman" w:hAnsi="Times New Roman" w:eastAsia="仿宋" w:cs="Times New Roman"/>
                <w:sz w:val="24"/>
              </w:rPr>
            </w:pPr>
            <w:r>
              <w:rPr>
                <w:rFonts w:hint="eastAsia" w:eastAsia="仿宋" w:cs="Times New Roman"/>
                <w:sz w:val="24"/>
                <w:lang w:val="en-US" w:eastAsia="zh-CN"/>
              </w:rPr>
              <w:t>10</w:t>
            </w:r>
            <w:r>
              <w:rPr>
                <w:rFonts w:hint="eastAsia" w:ascii="Times New Roman" w:hAnsi="Times New Roman" w:eastAsia="仿宋"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352" w:type="pct"/>
            <w:noWrap w:val="0"/>
            <w:vAlign w:val="center"/>
          </w:tcPr>
          <w:p>
            <w:pPr>
              <w:shd w:val="clear"/>
              <w:spacing w:line="500" w:lineRule="exact"/>
              <w:rPr>
                <w:rFonts w:hint="eastAsia" w:ascii="Times New Roman" w:hAnsi="Times New Roman" w:eastAsia="仿宋" w:cs="Times New Roman"/>
                <w:sz w:val="24"/>
                <w:highlight w:val="none"/>
                <w:lang w:eastAsia="zh-CN"/>
              </w:rPr>
            </w:pPr>
            <w:r>
              <w:rPr>
                <w:rFonts w:hint="eastAsia" w:eastAsia="仿宋" w:cs="Times New Roman"/>
                <w:sz w:val="24"/>
                <w:highlight w:val="none"/>
                <w:lang w:val="en-US" w:eastAsia="zh-CN"/>
              </w:rPr>
              <w:t>2</w:t>
            </w:r>
          </w:p>
        </w:tc>
        <w:tc>
          <w:tcPr>
            <w:tcW w:w="1063" w:type="pct"/>
            <w:noWrap w:val="0"/>
            <w:vAlign w:val="center"/>
          </w:tcPr>
          <w:p>
            <w:pPr>
              <w:shd w:val="clear"/>
              <w:spacing w:line="240" w:lineRule="auto"/>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重点难点分析</w:t>
            </w:r>
          </w:p>
        </w:tc>
        <w:tc>
          <w:tcPr>
            <w:tcW w:w="3109" w:type="pct"/>
            <w:noWrap w:val="0"/>
            <w:vAlign w:val="center"/>
          </w:tcPr>
          <w:p>
            <w:pPr>
              <w:shd w:val="clear"/>
              <w:spacing w:line="240" w:lineRule="auto"/>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项目重点、难点的分析和解决方案精确、全面，解决方案具有针对性和可操作性的得</w:t>
            </w:r>
            <w:r>
              <w:rPr>
                <w:rFonts w:hint="eastAsia" w:eastAsia="仿宋" w:cs="Times New Roman"/>
                <w:sz w:val="24"/>
                <w:highlight w:val="none"/>
                <w:lang w:val="en-US" w:eastAsia="zh-CN"/>
              </w:rPr>
              <w:t>4</w:t>
            </w:r>
            <w:r>
              <w:rPr>
                <w:rFonts w:hint="eastAsia" w:ascii="Times New Roman" w:hAnsi="Times New Roman" w:eastAsia="仿宋" w:cs="Times New Roman"/>
                <w:sz w:val="24"/>
                <w:highlight w:val="none"/>
              </w:rPr>
              <w:t>分；重点难点分析基本合理但欠缺的得</w:t>
            </w:r>
            <w:r>
              <w:rPr>
                <w:rFonts w:hint="eastAsia" w:eastAsia="仿宋" w:cs="Times New Roman"/>
                <w:sz w:val="24"/>
                <w:highlight w:val="none"/>
                <w:lang w:val="en-US" w:eastAsia="zh-CN"/>
              </w:rPr>
              <w:t>2-3</w:t>
            </w:r>
            <w:r>
              <w:rPr>
                <w:rFonts w:hint="eastAsia" w:ascii="Times New Roman" w:hAnsi="Times New Roman" w:eastAsia="仿宋" w:cs="Times New Roman"/>
                <w:sz w:val="24"/>
                <w:highlight w:val="none"/>
              </w:rPr>
              <w:t>分；重点难点分析存在明显缺陷的，得0-</w:t>
            </w:r>
            <w:r>
              <w:rPr>
                <w:rFonts w:hint="eastAsia" w:eastAsia="仿宋" w:cs="Times New Roman"/>
                <w:sz w:val="24"/>
                <w:highlight w:val="none"/>
                <w:lang w:val="en-US" w:eastAsia="zh-CN"/>
              </w:rPr>
              <w:t>1</w:t>
            </w:r>
            <w:r>
              <w:rPr>
                <w:rFonts w:hint="eastAsia" w:ascii="Times New Roman" w:hAnsi="Times New Roman" w:eastAsia="仿宋" w:cs="Times New Roman"/>
                <w:sz w:val="24"/>
                <w:highlight w:val="none"/>
              </w:rPr>
              <w:t>分。</w:t>
            </w:r>
          </w:p>
        </w:tc>
        <w:tc>
          <w:tcPr>
            <w:tcW w:w="474" w:type="pct"/>
            <w:noWrap w:val="0"/>
            <w:vAlign w:val="center"/>
          </w:tcPr>
          <w:p>
            <w:pPr>
              <w:shd w:val="clear"/>
              <w:spacing w:line="500" w:lineRule="exact"/>
              <w:rPr>
                <w:rFonts w:hint="eastAsia" w:ascii="Times New Roman" w:hAnsi="Times New Roman" w:eastAsia="仿宋" w:cs="Times New Roman"/>
                <w:sz w:val="24"/>
              </w:rPr>
            </w:pPr>
            <w:r>
              <w:rPr>
                <w:rFonts w:hint="eastAsia" w:eastAsia="仿宋" w:cs="Times New Roman"/>
                <w:sz w:val="24"/>
                <w:lang w:val="en-US" w:eastAsia="zh-CN"/>
              </w:rPr>
              <w:t>4</w:t>
            </w:r>
            <w:r>
              <w:rPr>
                <w:rFonts w:hint="eastAsia" w:ascii="Times New Roman" w:hAnsi="Times New Roman" w:eastAsia="仿宋"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352" w:type="pct"/>
            <w:noWrap w:val="0"/>
            <w:vAlign w:val="center"/>
          </w:tcPr>
          <w:p>
            <w:pPr>
              <w:shd w:val="clear"/>
              <w:spacing w:line="500" w:lineRule="exact"/>
              <w:rPr>
                <w:rFonts w:hint="eastAsia" w:ascii="Times New Roman" w:hAnsi="Times New Roman" w:eastAsia="仿宋" w:cs="Times New Roman"/>
                <w:sz w:val="24"/>
                <w:highlight w:val="none"/>
                <w:lang w:eastAsia="zh-CN"/>
              </w:rPr>
            </w:pPr>
            <w:r>
              <w:rPr>
                <w:rFonts w:hint="eastAsia" w:eastAsia="仿宋" w:cs="Times New Roman"/>
                <w:sz w:val="24"/>
                <w:highlight w:val="none"/>
                <w:lang w:val="en-US" w:eastAsia="zh-CN"/>
              </w:rPr>
              <w:t>3</w:t>
            </w:r>
          </w:p>
        </w:tc>
        <w:tc>
          <w:tcPr>
            <w:tcW w:w="1063" w:type="pct"/>
            <w:noWrap w:val="0"/>
            <w:vAlign w:val="center"/>
          </w:tcPr>
          <w:p>
            <w:pPr>
              <w:shd w:val="clear"/>
              <w:spacing w:line="240" w:lineRule="auto"/>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拟投入本项目人员</w:t>
            </w:r>
          </w:p>
        </w:tc>
        <w:tc>
          <w:tcPr>
            <w:tcW w:w="3109" w:type="pct"/>
            <w:noWrap w:val="0"/>
            <w:vAlign w:val="top"/>
          </w:tcPr>
          <w:p>
            <w:pPr>
              <w:shd w:val="clear"/>
              <w:spacing w:line="240" w:lineRule="auto"/>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技术力量和人力资源安排充足得</w:t>
            </w:r>
            <w:r>
              <w:rPr>
                <w:rFonts w:hint="eastAsia" w:eastAsia="仿宋" w:cs="Times New Roman"/>
                <w:sz w:val="24"/>
                <w:highlight w:val="none"/>
                <w:lang w:val="en-US" w:eastAsia="zh-CN"/>
              </w:rPr>
              <w:t>2</w:t>
            </w:r>
            <w:r>
              <w:rPr>
                <w:rFonts w:hint="eastAsia" w:ascii="Times New Roman" w:hAnsi="Times New Roman" w:eastAsia="仿宋" w:cs="Times New Roman"/>
                <w:sz w:val="24"/>
                <w:highlight w:val="none"/>
              </w:rPr>
              <w:t>分，技术力量欠缺扣</w:t>
            </w:r>
            <w:r>
              <w:rPr>
                <w:rFonts w:hint="eastAsia" w:eastAsia="仿宋" w:cs="Times New Roman"/>
                <w:sz w:val="24"/>
                <w:highlight w:val="none"/>
                <w:lang w:val="en-US" w:eastAsia="zh-CN"/>
              </w:rPr>
              <w:t>1</w:t>
            </w:r>
            <w:r>
              <w:rPr>
                <w:rFonts w:hint="eastAsia" w:ascii="Times New Roman" w:hAnsi="Times New Roman" w:eastAsia="仿宋" w:cs="Times New Roman"/>
                <w:sz w:val="24"/>
                <w:highlight w:val="none"/>
              </w:rPr>
              <w:t>分,人力资源安排不足扣</w:t>
            </w:r>
            <w:r>
              <w:rPr>
                <w:rFonts w:hint="eastAsia" w:eastAsia="仿宋" w:cs="Times New Roman"/>
                <w:sz w:val="24"/>
                <w:highlight w:val="none"/>
                <w:lang w:val="en-US" w:eastAsia="zh-CN"/>
              </w:rPr>
              <w:t>1</w:t>
            </w:r>
            <w:r>
              <w:rPr>
                <w:rFonts w:hint="eastAsia" w:ascii="Times New Roman" w:hAnsi="Times New Roman" w:eastAsia="仿宋" w:cs="Times New Roman"/>
                <w:sz w:val="24"/>
                <w:highlight w:val="none"/>
              </w:rPr>
              <w:t>分。</w:t>
            </w:r>
          </w:p>
        </w:tc>
        <w:tc>
          <w:tcPr>
            <w:tcW w:w="474" w:type="pct"/>
            <w:noWrap w:val="0"/>
            <w:vAlign w:val="center"/>
          </w:tcPr>
          <w:p>
            <w:pPr>
              <w:shd w:val="clear"/>
              <w:spacing w:line="500" w:lineRule="exact"/>
              <w:rPr>
                <w:rFonts w:hint="eastAsia" w:ascii="Times New Roman" w:hAnsi="Times New Roman" w:eastAsia="仿宋" w:cs="Times New Roman"/>
                <w:sz w:val="24"/>
              </w:rPr>
            </w:pPr>
            <w:r>
              <w:rPr>
                <w:rFonts w:hint="eastAsia" w:eastAsia="仿宋" w:cs="Times New Roman"/>
                <w:sz w:val="24"/>
                <w:lang w:val="en-US" w:eastAsia="zh-CN"/>
              </w:rPr>
              <w:t>4</w:t>
            </w:r>
            <w:r>
              <w:rPr>
                <w:rFonts w:hint="eastAsia" w:ascii="Times New Roman" w:hAnsi="Times New Roman" w:eastAsia="仿宋"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352" w:type="pct"/>
            <w:noWrap w:val="0"/>
            <w:vAlign w:val="center"/>
          </w:tcPr>
          <w:p>
            <w:pPr>
              <w:shd w:val="clear"/>
              <w:spacing w:line="500" w:lineRule="exact"/>
              <w:rPr>
                <w:rFonts w:hint="default" w:ascii="Times New Roman" w:hAnsi="Times New Roman" w:eastAsia="仿宋" w:cs="Times New Roman"/>
                <w:sz w:val="24"/>
                <w:highlight w:val="none"/>
                <w:lang w:val="en-US" w:eastAsia="zh-CN"/>
              </w:rPr>
            </w:pPr>
            <w:r>
              <w:rPr>
                <w:rFonts w:hint="eastAsia" w:eastAsia="仿宋" w:cs="Times New Roman"/>
                <w:sz w:val="24"/>
                <w:highlight w:val="none"/>
                <w:lang w:val="en-US" w:eastAsia="zh-CN"/>
              </w:rPr>
              <w:t>4</w:t>
            </w:r>
          </w:p>
        </w:tc>
        <w:tc>
          <w:tcPr>
            <w:tcW w:w="1063" w:type="pct"/>
            <w:noWrap w:val="0"/>
            <w:vAlign w:val="center"/>
          </w:tcPr>
          <w:p>
            <w:pPr>
              <w:shd w:val="clear"/>
              <w:spacing w:line="240" w:lineRule="auto"/>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对本项目有效的改进措施和合理化建议</w:t>
            </w:r>
          </w:p>
        </w:tc>
        <w:tc>
          <w:tcPr>
            <w:tcW w:w="3109" w:type="pct"/>
            <w:noWrap w:val="0"/>
            <w:vAlign w:val="center"/>
          </w:tcPr>
          <w:p>
            <w:pPr>
              <w:shd w:val="clear"/>
              <w:spacing w:line="240" w:lineRule="auto"/>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有效建议和措施每项得</w:t>
            </w:r>
            <w:r>
              <w:rPr>
                <w:rFonts w:hint="eastAsia" w:eastAsia="仿宋" w:cs="Times New Roman"/>
                <w:sz w:val="24"/>
                <w:highlight w:val="none"/>
                <w:lang w:val="en-US" w:eastAsia="zh-CN"/>
              </w:rPr>
              <w:t>1</w:t>
            </w:r>
            <w:r>
              <w:rPr>
                <w:rFonts w:hint="eastAsia" w:ascii="Times New Roman" w:hAnsi="Times New Roman" w:eastAsia="仿宋" w:cs="Times New Roman"/>
                <w:sz w:val="24"/>
                <w:highlight w:val="none"/>
              </w:rPr>
              <w:t>分，最高得</w:t>
            </w:r>
            <w:r>
              <w:rPr>
                <w:rFonts w:hint="eastAsia" w:eastAsia="仿宋" w:cs="Times New Roman"/>
                <w:sz w:val="24"/>
                <w:highlight w:val="none"/>
                <w:lang w:val="en-US" w:eastAsia="zh-CN"/>
              </w:rPr>
              <w:t>2</w:t>
            </w:r>
            <w:r>
              <w:rPr>
                <w:rFonts w:hint="eastAsia" w:ascii="Times New Roman" w:hAnsi="Times New Roman" w:eastAsia="仿宋" w:cs="Times New Roman"/>
                <w:sz w:val="24"/>
                <w:highlight w:val="none"/>
              </w:rPr>
              <w:t>分</w:t>
            </w:r>
          </w:p>
        </w:tc>
        <w:tc>
          <w:tcPr>
            <w:tcW w:w="474" w:type="pct"/>
            <w:noWrap w:val="0"/>
            <w:vAlign w:val="center"/>
          </w:tcPr>
          <w:p>
            <w:pPr>
              <w:shd w:val="clear"/>
              <w:spacing w:line="500" w:lineRule="exact"/>
              <w:rPr>
                <w:rFonts w:hint="eastAsia" w:ascii="Times New Roman" w:hAnsi="Times New Roman" w:eastAsia="仿宋" w:cs="Times New Roman"/>
                <w:sz w:val="24"/>
              </w:rPr>
            </w:pPr>
            <w:r>
              <w:rPr>
                <w:rFonts w:hint="eastAsia" w:eastAsia="仿宋" w:cs="Times New Roman"/>
                <w:sz w:val="24"/>
                <w:lang w:val="en-US" w:eastAsia="zh-CN"/>
              </w:rPr>
              <w:t>2</w:t>
            </w:r>
            <w:r>
              <w:rPr>
                <w:rFonts w:hint="eastAsia" w:ascii="Times New Roman" w:hAnsi="Times New Roman" w:eastAsia="仿宋"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noWrap w:val="0"/>
            <w:vAlign w:val="center"/>
          </w:tcPr>
          <w:p>
            <w:pPr>
              <w:shd w:val="clear"/>
              <w:spacing w:line="500" w:lineRule="exact"/>
              <w:rPr>
                <w:rFonts w:hint="eastAsia" w:ascii="Times New Roman" w:hAnsi="Times New Roman" w:eastAsia="仿宋" w:cs="Times New Roman"/>
                <w:sz w:val="24"/>
                <w:highlight w:val="none"/>
                <w:lang w:eastAsia="zh-CN"/>
              </w:rPr>
            </w:pPr>
            <w:r>
              <w:rPr>
                <w:rFonts w:hint="eastAsia" w:eastAsia="仿宋" w:cs="Times New Roman"/>
                <w:sz w:val="24"/>
                <w:highlight w:val="none"/>
                <w:lang w:val="en-US" w:eastAsia="zh-CN"/>
              </w:rPr>
              <w:t>5</w:t>
            </w:r>
          </w:p>
        </w:tc>
        <w:tc>
          <w:tcPr>
            <w:tcW w:w="1063" w:type="pct"/>
            <w:noWrap w:val="0"/>
            <w:vAlign w:val="center"/>
          </w:tcPr>
          <w:p>
            <w:pPr>
              <w:shd w:val="clear"/>
              <w:spacing w:line="500" w:lineRule="exact"/>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服务保障</w:t>
            </w:r>
          </w:p>
        </w:tc>
        <w:tc>
          <w:tcPr>
            <w:tcW w:w="3109" w:type="pct"/>
            <w:noWrap w:val="0"/>
            <w:vAlign w:val="top"/>
          </w:tcPr>
          <w:p>
            <w:pPr>
              <w:keepNext w:val="0"/>
              <w:keepLines w:val="0"/>
              <w:widowControl/>
              <w:suppressLineNumbers w:val="0"/>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服务</w:t>
            </w:r>
            <w:r>
              <w:rPr>
                <w:rFonts w:hint="eastAsia" w:ascii="仿宋" w:hAnsi="仿宋" w:eastAsia="仿宋" w:cs="仿宋"/>
                <w:sz w:val="24"/>
                <w:szCs w:val="24"/>
                <w:highlight w:val="none"/>
                <w:lang w:val="en-US" w:eastAsia="zh-CN"/>
              </w:rPr>
              <w:t>保障</w:t>
            </w:r>
            <w:r>
              <w:rPr>
                <w:rFonts w:hint="eastAsia" w:ascii="仿宋" w:hAnsi="仿宋" w:eastAsia="仿宋" w:cs="仿宋"/>
                <w:sz w:val="24"/>
                <w:szCs w:val="24"/>
                <w:highlight w:val="none"/>
              </w:rPr>
              <w:t>方案和承诺以及人员到位时间承诺完整、可行，落实保障措施和其他承诺等全面周到的得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rPr>
              <w:t>分，服务方案不全面，落实保障措施和其他承诺欠缺的得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分，除招标文件规定内容外无其他服务承诺的，该项不得分；</w:t>
            </w:r>
          </w:p>
          <w:p>
            <w:pPr>
              <w:keepNext w:val="0"/>
              <w:keepLines w:val="0"/>
              <w:widowControl/>
              <w:suppressLineNumbers w:val="0"/>
              <w:shd w:val="clear"/>
              <w:jc w:val="left"/>
              <w:rPr>
                <w:rFonts w:hint="eastAsia" w:ascii="Times New Roman" w:hAnsi="Times New Roman" w:eastAsia="仿宋" w:cs="Times New Roman"/>
                <w:sz w:val="24"/>
                <w:highlight w:val="none"/>
              </w:rPr>
            </w:pPr>
            <w:r>
              <w:rPr>
                <w:rFonts w:hint="eastAsia" w:ascii="仿宋" w:hAnsi="仿宋" w:eastAsia="仿宋" w:cs="仿宋"/>
                <w:sz w:val="24"/>
                <w:szCs w:val="24"/>
                <w:highlight w:val="none"/>
              </w:rPr>
              <w:t>2.应急响应时间：在接到招标人通知（电话、电传等）后2小时内现场响应并开展工作的得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c>
          <w:tcPr>
            <w:tcW w:w="474" w:type="pct"/>
            <w:noWrap w:val="0"/>
            <w:vAlign w:val="center"/>
          </w:tcPr>
          <w:p>
            <w:pPr>
              <w:shd w:val="clear"/>
              <w:spacing w:line="500" w:lineRule="exact"/>
              <w:rPr>
                <w:rFonts w:hint="eastAsia" w:ascii="Times New Roman" w:hAnsi="Times New Roman" w:eastAsia="仿宋" w:cs="Times New Roman"/>
                <w:sz w:val="24"/>
              </w:rPr>
            </w:pPr>
            <w:r>
              <w:rPr>
                <w:rFonts w:hint="eastAsia" w:eastAsia="仿宋" w:cs="Times New Roman"/>
                <w:sz w:val="24"/>
                <w:lang w:val="en-US" w:eastAsia="zh-CN"/>
              </w:rPr>
              <w:t>6</w:t>
            </w:r>
            <w:r>
              <w:rPr>
                <w:rFonts w:hint="eastAsia" w:ascii="Times New Roman" w:hAnsi="Times New Roman" w:eastAsia="仿宋"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noWrap w:val="0"/>
            <w:vAlign w:val="center"/>
          </w:tcPr>
          <w:p>
            <w:pPr>
              <w:shd w:val="clear"/>
              <w:spacing w:line="340" w:lineRule="exact"/>
              <w:jc w:val="center"/>
              <w:rPr>
                <w:rFonts w:hint="eastAsia" w:ascii="Times New Roman" w:hAnsi="Times New Roman" w:eastAsia="仿宋" w:cs="Times New Roman"/>
                <w:sz w:val="24"/>
                <w:highlight w:val="none"/>
                <w:lang w:val="en-US" w:eastAsia="zh-CN"/>
              </w:rPr>
            </w:pPr>
            <w:r>
              <w:rPr>
                <w:rFonts w:hint="eastAsia" w:eastAsia="仿宋" w:cs="仿宋_GB2312"/>
                <w:sz w:val="24"/>
                <w:highlight w:val="none"/>
                <w:lang w:val="en-US" w:eastAsia="zh-CN"/>
              </w:rPr>
              <w:t>6</w:t>
            </w:r>
          </w:p>
        </w:tc>
        <w:tc>
          <w:tcPr>
            <w:tcW w:w="1063" w:type="pct"/>
            <w:noWrap w:val="0"/>
            <w:vAlign w:val="center"/>
          </w:tcPr>
          <w:p>
            <w:pPr>
              <w:shd w:val="clear"/>
              <w:spacing w:line="340" w:lineRule="exact"/>
              <w:jc w:val="left"/>
              <w:rPr>
                <w:rFonts w:hint="eastAsia" w:ascii="Times New Roman" w:hAnsi="Times New Roman" w:eastAsia="仿宋" w:cs="Times New Roman"/>
                <w:sz w:val="24"/>
                <w:highlight w:val="none"/>
              </w:rPr>
            </w:pPr>
            <w:r>
              <w:rPr>
                <w:rFonts w:hint="eastAsia" w:ascii="Times New Roman" w:hAnsi="Times New Roman" w:eastAsia="仿宋" w:cs="宋体"/>
                <w:sz w:val="24"/>
                <w:highlight w:val="none"/>
                <w:lang w:eastAsia="zh-CN"/>
              </w:rPr>
              <w:t>企业业绩</w:t>
            </w:r>
          </w:p>
        </w:tc>
        <w:tc>
          <w:tcPr>
            <w:tcW w:w="3109" w:type="pct"/>
            <w:noWrap w:val="0"/>
            <w:vAlign w:val="center"/>
          </w:tcPr>
          <w:p>
            <w:pPr>
              <w:keepNext w:val="0"/>
              <w:keepLines w:val="0"/>
              <w:widowControl/>
              <w:suppressLineNumbers w:val="0"/>
              <w:shd w:val="clear"/>
              <w:jc w:val="left"/>
              <w:rPr>
                <w:highlight w:val="none"/>
              </w:rPr>
            </w:pPr>
            <w:r>
              <w:rPr>
                <w:rFonts w:ascii="仿宋" w:hAnsi="仿宋" w:eastAsia="仿宋" w:cs="仿宋"/>
                <w:color w:val="000000"/>
                <w:kern w:val="0"/>
                <w:sz w:val="24"/>
                <w:szCs w:val="24"/>
                <w:highlight w:val="none"/>
                <w:lang w:val="en-US" w:eastAsia="zh-CN" w:bidi="ar"/>
              </w:rPr>
              <w:t>投标单位自 20</w:t>
            </w:r>
            <w:r>
              <w:rPr>
                <w:rFonts w:hint="eastAsia" w:ascii="仿宋" w:hAnsi="仿宋" w:eastAsia="仿宋" w:cs="仿宋"/>
                <w:color w:val="000000"/>
                <w:kern w:val="0"/>
                <w:sz w:val="24"/>
                <w:szCs w:val="24"/>
                <w:highlight w:val="none"/>
                <w:lang w:val="en-US" w:eastAsia="zh-CN" w:bidi="ar"/>
              </w:rPr>
              <w:t>21</w:t>
            </w:r>
            <w:r>
              <w:rPr>
                <w:rFonts w:ascii="仿宋" w:hAnsi="仿宋" w:eastAsia="仿宋" w:cs="仿宋"/>
                <w:color w:val="000000"/>
                <w:kern w:val="0"/>
                <w:sz w:val="24"/>
                <w:szCs w:val="24"/>
                <w:highlight w:val="none"/>
                <w:lang w:val="en-US" w:eastAsia="zh-CN" w:bidi="ar"/>
              </w:rPr>
              <w:t xml:space="preserve"> 年 1 月 1 日起（时间以合同签订时期为准）承接</w:t>
            </w:r>
            <w:r>
              <w:rPr>
                <w:rFonts w:hint="eastAsia" w:ascii="仿宋" w:hAnsi="仿宋" w:eastAsia="仿宋" w:cs="仿宋"/>
                <w:color w:val="000000"/>
                <w:kern w:val="0"/>
                <w:sz w:val="24"/>
                <w:szCs w:val="24"/>
                <w:highlight w:val="none"/>
                <w:lang w:val="en-US" w:eastAsia="zh-CN" w:bidi="ar"/>
              </w:rPr>
              <w:t xml:space="preserve">的4万m2面积以上的类似业绩进行评审，每个得3分，本项最高得6分。 </w:t>
            </w:r>
          </w:p>
          <w:p>
            <w:pPr>
              <w:keepNext w:val="0"/>
              <w:keepLines w:val="0"/>
              <w:widowControl/>
              <w:suppressLineNumbers w:val="0"/>
              <w:shd w:val="clear"/>
              <w:jc w:val="left"/>
              <w:rPr>
                <w:rFonts w:hint="eastAsia" w:ascii="Times New Roman" w:hAnsi="Times New Roman" w:eastAsia="仿宋" w:cs="Times New Roman"/>
                <w:sz w:val="24"/>
                <w:highlight w:val="none"/>
                <w:lang w:eastAsia="zh-CN"/>
              </w:rPr>
            </w:pPr>
            <w:r>
              <w:rPr>
                <w:rFonts w:hint="eastAsia" w:ascii="仿宋" w:hAnsi="仿宋" w:eastAsia="仿宋" w:cs="仿宋"/>
                <w:color w:val="000000"/>
                <w:kern w:val="0"/>
                <w:sz w:val="24"/>
                <w:szCs w:val="24"/>
                <w:highlight w:val="none"/>
                <w:lang w:val="en-US" w:eastAsia="zh-CN" w:bidi="ar"/>
              </w:rPr>
              <w:t xml:space="preserve">注：投标人自行承接的需提供合同（复印件或扫描件或影印件）；劳务分包库内班组提供绿化类劳务服务的合同（复印件或扫描件或影印件）及对应人员工资发票并加盖公章，否则评分不予认可；时间以合同签订时间为准。 </w:t>
            </w:r>
          </w:p>
        </w:tc>
        <w:tc>
          <w:tcPr>
            <w:tcW w:w="474" w:type="pct"/>
            <w:noWrap w:val="0"/>
            <w:vAlign w:val="center"/>
          </w:tcPr>
          <w:p>
            <w:pPr>
              <w:shd w:val="clear"/>
              <w:spacing w:line="500" w:lineRule="exact"/>
              <w:rPr>
                <w:rFonts w:hint="default" w:ascii="Times New Roman" w:hAnsi="Times New Roman" w:eastAsia="仿宋" w:cs="Times New Roman"/>
                <w:sz w:val="24"/>
                <w:lang w:val="en-US" w:eastAsia="zh-CN"/>
              </w:rPr>
            </w:pPr>
            <w:r>
              <w:rPr>
                <w:rFonts w:hint="eastAsia" w:eastAsia="仿宋" w:cs="Times New Roman"/>
                <w:sz w:val="24"/>
                <w:lang w:val="en-US" w:eastAsia="zh-CN"/>
              </w:rPr>
              <w:t>6</w:t>
            </w:r>
            <w:r>
              <w:rPr>
                <w:rFonts w:hint="eastAsia" w:ascii="Times New Roman" w:hAnsi="Times New Roman" w:eastAsia="仿宋" w:cs="Times New Roman"/>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noWrap w:val="0"/>
            <w:vAlign w:val="center"/>
          </w:tcPr>
          <w:p>
            <w:pPr>
              <w:shd w:val="clear"/>
              <w:spacing w:line="340" w:lineRule="exact"/>
              <w:jc w:val="center"/>
              <w:rPr>
                <w:rFonts w:hint="eastAsia" w:ascii="Times New Roman" w:hAnsi="Times New Roman" w:eastAsia="仿宋" w:cs="Times New Roman"/>
                <w:sz w:val="24"/>
                <w:highlight w:val="none"/>
                <w:lang w:val="en-US" w:eastAsia="zh-CN"/>
              </w:rPr>
            </w:pPr>
            <w:r>
              <w:rPr>
                <w:rFonts w:hint="eastAsia" w:eastAsia="仿宋" w:cs="仿宋_GB2312"/>
                <w:sz w:val="24"/>
                <w:highlight w:val="none"/>
                <w:lang w:val="en-US" w:eastAsia="zh-CN"/>
              </w:rPr>
              <w:t>7</w:t>
            </w:r>
          </w:p>
        </w:tc>
        <w:tc>
          <w:tcPr>
            <w:tcW w:w="1063" w:type="pct"/>
            <w:noWrap w:val="0"/>
            <w:vAlign w:val="center"/>
          </w:tcPr>
          <w:p>
            <w:pPr>
              <w:shd w:val="clear"/>
              <w:spacing w:line="340" w:lineRule="exact"/>
              <w:jc w:val="left"/>
              <w:rPr>
                <w:rFonts w:hint="eastAsia" w:ascii="Times New Roman" w:hAnsi="Times New Roman" w:eastAsia="仿宋" w:cs="Times New Roman"/>
                <w:sz w:val="24"/>
                <w:highlight w:val="none"/>
              </w:rPr>
            </w:pPr>
            <w:r>
              <w:rPr>
                <w:rFonts w:hint="eastAsia" w:ascii="仿宋" w:hAnsi="仿宋" w:eastAsia="仿宋" w:cs="仿宋"/>
                <w:color w:val="000000"/>
                <w:kern w:val="0"/>
                <w:sz w:val="24"/>
                <w:szCs w:val="24"/>
                <w:highlight w:val="none"/>
                <w:lang w:val="en-US" w:eastAsia="zh-CN" w:bidi="ar"/>
              </w:rPr>
              <w:t>应急保障措施</w:t>
            </w:r>
          </w:p>
        </w:tc>
        <w:tc>
          <w:tcPr>
            <w:tcW w:w="3109" w:type="pct"/>
            <w:noWrap w:val="0"/>
            <w:vAlign w:val="center"/>
          </w:tcPr>
          <w:p>
            <w:pPr>
              <w:keepNext w:val="0"/>
              <w:keepLines w:val="0"/>
              <w:widowControl/>
              <w:suppressLineNumbers w:val="0"/>
              <w:shd w:val="clear"/>
              <w:jc w:val="left"/>
              <w:rPr>
                <w:rFonts w:hint="eastAsia" w:ascii="Times New Roman" w:hAnsi="Times New Roman" w:eastAsia="仿宋" w:cs="Times New Roman"/>
                <w:sz w:val="24"/>
                <w:highlight w:val="none"/>
              </w:rPr>
            </w:pPr>
            <w:r>
              <w:rPr>
                <w:rFonts w:hint="eastAsia" w:ascii="仿宋" w:hAnsi="仿宋" w:eastAsia="仿宋" w:cs="仿宋"/>
                <w:color w:val="000000"/>
                <w:kern w:val="0"/>
                <w:sz w:val="24"/>
                <w:szCs w:val="24"/>
                <w:highlight w:val="none"/>
                <w:lang w:val="en-US" w:eastAsia="zh-CN" w:bidi="ar"/>
              </w:rPr>
              <w:t>根据养护范围应急保障措施（防汛防台、突发事件应急处理及重大活动保障的人员配置、机械配置、应急处置方案，落实专职人员等内容）,方案覆盖全面、科学合理、具有针对性和可操作性强且对本项目有提升作用的得2分；应急处置方案详尽合理且可行的得0-1分；应急处置方案较详尽且基本可行的得2分；应急处置方案有欠缺，且可行性不强的得0-1分；应急处置方案存在明显缺陷的不得分。本项最高得4分。</w:t>
            </w:r>
          </w:p>
        </w:tc>
        <w:tc>
          <w:tcPr>
            <w:tcW w:w="474" w:type="pct"/>
            <w:noWrap w:val="0"/>
            <w:vAlign w:val="center"/>
          </w:tcPr>
          <w:p>
            <w:pPr>
              <w:shd w:val="clear"/>
              <w:spacing w:line="500" w:lineRule="exact"/>
              <w:rPr>
                <w:rFonts w:hint="default" w:ascii="Times New Roman" w:hAnsi="Times New Roman" w:eastAsia="仿宋" w:cs="Times New Roman"/>
                <w:sz w:val="24"/>
                <w:lang w:val="en-US" w:eastAsia="zh-CN"/>
              </w:rPr>
            </w:pPr>
            <w:r>
              <w:rPr>
                <w:rFonts w:hint="eastAsia" w:eastAsia="仿宋" w:cs="Times New Roman"/>
                <w:sz w:val="24"/>
                <w:lang w:val="en-US" w:eastAsia="zh-CN"/>
              </w:rPr>
              <w:t>4</w:t>
            </w:r>
            <w:r>
              <w:rPr>
                <w:rFonts w:hint="eastAsia" w:ascii="Times New Roman" w:hAnsi="Times New Roman" w:eastAsia="仿宋" w:cs="Times New Roman"/>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noWrap w:val="0"/>
            <w:vAlign w:val="center"/>
          </w:tcPr>
          <w:p>
            <w:pPr>
              <w:shd w:val="clear"/>
              <w:spacing w:line="340" w:lineRule="exact"/>
              <w:jc w:val="center"/>
              <w:rPr>
                <w:rFonts w:hint="default" w:eastAsia="仿宋" w:cs="仿宋_GB2312"/>
                <w:sz w:val="24"/>
                <w:highlight w:val="none"/>
                <w:lang w:val="en-US" w:eastAsia="zh-CN"/>
              </w:rPr>
            </w:pPr>
            <w:r>
              <w:rPr>
                <w:rFonts w:hint="eastAsia" w:eastAsia="仿宋" w:cs="仿宋_GB2312"/>
                <w:sz w:val="24"/>
                <w:highlight w:val="none"/>
                <w:lang w:val="en-US" w:eastAsia="zh-CN"/>
              </w:rPr>
              <w:t>8</w:t>
            </w:r>
          </w:p>
        </w:tc>
        <w:tc>
          <w:tcPr>
            <w:tcW w:w="1063" w:type="pct"/>
            <w:noWrap w:val="0"/>
            <w:vAlign w:val="center"/>
          </w:tcPr>
          <w:p>
            <w:pPr>
              <w:shd w:val="clear"/>
              <w:spacing w:line="288"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绿化养护投入使用设备配备</w:t>
            </w:r>
          </w:p>
        </w:tc>
        <w:tc>
          <w:tcPr>
            <w:tcW w:w="3109" w:type="pct"/>
            <w:noWrap w:val="0"/>
            <w:vAlign w:val="center"/>
          </w:tcPr>
          <w:p>
            <w:pPr>
              <w:shd w:val="clear"/>
              <w:spacing w:line="240" w:lineRule="auto"/>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具备绿篱机、割草机、治虫机、水泵的得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每提供一台设备得1分。</w:t>
            </w:r>
          </w:p>
          <w:p>
            <w:pPr>
              <w:shd w:val="clear"/>
              <w:spacing w:line="24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（须提供</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购置机械设备的发票或租赁合同复印件加盖公章）。</w:t>
            </w:r>
          </w:p>
        </w:tc>
        <w:tc>
          <w:tcPr>
            <w:tcW w:w="474" w:type="pct"/>
            <w:noWrap w:val="0"/>
            <w:vAlign w:val="center"/>
          </w:tcPr>
          <w:p>
            <w:pPr>
              <w:shd w:val="clear"/>
              <w:spacing w:line="500" w:lineRule="exact"/>
              <w:rPr>
                <w:rFonts w:hint="default" w:eastAsia="仿宋" w:cs="Times New Roman"/>
                <w:sz w:val="24"/>
                <w:lang w:val="en-US" w:eastAsia="zh-CN"/>
              </w:rPr>
            </w:pPr>
            <w:r>
              <w:rPr>
                <w:rFonts w:hint="eastAsia" w:eastAsia="仿宋" w:cs="Times New Roman"/>
                <w:sz w:val="24"/>
                <w:lang w:val="en-US" w:eastAsia="zh-CN"/>
              </w:rPr>
              <w:t>4分</w:t>
            </w:r>
          </w:p>
        </w:tc>
      </w:tr>
    </w:tbl>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sz w:val="28"/>
          <w:szCs w:val="28"/>
          <w:lang w:val="en-US" w:eastAsia="zh-CN"/>
        </w:rPr>
      </w:pP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4、其他</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1、评标委员会对每个标段的投标人按总分从高到低进行排序，并按照顺序推荐中标候选人，每个标段</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2、每个标段</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sz w:val="28"/>
          <w:szCs w:val="28"/>
          <w:lang w:val="en-US" w:eastAsia="zh-CN"/>
        </w:rPr>
        <w:t>该标段内</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w:t>
      </w:r>
      <w:r>
        <w:rPr>
          <w:rFonts w:hint="eastAsia" w:ascii="仿宋_GB2312" w:hAnsi="仿宋_GB2312" w:eastAsia="仿宋_GB2312" w:cs="仿宋_GB2312"/>
          <w:sz w:val="28"/>
          <w:szCs w:val="28"/>
          <w:lang w:val="en-US" w:eastAsia="zh-CN"/>
        </w:rPr>
        <w:t>该标段内</w:t>
      </w:r>
      <w:r>
        <w:rPr>
          <w:rFonts w:hint="eastAsia" w:ascii="仿宋_GB2312" w:hAnsi="仿宋_GB2312" w:eastAsia="仿宋_GB2312" w:cs="仿宋_GB2312"/>
          <w:sz w:val="28"/>
          <w:szCs w:val="28"/>
        </w:rPr>
        <w:t>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44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附件1：《绿化养护承包合同》</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sz w:val="28"/>
          <w:szCs w:val="28"/>
          <w:highlight w:val="cyan"/>
          <w:lang w:val="en-US" w:eastAsia="zh-CN"/>
        </w:rPr>
      </w:pPr>
      <w:r>
        <w:rPr>
          <w:rFonts w:hint="eastAsia" w:ascii="仿宋_GB2312" w:hAnsi="仿宋_GB2312" w:eastAsia="仿宋_GB2312" w:cs="仿宋_GB2312"/>
          <w:color w:val="auto"/>
          <w:sz w:val="28"/>
          <w:szCs w:val="28"/>
          <w:highlight w:val="cyan"/>
          <w:lang w:val="en-US" w:eastAsia="zh-CN"/>
        </w:rPr>
        <w:t>附件2：湖州南浔城投城市建设集团有限公司绿化养护项目汇总表</w:t>
      </w:r>
    </w:p>
    <w:tbl>
      <w:tblPr>
        <w:tblStyle w:val="15"/>
        <w:tblW w:w="10315"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75"/>
        <w:gridCol w:w="1335"/>
        <w:gridCol w:w="1500"/>
        <w:gridCol w:w="1300"/>
        <w:gridCol w:w="889"/>
        <w:gridCol w:w="1237"/>
        <w:gridCol w:w="1380"/>
        <w:gridCol w:w="76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所属区域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业主单位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养护标段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起止范围</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面积（m2）</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对上开始</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对上结束</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c>
          <w:tcPr>
            <w:tcW w:w="7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标段划分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双林镇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湖州双林建设发展有限公司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三新线双林段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北起环城南路岔口-南至莫蓉高架桥</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73178.33</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2024-7-15</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双林镇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湖州双林建设发展有限公司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双林镇墙莫线（花城-姚家坝）</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西起墙莫线姚家坝村村委-东至莫蓉高架桥转盘处</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120250.9</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2024-8-28</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continue"/>
            <w:tcBorders>
              <w:top w:val="single" w:color="000000" w:sz="4" w:space="0"/>
              <w:left w:val="nil"/>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双林镇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湖州双林建设发展有限公司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双林镇三新线（士林桥-铁镜桥）</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北起三新线士林桥-南至三新线铁镜桥</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11688.55</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2024-10-29</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continue"/>
            <w:tcBorders>
              <w:top w:val="single" w:color="000000" w:sz="4" w:space="0"/>
              <w:left w:val="nil"/>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和孚镇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湖州南浔临湖建设集团有限公司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和菱线和孚段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北起和菱线和孚大桥南侧-南至和菱线杨梅树桥</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94445.02</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2024-7-15</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和孚镇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湖州南浔临湖建设集团有限公司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和孚镇陈塔荻港公路驿站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陈塔荻港公路驿站</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6880.1</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2024-8-1</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continue"/>
            <w:tcBorders>
              <w:top w:val="single" w:color="000000" w:sz="4" w:space="0"/>
              <w:left w:val="nil"/>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千金镇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湖州千金瑞兴建设开发有限公司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菱新线千金段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北起菱新线笔筒牌楼处-南至洋溪大桥</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145940.74</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2024-7-15</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千金镇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湖州千金瑞兴建设开发有限公司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千金樱花重点段、菱新公路一标三个节点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樱花重点段：菱新线华统股份有限公司处</w:t>
            </w:r>
          </w:p>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一标三节点：菱新线路两侧风车、荷花池、凉亭处</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52799.4</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2024-8-1</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continue"/>
            <w:tcBorders>
              <w:top w:val="single" w:color="000000" w:sz="4" w:space="0"/>
              <w:left w:val="nil"/>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石淙镇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湖州南浔新淙建设工程有限公司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墙莫线石淙段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西起墙莫线黑桥公园西侧红绿灯-东至墙莫线姚家坝村村委</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205538.38</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2024-7-15</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菱湖镇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湖州新菱建设发展有限公司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菱湖镇一标段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西起青菱线与湖山大道交界处-东至墙莫线黑桥公园西侧红绿灯处-南至菱新线笔筒牌楼处</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354366.89</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2024-8-1</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菱湖镇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湖州新菱建设发展有限公司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菱湖镇二标段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南起青菱线宏宜纺织有限公司处-北至青菱线与湖山大道交界处</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119451.3</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2024-8-1</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continue"/>
            <w:tcBorders>
              <w:top w:val="single" w:color="000000" w:sz="4" w:space="0"/>
              <w:left w:val="nil"/>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菱湖镇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湖州新菱建设发展有限公司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菱湖镇三标段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北起和菱线杨梅树桥处-南至和菱线上元环保产业园处</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61578.53</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2024-8-1</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continue"/>
            <w:tcBorders>
              <w:top w:val="single" w:color="000000" w:sz="4" w:space="0"/>
              <w:left w:val="nil"/>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善琏镇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湖州南浔善琏美丽村镇建设有限公司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善琏镇三新线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北起三新线铁镜桥-南至三新线公安检查站</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159702.35</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2024-8-8</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六标段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南浔镇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湖州南浔振浔投资发展有限公司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浔乌线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北起浔乌线灯塔家园南侧-南至与乌镇交界处</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139531.49</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2024-7-1</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南浔镇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湖州南浔振浔投资发展有限公司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浔练公路-南浔段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北起湖浔大道与浔练公路岔口-南至浔练公路岂风大桥</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251452.08</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2024-7-1</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continue"/>
            <w:tcBorders>
              <w:top w:val="single" w:color="000000" w:sz="4" w:space="0"/>
              <w:left w:val="nil"/>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练市镇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浙江湖州临杭城镇化建设有限公司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浔练公路-练市段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北起浔练公路岂风大桥-南至浔练公路杨树桥</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41069.17</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2024-7-12</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restart"/>
            <w:tcBorders>
              <w:top w:val="single" w:color="000000" w:sz="4" w:space="0"/>
              <w:left w:val="nil"/>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八标段</w:t>
            </w:r>
          </w:p>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南浔镇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湖州南浔城乡基础设施建设开发有限公司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湖浔大道城投段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北起年丰路与虹阳路岔口-南至阳安塘桥</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120347.05</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2024-9-1</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continue"/>
            <w:tcBorders>
              <w:left w:val="nil"/>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南浔镇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浙江南浔古镇旅游发展有限公司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湖浔大道旅投段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北起香山路与湖浔大道岔口-南至年丰路与虹阳路岔口</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71025</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2024-12-19</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2025-12-31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景观线</w:t>
            </w:r>
          </w:p>
        </w:tc>
        <w:tc>
          <w:tcPr>
            <w:tcW w:w="735" w:type="dxa"/>
            <w:vMerge w:val="continue"/>
            <w:tcBorders>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r>
    </w:tbl>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560" w:firstLineChars="200"/>
        <w:jc w:val="center"/>
        <w:textAlignment w:val="auto"/>
        <w:rPr>
          <w:rFonts w:hint="eastAsia" w:ascii="仿宋_GB2312" w:hAnsi="仿宋_GB2312" w:eastAsia="仿宋_GB2312" w:cs="仿宋_GB2312"/>
          <w:b/>
          <w:bCs/>
          <w:color w:val="C00000"/>
          <w:sz w:val="32"/>
          <w:szCs w:val="32"/>
          <w:lang w:val="en-US" w:eastAsia="zh-CN"/>
        </w:rPr>
      </w:pPr>
      <w:r>
        <w:rPr>
          <w:rFonts w:hint="eastAsia" w:ascii="仿宋_GB2312" w:hAnsi="仿宋_GB2312" w:eastAsia="仿宋_GB2312" w:cs="仿宋_GB2312"/>
          <w:color w:val="auto"/>
          <w:sz w:val="28"/>
          <w:szCs w:val="28"/>
          <w:highlight w:val="none"/>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pageBreakBefore w:val="0"/>
        <w:numPr>
          <w:ilvl w:val="0"/>
          <w:numId w:val="0"/>
        </w:numPr>
        <w:shd w:val="clear"/>
        <w:kinsoku/>
        <w:wordWrap/>
        <w:overflowPunct/>
        <w:topLinePunct w:val="0"/>
        <w:bidi w:val="0"/>
        <w:spacing w:line="440" w:lineRule="exact"/>
        <w:ind w:leftChars="200"/>
        <w:jc w:val="center"/>
        <w:textAlignment w:val="auto"/>
        <w:rPr>
          <w:rFonts w:hint="eastAsia" w:ascii="仿宋_GB2312" w:hAnsi="仿宋_GB2312" w:eastAsia="仿宋_GB2312" w:cs="仿宋_GB2312"/>
          <w:b/>
          <w:bCs/>
          <w:spacing w:val="24"/>
          <w:sz w:val="32"/>
          <w:szCs w:val="32"/>
        </w:rPr>
      </w:pPr>
    </w:p>
    <w:p>
      <w:pPr>
        <w:pStyle w:val="3"/>
        <w:pageBreakBefore w:val="0"/>
        <w:numPr>
          <w:ilvl w:val="0"/>
          <w:numId w:val="0"/>
        </w:numPr>
        <w:shd w:val="clear"/>
        <w:kinsoku/>
        <w:wordWrap/>
        <w:overflowPunct/>
        <w:topLinePunct w:val="0"/>
        <w:bidi w:val="0"/>
        <w:spacing w:line="440" w:lineRule="exact"/>
        <w:ind w:leftChars="200"/>
        <w:jc w:val="center"/>
        <w:textAlignment w:val="auto"/>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pageBreakBefore w:val="0"/>
        <w:shd w:val="clear"/>
        <w:kinsoku/>
        <w:wordWrap/>
        <w:overflowPunct/>
        <w:topLinePunct w:val="0"/>
        <w:bidi w:val="0"/>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pageBreakBefore w:val="0"/>
              <w:shd w:val="clear"/>
              <w:kinsoku/>
              <w:wordWrap/>
              <w:overflowPunct/>
              <w:topLinePunct w:val="0"/>
              <w:bidi w:val="0"/>
              <w:spacing w:line="440" w:lineRule="exact"/>
              <w:textAlignment w:val="auto"/>
              <w:rPr>
                <w:rFonts w:hint="eastAsia" w:ascii="仿宋_GB2312" w:hAnsi="仿宋_GB2312" w:eastAsia="仿宋_GB2312" w:cs="仿宋_GB2312"/>
                <w:kern w:val="0"/>
                <w:sz w:val="28"/>
                <w:szCs w:val="28"/>
              </w:rPr>
            </w:pPr>
          </w:p>
          <w:p>
            <w:pPr>
              <w:pageBreakBefore w:val="0"/>
              <w:shd w:val="clear"/>
              <w:kinsoku/>
              <w:wordWrap/>
              <w:overflowPunct/>
              <w:topLinePunct w:val="0"/>
              <w:bidi w:val="0"/>
              <w:spacing w:line="440" w:lineRule="exact"/>
              <w:textAlignment w:val="auto"/>
              <w:rPr>
                <w:rFonts w:hint="eastAsia" w:ascii="仿宋_GB2312" w:hAnsi="仿宋_GB2312" w:eastAsia="仿宋_GB2312" w:cs="仿宋_GB2312"/>
                <w:kern w:val="0"/>
                <w:sz w:val="28"/>
                <w:szCs w:val="28"/>
              </w:rPr>
            </w:pPr>
          </w:p>
          <w:p>
            <w:pPr>
              <w:pageBreakBefore w:val="0"/>
              <w:shd w:val="clear"/>
              <w:kinsoku/>
              <w:wordWrap/>
              <w:overflowPunct/>
              <w:topLinePunct w:val="0"/>
              <w:bidi w:val="0"/>
              <w:spacing w:line="440" w:lineRule="exact"/>
              <w:textAlignment w:val="auto"/>
              <w:rPr>
                <w:rFonts w:hint="eastAsia" w:ascii="仿宋_GB2312" w:hAnsi="仿宋_GB2312" w:eastAsia="仿宋_GB2312" w:cs="仿宋_GB2312"/>
                <w:kern w:val="0"/>
                <w:sz w:val="28"/>
                <w:szCs w:val="28"/>
              </w:rPr>
            </w:pPr>
          </w:p>
          <w:p>
            <w:pPr>
              <w:pageBreakBefore w:val="0"/>
              <w:shd w:val="clear"/>
              <w:kinsoku/>
              <w:wordWrap/>
              <w:overflowPunct/>
              <w:topLinePunct w:val="0"/>
              <w:bidi w:val="0"/>
              <w:spacing w:line="440" w:lineRule="exact"/>
              <w:ind w:firstLine="640" w:firstLineChars="200"/>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pageBreakBefore w:val="0"/>
              <w:shd w:val="clear"/>
              <w:kinsoku/>
              <w:wordWrap/>
              <w:overflowPunct/>
              <w:topLinePunct w:val="0"/>
              <w:bidi w:val="0"/>
              <w:spacing w:line="440" w:lineRule="exact"/>
              <w:ind w:firstLine="640" w:firstLineChars="200"/>
              <w:textAlignment w:val="auto"/>
              <w:rPr>
                <w:rFonts w:hint="eastAsia" w:ascii="仿宋_GB2312" w:hAnsi="仿宋_GB2312" w:eastAsia="仿宋_GB2312" w:cs="仿宋_GB2312"/>
                <w:kern w:val="0"/>
                <w:sz w:val="32"/>
                <w:szCs w:val="32"/>
                <w:u w:val="single"/>
              </w:rPr>
            </w:pPr>
          </w:p>
          <w:p>
            <w:pPr>
              <w:pageBreakBefore w:val="0"/>
              <w:shd w:val="clear"/>
              <w:kinsoku/>
              <w:wordWrap/>
              <w:overflowPunct/>
              <w:topLinePunct w:val="0"/>
              <w:bidi w:val="0"/>
              <w:spacing w:line="440" w:lineRule="exact"/>
              <w:ind w:firstLine="640" w:firstLineChars="200"/>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pageBreakBefore w:val="0"/>
              <w:shd w:val="clear"/>
              <w:kinsoku/>
              <w:wordWrap/>
              <w:overflowPunct/>
              <w:topLinePunct w:val="0"/>
              <w:bidi w:val="0"/>
              <w:spacing w:line="440" w:lineRule="exact"/>
              <w:ind w:firstLine="960" w:firstLineChars="300"/>
              <w:textAlignment w:val="auto"/>
              <w:rPr>
                <w:rFonts w:hint="eastAsia" w:ascii="仿宋_GB2312" w:hAnsi="仿宋_GB2312" w:eastAsia="仿宋_GB2312" w:cs="仿宋_GB2312"/>
                <w:kern w:val="0"/>
                <w:sz w:val="32"/>
                <w:szCs w:val="32"/>
                <w:u w:val="single"/>
              </w:rPr>
            </w:pPr>
          </w:p>
          <w:p>
            <w:pPr>
              <w:pageBreakBefore w:val="0"/>
              <w:shd w:val="clear"/>
              <w:kinsoku/>
              <w:wordWrap/>
              <w:overflowPunct/>
              <w:topLinePunct w:val="0"/>
              <w:bidi w:val="0"/>
              <w:spacing w:line="440" w:lineRule="exact"/>
              <w:ind w:firstLine="640" w:firstLineChars="200"/>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pStyle w:val="4"/>
              <w:shd w:val="clear"/>
              <w:rPr>
                <w:rFonts w:hint="eastAsia"/>
              </w:rPr>
            </w:pPr>
          </w:p>
          <w:p>
            <w:pPr>
              <w:pageBreakBefore w:val="0"/>
              <w:shd w:val="clear"/>
              <w:kinsoku/>
              <w:wordWrap/>
              <w:overflowPunct/>
              <w:topLinePunct w:val="0"/>
              <w:bidi w:val="0"/>
              <w:spacing w:line="440" w:lineRule="exact"/>
              <w:ind w:firstLine="640" w:firstLineChars="200"/>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标   段</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rPr>
              <w:t xml:space="preserve">                                    </w:t>
            </w:r>
          </w:p>
          <w:p>
            <w:pPr>
              <w:pageBreakBefore w:val="0"/>
              <w:shd w:val="clear"/>
              <w:kinsoku/>
              <w:wordWrap/>
              <w:overflowPunct/>
              <w:topLinePunct w:val="0"/>
              <w:bidi w:val="0"/>
              <w:spacing w:line="4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pageBreakBefore w:val="0"/>
              <w:shd w:val="clear"/>
              <w:kinsoku/>
              <w:wordWrap/>
              <w:overflowPunct/>
              <w:topLinePunct w:val="0"/>
              <w:bidi w:val="0"/>
              <w:spacing w:line="440" w:lineRule="exact"/>
              <w:ind w:firstLine="640" w:firstLineChars="200"/>
              <w:textAlignment w:val="auto"/>
              <w:rPr>
                <w:rFonts w:hint="eastAsia" w:ascii="仿宋_GB2312" w:hAnsi="仿宋_GB2312" w:eastAsia="仿宋_GB2312" w:cs="仿宋_GB2312"/>
                <w:kern w:val="0"/>
                <w:sz w:val="32"/>
                <w:szCs w:val="32"/>
                <w:u w:val="single"/>
              </w:rPr>
            </w:pPr>
          </w:p>
          <w:p>
            <w:pPr>
              <w:pageBreakBefore w:val="0"/>
              <w:shd w:val="clear"/>
              <w:kinsoku/>
              <w:wordWrap/>
              <w:overflowPunct/>
              <w:topLinePunct w:val="0"/>
              <w:bidi w:val="0"/>
              <w:spacing w:line="440" w:lineRule="exact"/>
              <w:ind w:firstLine="960" w:firstLineChars="300"/>
              <w:textAlignment w:val="auto"/>
              <w:rPr>
                <w:rFonts w:hint="eastAsia" w:ascii="仿宋_GB2312" w:hAnsi="仿宋_GB2312" w:eastAsia="仿宋_GB2312" w:cs="仿宋_GB2312"/>
                <w:kern w:val="0"/>
                <w:sz w:val="32"/>
                <w:szCs w:val="32"/>
                <w:u w:val="single"/>
              </w:rPr>
            </w:pPr>
          </w:p>
          <w:p>
            <w:pPr>
              <w:pageBreakBefore w:val="0"/>
              <w:shd w:val="clear"/>
              <w:kinsoku/>
              <w:wordWrap/>
              <w:overflowPunct/>
              <w:topLinePunct w:val="0"/>
              <w:bidi w:val="0"/>
              <w:spacing w:line="440" w:lineRule="exact"/>
              <w:ind w:firstLine="160" w:firstLineChars="50"/>
              <w:textAlignment w:val="auto"/>
              <w:rPr>
                <w:rFonts w:hint="eastAsia" w:ascii="仿宋_GB2312" w:hAnsi="仿宋_GB2312" w:eastAsia="仿宋_GB2312" w:cs="仿宋_GB2312"/>
                <w:kern w:val="0"/>
                <w:sz w:val="32"/>
                <w:szCs w:val="32"/>
              </w:rPr>
            </w:pPr>
          </w:p>
          <w:p>
            <w:pPr>
              <w:pageBreakBefore w:val="0"/>
              <w:shd w:val="clear"/>
              <w:kinsoku/>
              <w:wordWrap/>
              <w:overflowPunct/>
              <w:topLinePunct w:val="0"/>
              <w:bidi w:val="0"/>
              <w:spacing w:line="440" w:lineRule="exact"/>
              <w:ind w:firstLine="640" w:firstLineChars="200"/>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pageBreakBefore w:val="0"/>
              <w:shd w:val="clear"/>
              <w:kinsoku/>
              <w:wordWrap/>
              <w:overflowPunct/>
              <w:topLinePunct w:val="0"/>
              <w:bidi w:val="0"/>
              <w:spacing w:line="440" w:lineRule="exact"/>
              <w:textAlignment w:val="auto"/>
              <w:rPr>
                <w:rFonts w:hint="eastAsia" w:ascii="仿宋_GB2312" w:hAnsi="仿宋_GB2312" w:eastAsia="仿宋_GB2312" w:cs="仿宋_GB2312"/>
                <w:kern w:val="0"/>
                <w:sz w:val="32"/>
                <w:szCs w:val="32"/>
              </w:rPr>
            </w:pPr>
          </w:p>
          <w:p>
            <w:pPr>
              <w:pageBreakBefore w:val="0"/>
              <w:shd w:val="clear"/>
              <w:kinsoku/>
              <w:wordWrap/>
              <w:overflowPunct/>
              <w:topLinePunct w:val="0"/>
              <w:bidi w:val="0"/>
              <w:spacing w:line="440" w:lineRule="exact"/>
              <w:ind w:firstLine="4640" w:firstLineChars="14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pageBreakBefore w:val="0"/>
              <w:shd w:val="clear"/>
              <w:kinsoku/>
              <w:wordWrap/>
              <w:overflowPunct/>
              <w:topLinePunct w:val="0"/>
              <w:bidi w:val="0"/>
              <w:spacing w:line="440" w:lineRule="exact"/>
              <w:ind w:firstLine="4640" w:firstLineChars="14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pageBreakBefore w:val="0"/>
              <w:shd w:val="clear"/>
              <w:kinsoku/>
              <w:wordWrap/>
              <w:overflowPunct/>
              <w:topLinePunct w:val="0"/>
              <w:bidi w:val="0"/>
              <w:spacing w:line="440" w:lineRule="exact"/>
              <w:ind w:firstLine="4640" w:firstLineChars="14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pageBreakBefore w:val="0"/>
              <w:shd w:val="clear"/>
              <w:kinsoku/>
              <w:wordWrap/>
              <w:overflowPunct/>
              <w:topLinePunct w:val="0"/>
              <w:bidi w:val="0"/>
              <w:spacing w:line="440" w:lineRule="exact"/>
              <w:ind w:firstLine="4640" w:firstLineChars="14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pageBreakBefore w:val="0"/>
              <w:shd w:val="clear"/>
              <w:kinsoku/>
              <w:wordWrap/>
              <w:overflowPunct/>
              <w:topLinePunct w:val="0"/>
              <w:bidi w:val="0"/>
              <w:spacing w:line="440" w:lineRule="exact"/>
              <w:ind w:firstLine="4640" w:firstLineChars="14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pageBreakBefore w:val="0"/>
              <w:shd w:val="clear"/>
              <w:kinsoku/>
              <w:wordWrap/>
              <w:overflowPunct/>
              <w:topLinePunct w:val="0"/>
              <w:bidi w:val="0"/>
              <w:spacing w:line="440" w:lineRule="exact"/>
              <w:textAlignment w:val="auto"/>
              <w:rPr>
                <w:rFonts w:hint="eastAsia" w:ascii="仿宋_GB2312" w:hAnsi="仿宋_GB2312" w:eastAsia="仿宋_GB2312" w:cs="仿宋_GB2312"/>
                <w:kern w:val="0"/>
                <w:sz w:val="28"/>
                <w:szCs w:val="28"/>
              </w:rPr>
            </w:pPr>
          </w:p>
        </w:tc>
      </w:tr>
    </w:tbl>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shd w:val="clear"/>
        <w:kinsoku/>
        <w:wordWrap/>
        <w:overflowPunct/>
        <w:topLinePunct w:val="0"/>
        <w:autoSpaceDE/>
        <w:autoSpaceDN/>
        <w:bidi w:val="0"/>
        <w:adjustRightInd/>
        <w:spacing w:line="44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shd w:val="clear"/>
        <w:tabs>
          <w:tab w:val="left" w:pos="7560"/>
        </w:tabs>
        <w:kinsoku/>
        <w:wordWrap/>
        <w:overflowPunct/>
        <w:topLinePunct w:val="0"/>
        <w:autoSpaceDE/>
        <w:autoSpaceDN/>
        <w:bidi w:val="0"/>
        <w:adjustRightInd/>
        <w:spacing w:line="44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w:t>
      </w:r>
      <w:r>
        <w:rPr>
          <w:rFonts w:hint="eastAsia" w:ascii="仿宋" w:hAnsi="仿宋" w:eastAsia="仿宋" w:cs="仿宋"/>
          <w:sz w:val="28"/>
          <w:szCs w:val="28"/>
          <w:highlight w:val="yellow"/>
          <w:u w:val="single"/>
          <w:lang w:val="en-US" w:eastAsia="zh-CN"/>
        </w:rPr>
        <w:t xml:space="preserve">      </w:t>
      </w:r>
      <w:r>
        <w:rPr>
          <w:rFonts w:hint="eastAsia" w:ascii="仿宋" w:hAnsi="仿宋" w:eastAsia="仿宋" w:cs="仿宋"/>
          <w:sz w:val="28"/>
          <w:szCs w:val="28"/>
          <w:highlight w:val="yellow"/>
          <w:u w:val="none"/>
          <w:lang w:val="en-US" w:eastAsia="zh-CN"/>
        </w:rPr>
        <w:t>标段</w:t>
      </w:r>
      <w:r>
        <w:rPr>
          <w:rFonts w:hint="eastAsia" w:ascii="仿宋_GB2312" w:hAnsi="仿宋_GB2312" w:eastAsia="仿宋_GB2312" w:cs="仿宋_GB2312"/>
          <w:sz w:val="28"/>
          <w:szCs w:val="28"/>
          <w:highlight w:val="none"/>
        </w:rPr>
        <w:t>我方愿以</w:t>
      </w:r>
      <w:r>
        <w:rPr>
          <w:rFonts w:hint="eastAsia" w:ascii="仿宋" w:hAnsi="仿宋" w:eastAsia="仿宋" w:cs="仿宋"/>
          <w:sz w:val="28"/>
          <w:szCs w:val="28"/>
          <w:highlight w:val="yellow"/>
          <w:lang w:val="en-US" w:eastAsia="zh-CN"/>
        </w:rPr>
        <w:t xml:space="preserve"> </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lang w:val="en-US" w:eastAsia="zh-CN"/>
        </w:rPr>
        <w:t>元/m2·年</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shd w:val="clear"/>
        <w:kinsoku/>
        <w:wordWrap/>
        <w:overflowPunct/>
        <w:topLinePunct w:val="0"/>
        <w:autoSpaceDE/>
        <w:autoSpaceDN/>
        <w:bidi w:val="0"/>
        <w:adjustRightInd/>
        <w:spacing w:line="44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shd w:val="clear"/>
        <w:kinsoku/>
        <w:wordWrap/>
        <w:overflowPunct/>
        <w:topLinePunct w:val="0"/>
        <w:autoSpaceDE/>
        <w:autoSpaceDN/>
        <w:bidi w:val="0"/>
        <w:adjustRightInd/>
        <w:spacing w:line="44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shd w:val="clear"/>
        <w:kinsoku/>
        <w:wordWrap/>
        <w:overflowPunct/>
        <w:topLinePunct w:val="0"/>
        <w:autoSpaceDE/>
        <w:autoSpaceDN/>
        <w:bidi w:val="0"/>
        <w:adjustRightInd/>
        <w:spacing w:line="44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shd w:val="clear"/>
        <w:kinsoku/>
        <w:wordWrap/>
        <w:overflowPunct/>
        <w:topLinePunct w:val="0"/>
        <w:autoSpaceDE/>
        <w:autoSpaceDN/>
        <w:bidi w:val="0"/>
        <w:adjustRightInd/>
        <w:spacing w:line="44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shd w:val="clear"/>
        <w:kinsoku/>
        <w:wordWrap/>
        <w:overflowPunct/>
        <w:topLinePunct w:val="0"/>
        <w:autoSpaceDE/>
        <w:autoSpaceDN/>
        <w:bidi w:val="0"/>
        <w:adjustRightInd/>
        <w:snapToGrid w:val="0"/>
        <w:spacing w:line="440" w:lineRule="exact"/>
        <w:ind w:left="0" w:leftChars="0" w:firstLine="420" w:firstLineChars="15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6、</w:t>
      </w:r>
      <w:r>
        <w:rPr>
          <w:rFonts w:hint="eastAsia" w:ascii="仿宋" w:hAnsi="仿宋" w:eastAsia="仿宋" w:cs="仿宋"/>
          <w:snapToGrid w:val="0"/>
          <w:kern w:val="0"/>
          <w:sz w:val="28"/>
          <w:szCs w:val="28"/>
        </w:rPr>
        <w:t>如果我方中标</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将按</w:t>
      </w:r>
      <w:r>
        <w:rPr>
          <w:rFonts w:hint="eastAsia" w:ascii="仿宋_GB2312" w:hAnsi="仿宋_GB2312" w:eastAsia="仿宋_GB2312" w:cs="仿宋_GB2312"/>
          <w:snapToGrid w:val="0"/>
          <w:kern w:val="0"/>
          <w:sz w:val="28"/>
          <w:szCs w:val="28"/>
        </w:rPr>
        <w:t>中标通知书中规定的日期与贵方签订承包合同，并承担承包单位的一切义务和责任。</w:t>
      </w:r>
    </w:p>
    <w:p>
      <w:pPr>
        <w:keepNext w:val="0"/>
        <w:keepLines w:val="0"/>
        <w:pageBreakBefore w:val="0"/>
        <w:widowControl w:val="0"/>
        <w:shd w:val="clear"/>
        <w:kinsoku/>
        <w:wordWrap/>
        <w:overflowPunct/>
        <w:topLinePunct w:val="0"/>
        <w:autoSpaceDE/>
        <w:autoSpaceDN/>
        <w:bidi w:val="0"/>
        <w:adjustRightInd/>
        <w:spacing w:line="44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shd w:val="clear"/>
        <w:kinsoku/>
        <w:wordWrap/>
        <w:overflowPunct/>
        <w:topLinePunct w:val="0"/>
        <w:autoSpaceDE/>
        <w:autoSpaceDN/>
        <w:bidi w:val="0"/>
        <w:adjustRightInd/>
        <w:spacing w:line="44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shd w:val="clear"/>
        <w:kinsoku/>
        <w:wordWrap/>
        <w:overflowPunct/>
        <w:topLinePunct w:val="0"/>
        <w:autoSpaceDE/>
        <w:autoSpaceDN/>
        <w:bidi w:val="0"/>
        <w:adjustRightInd/>
        <w:spacing w:line="44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9、我方承诺：</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6"/>
        <w:pageBreakBefore w:val="0"/>
        <w:shd w:val="clear"/>
        <w:kinsoku/>
        <w:wordWrap/>
        <w:overflowPunct/>
        <w:topLinePunct w:val="0"/>
        <w:bidi w:val="0"/>
        <w:spacing w:line="440" w:lineRule="exact"/>
        <w:textAlignment w:val="auto"/>
        <w:rPr>
          <w:rFonts w:hint="eastAsia"/>
          <w:sz w:val="28"/>
          <w:szCs w:val="28"/>
        </w:rPr>
      </w:pPr>
    </w:p>
    <w:p>
      <w:pPr>
        <w:keepNext w:val="0"/>
        <w:keepLines w:val="0"/>
        <w:pageBreakBefore w:val="0"/>
        <w:widowControl w:val="0"/>
        <w:shd w:val="clear"/>
        <w:kinsoku/>
        <w:wordWrap/>
        <w:overflowPunct/>
        <w:topLinePunct w:val="0"/>
        <w:autoSpaceDE/>
        <w:autoSpaceDN/>
        <w:bidi w:val="0"/>
        <w:adjustRightInd/>
        <w:spacing w:line="44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shd w:val="clear"/>
        <w:kinsoku/>
        <w:wordWrap/>
        <w:overflowPunct/>
        <w:topLinePunct w:val="0"/>
        <w:autoSpaceDE/>
        <w:autoSpaceDN/>
        <w:bidi w:val="0"/>
        <w:adjustRightInd/>
        <w:spacing w:line="44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shd w:val="clear"/>
        <w:kinsoku/>
        <w:wordWrap/>
        <w:overflowPunct/>
        <w:topLinePunct w:val="0"/>
        <w:autoSpaceDE/>
        <w:autoSpaceDN/>
        <w:bidi w:val="0"/>
        <w:adjustRightInd/>
        <w:spacing w:line="44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shd w:val="clear"/>
        <w:kinsoku/>
        <w:wordWrap/>
        <w:overflowPunct/>
        <w:topLinePunct w:val="0"/>
        <w:autoSpaceDE/>
        <w:autoSpaceDN/>
        <w:bidi w:val="0"/>
        <w:adjustRightIn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shd w:val="clear"/>
        <w:kinsoku/>
        <w:wordWrap/>
        <w:overflowPunct/>
        <w:topLinePunct w:val="0"/>
        <w:autoSpaceDE/>
        <w:autoSpaceDN/>
        <w:bidi w:val="0"/>
        <w:adjustRightIn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pageBreakBefore w:val="0"/>
        <w:shd w:val="clear"/>
        <w:kinsoku/>
        <w:wordWrap/>
        <w:overflowPunct/>
        <w:topLinePunct w:val="0"/>
        <w:bidi w:val="0"/>
        <w:spacing w:line="440" w:lineRule="exact"/>
        <w:textAlignment w:val="auto"/>
        <w:rPr>
          <w:rFonts w:hint="eastAsia" w:ascii="仿宋" w:hAnsi="仿宋" w:eastAsia="仿宋" w:cs="仿宋"/>
          <w:sz w:val="28"/>
          <w:szCs w:val="28"/>
        </w:rPr>
      </w:pPr>
    </w:p>
    <w:p>
      <w:pPr>
        <w:pStyle w:val="2"/>
        <w:pageBreakBefore w:val="0"/>
        <w:widowControl w:val="0"/>
        <w:shd w:val="clear"/>
        <w:kinsoku/>
        <w:wordWrap/>
        <w:overflowPunct/>
        <w:topLinePunct w:val="0"/>
        <w:autoSpaceDE/>
        <w:autoSpaceDN/>
        <w:bidi w:val="0"/>
        <w:adjustRightInd/>
        <w:spacing w:line="440" w:lineRule="exact"/>
        <w:jc w:val="center"/>
        <w:textAlignment w:val="auto"/>
        <w:rPr>
          <w:rFonts w:hint="eastAsia" w:ascii="仿宋" w:hAnsi="仿宋" w:eastAsia="仿宋" w:cs="仿宋"/>
          <w:b/>
          <w:bCs/>
          <w:sz w:val="28"/>
          <w:szCs w:val="28"/>
        </w:rPr>
      </w:pPr>
    </w:p>
    <w:p>
      <w:pPr>
        <w:pStyle w:val="2"/>
        <w:keepNext/>
        <w:keepLines/>
        <w:pageBreakBefore w:val="0"/>
        <w:widowControl w:val="0"/>
        <w:shd w:val="clear"/>
        <w:kinsoku/>
        <w:wordWrap/>
        <w:overflowPunct/>
        <w:topLinePunct w:val="0"/>
        <w:autoSpaceDE/>
        <w:autoSpaceDN/>
        <w:bidi w:val="0"/>
        <w:adjustRightInd/>
        <w:snapToGrid/>
        <w:spacing w:before="0" w:after="0" w:line="44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近三年内的强村公司证明文件（加盖镇政府公章）</w:t>
      </w: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2"/>
        <w:pageBreakBefore w:val="0"/>
        <w:widowControl w:val="0"/>
        <w:shd w:val="clear"/>
        <w:kinsoku/>
        <w:wordWrap/>
        <w:overflowPunct/>
        <w:topLinePunct w:val="0"/>
        <w:autoSpaceDE/>
        <w:autoSpaceDN/>
        <w:bidi w:val="0"/>
        <w:adjustRightInd/>
        <w:spacing w:line="440" w:lineRule="exact"/>
        <w:jc w:val="both"/>
        <w:textAlignment w:val="auto"/>
        <w:rPr>
          <w:rFonts w:hint="eastAsia" w:ascii="仿宋" w:hAnsi="仿宋" w:eastAsia="仿宋" w:cs="仿宋"/>
          <w:b/>
          <w:bCs/>
          <w:sz w:val="28"/>
          <w:szCs w:val="28"/>
          <w:lang w:val="en-US" w:eastAsia="zh-CN"/>
        </w:rPr>
      </w:pPr>
    </w:p>
    <w:p>
      <w:pPr>
        <w:shd w:val="clear"/>
        <w:rPr>
          <w:rFonts w:hint="eastAsia" w:ascii="方正小标宋简体" w:hAnsi="方正小标宋简体" w:eastAsia="方正小标宋简体" w:cs="方正小标宋简体"/>
          <w:b w:val="0"/>
          <w:bCs w:val="0"/>
          <w:color w:val="auto"/>
          <w:kern w:val="0"/>
          <w:sz w:val="32"/>
          <w:szCs w:val="32"/>
          <w:lang w:val="en-US" w:eastAsia="zh-CN" w:bidi="ar-SA"/>
        </w:rPr>
      </w:pPr>
      <w:r>
        <w:rPr>
          <w:rFonts w:hint="eastAsia" w:ascii="方正小标宋简体" w:hAnsi="方正小标宋简体" w:eastAsia="方正小标宋简体" w:cs="方正小标宋简体"/>
          <w:b w:val="0"/>
          <w:bCs w:val="0"/>
          <w:color w:val="auto"/>
          <w:kern w:val="0"/>
          <w:sz w:val="32"/>
          <w:szCs w:val="32"/>
          <w:lang w:val="en-US" w:eastAsia="zh-CN" w:bidi="ar-SA"/>
        </w:rPr>
        <w:br w:type="page"/>
      </w:r>
    </w:p>
    <w:p>
      <w:pPr>
        <w:pStyle w:val="2"/>
        <w:keepNext/>
        <w:keepLines/>
        <w:pageBreakBefore w:val="0"/>
        <w:widowControl w:val="0"/>
        <w:shd w:val="clear"/>
        <w:kinsoku/>
        <w:wordWrap/>
        <w:overflowPunct/>
        <w:topLinePunct w:val="0"/>
        <w:autoSpaceDE/>
        <w:autoSpaceDN/>
        <w:bidi w:val="0"/>
        <w:adjustRightInd/>
        <w:snapToGrid/>
        <w:spacing w:before="0" w:after="0" w:line="44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2"/>
        <w:keepNext/>
        <w:keepLines/>
        <w:pageBreakBefore w:val="0"/>
        <w:widowControl w:val="0"/>
        <w:shd w:val="clear"/>
        <w:kinsoku/>
        <w:wordWrap/>
        <w:overflowPunct/>
        <w:topLinePunct w:val="0"/>
        <w:autoSpaceDE/>
        <w:autoSpaceDN/>
        <w:bidi w:val="0"/>
        <w:adjustRightInd/>
        <w:snapToGrid/>
        <w:spacing w:before="0" w:after="0" w:line="44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资质证书复印件、安全生产许可证复印件（本项强村公司无需提供）</w:t>
      </w: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jc w:val="both"/>
        <w:textAlignment w:val="auto"/>
        <w:rPr>
          <w:rFonts w:hint="eastAsia" w:ascii="方正小标宋简体" w:hAnsi="方正小标宋简体" w:eastAsia="方正小标宋简体" w:cs="方正小标宋简体"/>
          <w:b w:val="0"/>
          <w:bCs/>
          <w:sz w:val="28"/>
          <w:szCs w:val="28"/>
        </w:rPr>
      </w:pPr>
    </w:p>
    <w:p>
      <w:pPr>
        <w:shd w:val="clear"/>
        <w:rPr>
          <w:rFonts w:hint="eastAsia" w:ascii="方正小标宋简体" w:hAnsi="方正小标宋简体" w:eastAsia="方正小标宋简体" w:cs="方正小标宋简体"/>
          <w:b w:val="0"/>
          <w:bCs w:val="0"/>
          <w:color w:val="auto"/>
          <w:kern w:val="0"/>
          <w:sz w:val="32"/>
          <w:szCs w:val="32"/>
          <w:lang w:val="en-US" w:eastAsia="zh-CN" w:bidi="ar-SA"/>
        </w:rPr>
      </w:pPr>
      <w:r>
        <w:rPr>
          <w:rFonts w:hint="eastAsia" w:ascii="方正小标宋简体" w:hAnsi="方正小标宋简体" w:eastAsia="方正小标宋简体" w:cs="方正小标宋简体"/>
          <w:b w:val="0"/>
          <w:bCs w:val="0"/>
          <w:color w:val="auto"/>
          <w:kern w:val="0"/>
          <w:sz w:val="32"/>
          <w:szCs w:val="32"/>
          <w:lang w:val="en-US" w:eastAsia="zh-CN" w:bidi="ar-SA"/>
        </w:rPr>
        <w:br w:type="page"/>
      </w:r>
    </w:p>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rPr>
      </w:pPr>
    </w:p>
    <w:p>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shd w:val="clea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p>
    <w:p>
      <w:pPr>
        <w:keepNext w:val="0"/>
        <w:keepLines w:val="0"/>
        <w:pageBreakBefore w:val="0"/>
        <w:shd w:val="clea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shd w:val="clear"/>
        <w:kinsoku/>
        <w:wordWrap/>
        <w:overflowPunct/>
        <w:topLinePunct w:val="0"/>
        <w:autoSpaceDE/>
        <w:autoSpaceDN/>
        <w:bidi w:val="0"/>
        <w:adjustRightInd/>
        <w:snapToGrid/>
        <w:spacing w:line="44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shd w:val="clear"/>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shd w:val="clea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8"/>
          <w:szCs w:val="28"/>
        </w:rPr>
      </w:pPr>
    </w:p>
    <w:p>
      <w:pPr>
        <w:pageBreakBefore w:val="0"/>
        <w:widowControl/>
        <w:shd w:val="clear"/>
        <w:kinsoku/>
        <w:wordWrap/>
        <w:overflowPunct/>
        <w:topLinePunct w:val="0"/>
        <w:autoSpaceDE/>
        <w:autoSpaceDN/>
        <w:bidi w:val="0"/>
        <w:spacing w:line="440" w:lineRule="exact"/>
        <w:textAlignment w:val="auto"/>
        <w:rPr>
          <w:rFonts w:hint="eastAsia" w:ascii="仿宋" w:hAnsi="仿宋" w:eastAsia="仿宋" w:cs="仿宋"/>
          <w:b/>
          <w:sz w:val="28"/>
          <w:szCs w:val="28"/>
        </w:rPr>
      </w:pPr>
    </w:p>
    <w:p>
      <w:pPr>
        <w:pageBreakBefore w:val="0"/>
        <w:widowControl/>
        <w:shd w:val="clear"/>
        <w:kinsoku/>
        <w:wordWrap/>
        <w:overflowPunct/>
        <w:topLinePunct w:val="0"/>
        <w:autoSpaceDE/>
        <w:autoSpaceDN/>
        <w:bidi w:val="0"/>
        <w:spacing w:line="440" w:lineRule="exact"/>
        <w:textAlignment w:val="auto"/>
        <w:rPr>
          <w:rFonts w:hint="eastAsia" w:ascii="仿宋" w:hAnsi="仿宋" w:eastAsia="仿宋" w:cs="仿宋"/>
          <w:b/>
          <w:sz w:val="28"/>
          <w:szCs w:val="28"/>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rPr>
      </w:pPr>
    </w:p>
    <w:p>
      <w:pPr>
        <w:keepNext w:val="0"/>
        <w:keepLines w:val="0"/>
        <w:pageBreakBefore w:val="0"/>
        <w:widowControl/>
        <w:shd w:val="clear"/>
        <w:kinsoku/>
        <w:wordWrap/>
        <w:overflowPunct/>
        <w:topLinePunct w:val="0"/>
        <w:autoSpaceDE/>
        <w:autoSpaceDN/>
        <w:bidi w:val="0"/>
        <w:adjustRightInd/>
        <w:snapToGrid/>
        <w:spacing w:before="157" w:beforeLines="50" w:line="44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shd w:val="clear"/>
        <w:kinsoku/>
        <w:wordWrap/>
        <w:overflowPunct/>
        <w:topLinePunct w:val="0"/>
        <w:autoSpaceDE/>
        <w:autoSpaceDN/>
        <w:bidi w:val="0"/>
        <w:adjustRightInd/>
        <w:snapToGrid/>
        <w:spacing w:before="157" w:beforeLines="50" w:line="44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shd w:val="clear"/>
        <w:kinsoku/>
        <w:wordWrap/>
        <w:overflowPunct/>
        <w:topLinePunct w:val="0"/>
        <w:autoSpaceDE/>
        <w:autoSpaceDN/>
        <w:bidi w:val="0"/>
        <w:adjustRightInd/>
        <w:snapToGrid/>
        <w:spacing w:before="157" w:beforeLines="50" w:line="44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shd w:val="clear"/>
        <w:kinsoku/>
        <w:wordWrap/>
        <w:overflowPunct/>
        <w:topLinePunct w:val="0"/>
        <w:autoSpaceDE/>
        <w:autoSpaceDN/>
        <w:bidi w:val="0"/>
        <w:adjustRightInd/>
        <w:snapToGrid/>
        <w:spacing w:before="157" w:beforeLines="50" w:line="440" w:lineRule="exact"/>
        <w:jc w:val="center"/>
        <w:textAlignment w:val="auto"/>
        <w:rPr>
          <w:rFonts w:hint="eastAsia" w:ascii="仿宋" w:hAnsi="仿宋" w:eastAsia="仿宋" w:cs="仿宋"/>
          <w:b/>
          <w:bCs/>
          <w:color w:val="000000"/>
          <w:sz w:val="28"/>
          <w:szCs w:val="28"/>
          <w:lang w:val="zh-CN"/>
        </w:rPr>
      </w:pPr>
    </w:p>
    <w:p>
      <w:pPr>
        <w:pageBreakBefore w:val="0"/>
        <w:shd w:val="clear"/>
        <w:kinsoku/>
        <w:wordWrap/>
        <w:overflowPunct/>
        <w:topLinePunct w:val="0"/>
        <w:bidi w:val="0"/>
        <w:spacing w:line="440" w:lineRule="exact"/>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shd w:val="clear"/>
        <w:kinsoku/>
        <w:wordWrap/>
        <w:overflowPunct/>
        <w:topLinePunct w:val="0"/>
        <w:autoSpaceDE/>
        <w:autoSpaceDN/>
        <w:bidi w:val="0"/>
        <w:adjustRightInd/>
        <w:snapToGrid/>
        <w:spacing w:before="157" w:beforeLines="50" w:line="44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6"/>
        <w:pageBreakBefore w:val="0"/>
        <w:shd w:val="clear"/>
        <w:kinsoku/>
        <w:wordWrap/>
        <w:overflowPunct/>
        <w:topLinePunct w:val="0"/>
        <w:bidi w:val="0"/>
        <w:spacing w:line="440" w:lineRule="exact"/>
        <w:textAlignment w:val="auto"/>
        <w:rPr>
          <w:rFonts w:hint="eastAsia"/>
          <w:sz w:val="28"/>
          <w:szCs w:val="28"/>
          <w:lang w:val="zh-CN"/>
        </w:rPr>
      </w:pPr>
    </w:p>
    <w:p>
      <w:pPr>
        <w:keepNext w:val="0"/>
        <w:keepLines w:val="0"/>
        <w:pageBreakBefore w:val="0"/>
        <w:widowControl/>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shd w:val="clear"/>
        <w:kinsoku/>
        <w:wordWrap/>
        <w:overflowPunct/>
        <w:topLinePunct w:val="0"/>
        <w:autoSpaceDE/>
        <w:autoSpaceDN/>
        <w:bidi w:val="0"/>
        <w:adjustRightInd/>
        <w:snapToGrid/>
        <w:spacing w:before="157" w:beforeLines="50" w:line="44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shd w:val="clear"/>
        <w:kinsoku/>
        <w:wordWrap/>
        <w:overflowPunct/>
        <w:topLinePunct w:val="0"/>
        <w:autoSpaceDE/>
        <w:autoSpaceDN/>
        <w:bidi w:val="0"/>
        <w:adjustRightInd/>
        <w:snapToGrid/>
        <w:spacing w:before="157" w:beforeLines="50" w:line="44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shd w:val="clear"/>
        <w:kinsoku/>
        <w:wordWrap/>
        <w:overflowPunct/>
        <w:topLinePunct w:val="0"/>
        <w:autoSpaceDE/>
        <w:autoSpaceDN/>
        <w:bidi w:val="0"/>
        <w:adjustRightInd/>
        <w:snapToGrid/>
        <w:spacing w:before="157" w:beforeLines="50" w:line="44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shd w:val="clear"/>
        <w:kinsoku/>
        <w:wordWrap/>
        <w:overflowPunct/>
        <w:topLinePunct w:val="0"/>
        <w:autoSpaceDE/>
        <w:autoSpaceDN/>
        <w:bidi w:val="0"/>
        <w:adjustRightInd/>
        <w:snapToGrid/>
        <w:spacing w:before="157" w:beforeLines="50" w:line="44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shd w:val="clear"/>
        <w:kinsoku/>
        <w:wordWrap/>
        <w:overflowPunct/>
        <w:topLinePunct w:val="0"/>
        <w:autoSpaceDE/>
        <w:autoSpaceDN/>
        <w:bidi w:val="0"/>
        <w:adjustRightInd/>
        <w:snapToGrid/>
        <w:spacing w:before="157" w:beforeLines="50" w:line="44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shd w:val="clear"/>
        <w:kinsoku/>
        <w:wordWrap/>
        <w:overflowPunct/>
        <w:topLinePunct w:val="0"/>
        <w:autoSpaceDE/>
        <w:autoSpaceDN/>
        <w:bidi w:val="0"/>
        <w:adjustRightInd/>
        <w:snapToGrid/>
        <w:spacing w:before="157" w:beforeLines="50" w:line="44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shd w:val="clear"/>
        <w:kinsoku/>
        <w:wordWrap/>
        <w:overflowPunct/>
        <w:topLinePunct w:val="0"/>
        <w:autoSpaceDE/>
        <w:autoSpaceDN/>
        <w:bidi w:val="0"/>
        <w:adjustRightInd/>
        <w:snapToGrid/>
        <w:spacing w:before="157" w:beforeLines="50" w:line="44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shd w:val="clear"/>
        <w:kinsoku/>
        <w:wordWrap/>
        <w:overflowPunct/>
        <w:topLinePunct w:val="0"/>
        <w:autoSpaceDE/>
        <w:autoSpaceDN/>
        <w:bidi w:val="0"/>
        <w:spacing w:before="157" w:beforeLines="50" w:afterLines="0" w:line="440" w:lineRule="exact"/>
        <w:jc w:val="both"/>
        <w:textAlignment w:val="auto"/>
        <w:rPr>
          <w:rFonts w:hint="eastAsia" w:ascii="仿宋" w:hAnsi="仿宋" w:eastAsia="仿宋" w:cs="仿宋"/>
          <w:sz w:val="28"/>
          <w:szCs w:val="28"/>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157" w:beforeLines="50" w:beforeAutospacing="0" w:after="0" w:afterAutospacing="0" w:line="440" w:lineRule="exact"/>
        <w:ind w:left="0" w:right="0" w:firstLine="0"/>
        <w:jc w:val="center"/>
        <w:textAlignment w:val="auto"/>
        <w:rPr>
          <w:rFonts w:hint="eastAsia" w:ascii="仿宋" w:hAnsi="仿宋" w:eastAsia="仿宋" w:cs="仿宋"/>
          <w:b/>
          <w:bCs/>
          <w:sz w:val="28"/>
          <w:szCs w:val="28"/>
        </w:rPr>
      </w:pPr>
    </w:p>
    <w:p>
      <w:pPr>
        <w:pStyle w:val="13"/>
        <w:keepNext w:val="0"/>
        <w:keepLines w:val="0"/>
        <w:pageBreakBefore w:val="0"/>
        <w:widowControl/>
        <w:suppressLineNumbers w:val="0"/>
        <w:shd w:val="clear"/>
        <w:kinsoku/>
        <w:wordWrap/>
        <w:overflowPunct/>
        <w:topLinePunct w:val="0"/>
        <w:autoSpaceDE/>
        <w:autoSpaceDN/>
        <w:bidi w:val="0"/>
        <w:adjustRightInd/>
        <w:snapToGrid/>
        <w:spacing w:before="157" w:beforeLines="50" w:beforeAutospacing="0" w:after="0" w:afterAutospacing="0" w:line="4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ageBreakBefore w:val="0"/>
        <w:shd w:val="clear"/>
        <w:kinsoku/>
        <w:wordWrap/>
        <w:overflowPunct/>
        <w:topLinePunct w:val="0"/>
        <w:bidi w:val="0"/>
        <w:spacing w:line="440" w:lineRule="exact"/>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3"/>
        <w:keepNext w:val="0"/>
        <w:keepLines w:val="0"/>
        <w:pageBreakBefore w:val="0"/>
        <w:widowControl/>
        <w:suppressLineNumbers w:val="0"/>
        <w:shd w:val="clear"/>
        <w:kinsoku/>
        <w:wordWrap/>
        <w:overflowPunct/>
        <w:topLinePunct w:val="0"/>
        <w:autoSpaceDE/>
        <w:autoSpaceDN/>
        <w:bidi w:val="0"/>
        <w:adjustRightInd/>
        <w:snapToGrid/>
        <w:spacing w:before="157" w:beforeLines="50" w:beforeAutospacing="0" w:after="0" w:afterAutospacing="0" w:line="4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承诺书</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157" w:beforeLines="50" w:beforeAutospacing="0" w:after="0" w:afterAutospacing="0" w:line="4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3"/>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3"/>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shd w:val="clear"/>
        <w:kinsoku/>
        <w:wordWrap/>
        <w:overflowPunct/>
        <w:topLinePunct w:val="0"/>
        <w:autoSpaceDE/>
        <w:autoSpaceDN/>
        <w:bidi w:val="0"/>
        <w:adjustRightInd/>
        <w:snapToGrid/>
        <w:spacing w:line="44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9"/>
        <w:keepNext w:val="0"/>
        <w:keepLines w:val="0"/>
        <w:pageBreakBefore w:val="0"/>
        <w:widowControl w:val="0"/>
        <w:shd w:val="clear"/>
        <w:kinsoku/>
        <w:wordWrap/>
        <w:overflowPunct/>
        <w:topLinePunct w:val="0"/>
        <w:autoSpaceDE/>
        <w:autoSpaceDN/>
        <w:bidi w:val="0"/>
        <w:adjustRightInd/>
        <w:snapToGrid/>
        <w:spacing w:beforeLines="0" w:afterLines="0" w:line="44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9"/>
        <w:keepNext w:val="0"/>
        <w:keepLines w:val="0"/>
        <w:pageBreakBefore w:val="0"/>
        <w:widowControl w:val="0"/>
        <w:shd w:val="clear"/>
        <w:kinsoku/>
        <w:wordWrap/>
        <w:overflowPunct/>
        <w:topLinePunct w:val="0"/>
        <w:autoSpaceDE/>
        <w:autoSpaceDN/>
        <w:bidi w:val="0"/>
        <w:adjustRightInd/>
        <w:snapToGrid/>
        <w:spacing w:beforeLines="0" w:afterLines="0" w:line="440" w:lineRule="exact"/>
        <w:textAlignment w:val="auto"/>
        <w:rPr>
          <w:rFonts w:hint="eastAsia" w:ascii="方正小标宋简体" w:hAnsi="方正小标宋简体" w:eastAsia="方正小标宋简体" w:cs="方正小标宋简体"/>
          <w:b w:val="0"/>
          <w:bCs w:val="0"/>
          <w:sz w:val="28"/>
          <w:szCs w:val="28"/>
        </w:rPr>
      </w:pPr>
    </w:p>
    <w:p>
      <w:pPr>
        <w:pStyle w:val="20"/>
        <w:keepNext w:val="0"/>
        <w:keepLines w:val="0"/>
        <w:pageBreakBefore w:val="0"/>
        <w:shd w:val="clear"/>
        <w:kinsoku/>
        <w:wordWrap/>
        <w:overflowPunct/>
        <w:topLinePunct w:val="0"/>
        <w:autoSpaceDE/>
        <w:autoSpaceDN/>
        <w:bidi w:val="0"/>
        <w:adjustRightInd/>
        <w:snapToGrid/>
        <w:spacing w:line="44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20"/>
        <w:keepNext w:val="0"/>
        <w:keepLines w:val="0"/>
        <w:pageBreakBefore w:val="0"/>
        <w:shd w:val="clear"/>
        <w:kinsoku/>
        <w:wordWrap/>
        <w:overflowPunct/>
        <w:topLinePunct w:val="0"/>
        <w:autoSpaceDE/>
        <w:autoSpaceDN/>
        <w:bidi w:val="0"/>
        <w:adjustRightInd/>
        <w:snapToGrid/>
        <w:spacing w:line="44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20"/>
        <w:keepNext w:val="0"/>
        <w:keepLines w:val="0"/>
        <w:pageBreakBefore w:val="0"/>
        <w:shd w:val="clear"/>
        <w:kinsoku/>
        <w:wordWrap/>
        <w:overflowPunct/>
        <w:topLinePunct w:val="0"/>
        <w:autoSpaceDE/>
        <w:autoSpaceDN/>
        <w:bidi w:val="0"/>
        <w:adjustRightInd/>
        <w:snapToGrid/>
        <w:spacing w:line="44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20"/>
        <w:keepNext w:val="0"/>
        <w:keepLines w:val="0"/>
        <w:pageBreakBefore w:val="0"/>
        <w:shd w:val="clear"/>
        <w:kinsoku/>
        <w:wordWrap/>
        <w:overflowPunct/>
        <w:topLinePunct w:val="0"/>
        <w:autoSpaceDE/>
        <w:autoSpaceDN/>
        <w:bidi w:val="0"/>
        <w:adjustRightInd/>
        <w:snapToGrid/>
        <w:spacing w:line="44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20"/>
        <w:keepNext w:val="0"/>
        <w:keepLines w:val="0"/>
        <w:pageBreakBefore w:val="0"/>
        <w:shd w:val="clear"/>
        <w:kinsoku/>
        <w:wordWrap/>
        <w:overflowPunct/>
        <w:topLinePunct w:val="0"/>
        <w:autoSpaceDE/>
        <w:autoSpaceDN/>
        <w:bidi w:val="0"/>
        <w:adjustRightInd/>
        <w:snapToGrid/>
        <w:spacing w:line="44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20"/>
        <w:keepNext w:val="0"/>
        <w:keepLines w:val="0"/>
        <w:pageBreakBefore w:val="0"/>
        <w:shd w:val="clear"/>
        <w:kinsoku/>
        <w:wordWrap/>
        <w:overflowPunct/>
        <w:topLinePunct w:val="0"/>
        <w:autoSpaceDE/>
        <w:autoSpaceDN/>
        <w:bidi w:val="0"/>
        <w:adjustRightInd/>
        <w:snapToGrid/>
        <w:spacing w:line="44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20"/>
        <w:keepNext w:val="0"/>
        <w:keepLines w:val="0"/>
        <w:pageBreakBefore w:val="0"/>
        <w:shd w:val="clear"/>
        <w:kinsoku/>
        <w:wordWrap/>
        <w:overflowPunct/>
        <w:topLinePunct w:val="0"/>
        <w:autoSpaceDE/>
        <w:autoSpaceDN/>
        <w:bidi w:val="0"/>
        <w:adjustRightInd/>
        <w:snapToGrid/>
        <w:spacing w:line="44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20"/>
        <w:keepNext w:val="0"/>
        <w:keepLines w:val="0"/>
        <w:pageBreakBefore w:val="0"/>
        <w:shd w:val="clear"/>
        <w:kinsoku/>
        <w:wordWrap/>
        <w:overflowPunct/>
        <w:topLinePunct w:val="0"/>
        <w:autoSpaceDE/>
        <w:autoSpaceDN/>
        <w:bidi w:val="0"/>
        <w:adjustRightInd/>
        <w:snapToGrid/>
        <w:spacing w:line="44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20"/>
        <w:keepNext w:val="0"/>
        <w:keepLines w:val="0"/>
        <w:pageBreakBefore w:val="0"/>
        <w:shd w:val="clear"/>
        <w:kinsoku/>
        <w:wordWrap/>
        <w:overflowPunct/>
        <w:topLinePunct w:val="0"/>
        <w:autoSpaceDE/>
        <w:autoSpaceDN/>
        <w:bidi w:val="0"/>
        <w:adjustRightInd/>
        <w:snapToGrid/>
        <w:spacing w:line="44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20"/>
        <w:keepNext w:val="0"/>
        <w:keepLines w:val="0"/>
        <w:pageBreakBefore w:val="0"/>
        <w:shd w:val="clear"/>
        <w:kinsoku/>
        <w:wordWrap/>
        <w:overflowPunct/>
        <w:topLinePunct w:val="0"/>
        <w:autoSpaceDE/>
        <w:autoSpaceDN/>
        <w:bidi w:val="0"/>
        <w:adjustRightInd/>
        <w:snapToGrid/>
        <w:spacing w:line="44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20"/>
        <w:keepNext w:val="0"/>
        <w:keepLines w:val="0"/>
        <w:pageBreakBefore w:val="0"/>
        <w:shd w:val="clear"/>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9"/>
        <w:keepNext w:val="0"/>
        <w:keepLines w:val="0"/>
        <w:pageBreakBefore w:val="0"/>
        <w:widowControl w:val="0"/>
        <w:shd w:val="clear"/>
        <w:kinsoku/>
        <w:wordWrap/>
        <w:overflowPunct/>
        <w:topLinePunct w:val="0"/>
        <w:autoSpaceDE/>
        <w:autoSpaceDN/>
        <w:bidi w:val="0"/>
        <w:adjustRightInd/>
        <w:snapToGrid/>
        <w:spacing w:beforeLines="0" w:afterLines="0" w:line="44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9"/>
        <w:keepNext w:val="0"/>
        <w:keepLines w:val="0"/>
        <w:pageBreakBefore w:val="0"/>
        <w:widowControl w:val="0"/>
        <w:shd w:val="clear"/>
        <w:kinsoku/>
        <w:wordWrap/>
        <w:overflowPunct/>
        <w:topLinePunct w:val="0"/>
        <w:autoSpaceDE/>
        <w:autoSpaceDN/>
        <w:bidi w:val="0"/>
        <w:adjustRightInd/>
        <w:snapToGrid/>
        <w:spacing w:beforeLines="0" w:afterLines="0" w:line="440" w:lineRule="exact"/>
        <w:textAlignment w:val="auto"/>
        <w:rPr>
          <w:rFonts w:hint="eastAsia" w:ascii="方正小标宋简体" w:hAnsi="方正小标宋简体" w:eastAsia="方正小标宋简体" w:cs="方正小标宋简体"/>
          <w:b w:val="0"/>
          <w:bCs w:val="0"/>
          <w:sz w:val="28"/>
          <w:szCs w:val="28"/>
        </w:rPr>
      </w:pPr>
    </w:p>
    <w:p>
      <w:pPr>
        <w:pStyle w:val="20"/>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20"/>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20"/>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20"/>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20"/>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4"/>
        <w:keepNext w:val="0"/>
        <w:keepLines w:val="0"/>
        <w:pageBreakBefore w:val="0"/>
        <w:widowControl w:val="0"/>
        <w:shd w:val="clea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color w:val="auto"/>
          <w:sz w:val="28"/>
          <w:szCs w:val="28"/>
          <w:lang w:val="en-US" w:eastAsia="zh-CN"/>
        </w:rPr>
      </w:pPr>
    </w:p>
    <w:p>
      <w:pPr>
        <w:shd w:val="clear"/>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br w:type="page"/>
      </w:r>
    </w:p>
    <w:p>
      <w:pPr>
        <w:pStyle w:val="2"/>
        <w:keepNext/>
        <w:keepLines/>
        <w:pageBreakBefore w:val="0"/>
        <w:widowControl w:val="0"/>
        <w:shd w:val="clear"/>
        <w:kinsoku/>
        <w:wordWrap/>
        <w:overflowPunct/>
        <w:topLinePunct w:val="0"/>
        <w:autoSpaceDE/>
        <w:autoSpaceDN/>
        <w:bidi w:val="0"/>
        <w:adjustRightInd/>
        <w:snapToGrid/>
        <w:spacing w:before="0" w:after="0" w:line="44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6"/>
        <w:pageBreakBefore w:val="0"/>
        <w:shd w:val="clear"/>
        <w:kinsoku/>
        <w:wordWrap/>
        <w:overflowPunct/>
        <w:topLinePunct w:val="0"/>
        <w:autoSpaceDE/>
        <w:autoSpaceDN/>
        <w:bidi w:val="0"/>
        <w:spacing w:line="440" w:lineRule="exact"/>
        <w:ind w:left="0" w:leftChars="0" w:firstLine="0" w:firstLineChars="0"/>
        <w:textAlignment w:val="auto"/>
        <w:rPr>
          <w:rFonts w:hint="eastAsia" w:ascii="仿宋" w:hAnsi="仿宋" w:eastAsia="仿宋" w:cs="仿宋"/>
          <w:sz w:val="28"/>
          <w:szCs w:val="28"/>
          <w:lang w:val="en-US" w:eastAsia="zh-CN"/>
        </w:rPr>
      </w:pPr>
    </w:p>
    <w:p>
      <w:pPr>
        <w:pStyle w:val="2"/>
        <w:keepNext/>
        <w:keepLines/>
        <w:pageBreakBefore w:val="0"/>
        <w:widowControl w:val="0"/>
        <w:shd w:val="clear"/>
        <w:kinsoku/>
        <w:wordWrap/>
        <w:overflowPunct/>
        <w:topLinePunct w:val="0"/>
        <w:autoSpaceDE/>
        <w:autoSpaceDN/>
        <w:bidi w:val="0"/>
        <w:adjustRightInd/>
        <w:snapToGrid/>
        <w:spacing w:before="0" w:after="0" w:line="44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shd w:val="clear"/>
        <w:kinsoku/>
        <w:wordWrap/>
        <w:overflowPunct/>
        <w:topLinePunct w:val="0"/>
        <w:autoSpaceDE/>
        <w:autoSpaceDN/>
        <w:bidi w:val="0"/>
        <w:spacing w:after="120" w:line="44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shd w:val="clear"/>
              <w:kinsoku/>
              <w:wordWrap/>
              <w:overflowPunct/>
              <w:topLinePunct w:val="0"/>
              <w:autoSpaceDE/>
              <w:autoSpaceDN/>
              <w:bidi w:val="0"/>
              <w:spacing w:line="440" w:lineRule="exact"/>
              <w:jc w:val="center"/>
              <w:textAlignment w:val="auto"/>
              <w:rPr>
                <w:rFonts w:hint="eastAsia" w:ascii="仿宋" w:hAnsi="仿宋" w:eastAsia="仿宋" w:cs="仿宋"/>
                <w:b/>
                <w:bCs/>
                <w:sz w:val="28"/>
                <w:szCs w:val="28"/>
              </w:rPr>
            </w:pPr>
          </w:p>
        </w:tc>
      </w:tr>
    </w:tbl>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3"/>
        <w:keepNext w:val="0"/>
        <w:keepLines w:val="0"/>
        <w:pageBreakBefore w:val="0"/>
        <w:widowControl/>
        <w:suppressLineNumbers w:val="0"/>
        <w:shd w:val="clear"/>
        <w:kinsoku/>
        <w:wordWrap/>
        <w:overflowPunct/>
        <w:topLinePunct w:val="0"/>
        <w:autoSpaceDE/>
        <w:autoSpaceDN/>
        <w:bidi w:val="0"/>
        <w:adjustRightInd/>
        <w:snapToGrid/>
        <w:spacing w:before="157" w:beforeLines="50" w:beforeAutospacing="0" w:after="0" w:afterAutospacing="0" w:line="44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3"/>
        <w:keepNext w:val="0"/>
        <w:keepLines w:val="0"/>
        <w:pageBreakBefore w:val="0"/>
        <w:widowControl/>
        <w:suppressLineNumbers w:val="0"/>
        <w:shd w:val="clear"/>
        <w:kinsoku/>
        <w:wordWrap/>
        <w:overflowPunct/>
        <w:topLinePunct w:val="0"/>
        <w:autoSpaceDE/>
        <w:autoSpaceDN/>
        <w:bidi w:val="0"/>
        <w:adjustRightInd/>
        <w:snapToGrid/>
        <w:spacing w:before="157" w:beforeLines="50" w:beforeAutospacing="0" w:after="0" w:afterAutospacing="0" w:line="44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shd w:val="clear"/>
        <w:kinsoku/>
        <w:wordWrap/>
        <w:overflowPunct/>
        <w:topLinePunct w:val="0"/>
        <w:autoSpaceDE/>
        <w:autoSpaceDN/>
        <w:bidi w:val="0"/>
        <w:spacing w:line="44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6"/>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Style w:val="12"/>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pageBreakBefore w:val="0"/>
        <w:shd w:val="clear"/>
        <w:kinsoku/>
        <w:wordWrap/>
        <w:overflowPunct/>
        <w:topLinePunct w:val="0"/>
        <w:autoSpaceDE/>
        <w:autoSpaceDN/>
        <w:bidi w:val="0"/>
        <w:spacing w:line="440" w:lineRule="exact"/>
        <w:textAlignment w:val="auto"/>
        <w:rPr>
          <w:rFonts w:hint="eastAsia" w:ascii="仿宋" w:hAnsi="仿宋" w:eastAsia="仿宋" w:cs="仿宋"/>
          <w:sz w:val="28"/>
          <w:szCs w:val="28"/>
          <w:lang w:val="en-US" w:eastAsia="zh-CN"/>
        </w:rPr>
      </w:pPr>
    </w:p>
    <w:p>
      <w:pPr>
        <w:keepNext w:val="0"/>
        <w:keepLines w:val="0"/>
        <w:pageBreakBefore/>
        <w:widowControl w:val="0"/>
        <w:shd w:val="clear"/>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绿化养护承包</w:t>
      </w:r>
      <w:r>
        <w:rPr>
          <w:rFonts w:hint="eastAsia" w:ascii="方正小标宋简体" w:hAnsi="方正小标宋简体" w:eastAsia="方正小标宋简体" w:cs="方正小标宋简体"/>
          <w:b w:val="0"/>
          <w:bCs w:val="0"/>
          <w:color w:val="auto"/>
          <w:sz w:val="44"/>
          <w:szCs w:val="44"/>
          <w:highlight w:val="none"/>
          <w:lang w:val="zh-CN"/>
        </w:rPr>
        <w:t>合同</w:t>
      </w:r>
    </w:p>
    <w:p>
      <w:pPr>
        <w:keepNext w:val="0"/>
        <w:keepLines w:val="0"/>
        <w:pageBreakBefore w:val="0"/>
        <w:shd w:val="clear"/>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shd w:val="clear"/>
        <w:kinsoku/>
        <w:wordWrap/>
        <w:overflowPunct/>
        <w:topLinePunct w:val="0"/>
        <w:bidi w:val="0"/>
        <w:snapToGrid/>
        <w:spacing w:line="560" w:lineRule="exact"/>
        <w:ind w:left="0" w:firstLine="560"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6"/>
        <w:keepNext w:val="0"/>
        <w:keepLines w:val="0"/>
        <w:pageBreakBefore w:val="0"/>
        <w:shd w:val="clear"/>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9f15ccbf-f79a-40d5-ba0f-0355499d14ad}"/>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2024年美丽乡村景观线绿化养护工程</w:t>
          </w:r>
        </w:sdtContent>
      </w:sdt>
      <w:r>
        <w:rPr>
          <w:rFonts w:hint="eastAsia" w:ascii="仿宋_GB2312" w:hAnsi="仿宋_GB2312" w:eastAsia="仿宋_GB2312" w:cs="仿宋_GB2312"/>
          <w:b w:val="0"/>
          <w:color w:val="auto"/>
          <w:kern w:val="2"/>
          <w:sz w:val="28"/>
          <w:szCs w:val="28"/>
          <w:highlight w:val="none"/>
          <w:u w:val="single"/>
          <w:lang w:val="en-US" w:eastAsia="zh-CN"/>
        </w:rPr>
        <w:t xml:space="preserve"> </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zh-CN"/>
        </w:rPr>
        <w:t>2.工程地点：</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42ac9b59-10b5-4ce1-bc92-61ffcddad1ca}"/>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none"/>
            <w:u w:val="single"/>
            <w:lang w:val="zh-CN" w:eastAsia="zh-CN" w:bidi="ar-SA"/>
          </w:rPr>
        </w:sdtEndPr>
        <w:sdtContent>
          <w:r>
            <w:rPr>
              <w:rFonts w:hint="eastAsia" w:ascii="仿宋_GB2312" w:hAnsi="仿宋_GB2312" w:eastAsia="仿宋_GB2312" w:cs="仿宋_GB2312"/>
              <w:color w:val="auto"/>
              <w:kern w:val="2"/>
              <w:sz w:val="28"/>
              <w:szCs w:val="28"/>
              <w:highlight w:val="none"/>
              <w:u w:val="single"/>
              <w:lang w:val="en-US" w:eastAsia="zh-CN" w:bidi="ar-SA"/>
            </w:rPr>
            <w:t>湖州市南浔区</w:t>
          </w:r>
        </w:sdtContent>
      </w:sdt>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highlight w:val="none"/>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17b39c87-156f-4f46-9ed3-2978971d5ea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1、养护内容：①绿化养护，景观线绿化带除草、病虫害防治、水肥管理、苗木补植等项目的管护；②环境卫生保洁, 绿化带环境卫生保洁，绿化带边坡清理；③设施维护, 绿道、平侧石、灯光设施、座椅、公交驿站、旅游驿站、旅游标识、停车场、 景观节点等设施管理维修（包括材料）；④排水系统日常维护， 明沟、暗沟、沟盖板、排水井等维护；（包括附属设施及材料）⑤其它绿化带范围内的建筑设施等。管护范围不包括主干路的路基、路面的养护。2、养护范围：美丽乡村景观线绿化带（一般 15 米左右，不超过 30 米）范围内，景观节点宽度可适当延伸。管护范围：美丽乡村景观线建设区级财政补助区域，具体由镇（开发区） 在景观线与周边农田、鱼塘、村庄设定界桩，并以区交通局提供的测绘数据为准。3、养护单位需负责养护区域的四季草花种植。4、以招标人对上合同中约定的内容为准。</w:t>
          </w:r>
        </w:sdtContent>
      </w:sdt>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绿化养护                                            </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shd w:val="clear"/>
        <w:kinsoku/>
        <w:wordWrap/>
        <w:overflowPunct/>
        <w:topLinePunct w:val="0"/>
        <w:bidi w:val="0"/>
        <w:snapToGrid/>
        <w:spacing w:line="560" w:lineRule="exact"/>
        <w:ind w:left="559" w:leftChars="266"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合同单价为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元/m2·年，养护面积为</w:t>
      </w:r>
    </w:p>
    <w:p>
      <w:pPr>
        <w:keepNext w:val="0"/>
        <w:keepLines w:val="0"/>
        <w:pageBreakBefore w:val="0"/>
        <w:shd w:val="clear"/>
        <w:kinsoku/>
        <w:wordWrap/>
        <w:overflowPunct/>
        <w:topLinePunct w:val="0"/>
        <w:bidi w:val="0"/>
        <w:snapToGrid/>
        <w:spacing w:line="56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m2，最终以实际养护面积为准。</w:t>
      </w:r>
      <w:r>
        <w:rPr>
          <w:rFonts w:hint="eastAsia" w:ascii="仿宋" w:hAnsi="仿宋" w:eastAsia="仿宋" w:cs="仿宋"/>
          <w:color w:val="000000"/>
          <w:sz w:val="28"/>
          <w:szCs w:val="28"/>
          <w:highlight w:val="none"/>
          <w:lang w:val="en-US" w:eastAsia="zh-CN"/>
        </w:rPr>
        <w:t>合同签约养护单价为8个标段中标价的平均值。</w:t>
      </w:r>
    </w:p>
    <w:p>
      <w:pPr>
        <w:keepNext w:val="0"/>
        <w:keepLines w:val="0"/>
        <w:pageBreakBefore w:val="0"/>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eastAsia="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养护期</w:t>
      </w:r>
    </w:p>
    <w:p>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firstLine="536"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pacing w:val="-6"/>
          <w:sz w:val="28"/>
          <w:szCs w:val="28"/>
          <w:u w:val="single"/>
          <w:lang w:val="en-US" w:eastAsia="zh-CN"/>
        </w:rPr>
        <w:t xml:space="preserve">    年     月       日至      年   月      日</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具体以招标人与业主签订的合同中的养护期限为准，若招标人与业主的合同终止，本合同也相应终止。</w:t>
      </w:r>
      <w:r>
        <w:rPr>
          <w:rFonts w:hint="eastAsia" w:ascii="仿宋_GB2312" w:hAnsi="仿宋_GB2312" w:eastAsia="仿宋_GB2312" w:cs="仿宋_GB2312"/>
          <w:color w:val="000000"/>
          <w:sz w:val="28"/>
          <w:szCs w:val="28"/>
          <w:highlight w:val="none"/>
          <w:vertAlign w:val="baseline"/>
          <w:lang w:val="en-US" w:eastAsia="zh-CN"/>
        </w:rPr>
        <w:t>招标人有权视中标人的履约情况决定是否续签合同</w:t>
      </w:r>
    </w:p>
    <w:p>
      <w:pPr>
        <w:keepNext w:val="0"/>
        <w:keepLines w:val="0"/>
        <w:pageBreakBefore w:val="0"/>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第七条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6"/>
        <w:keepNext w:val="0"/>
        <w:keepLines w:val="0"/>
        <w:pageBreakBefore w:val="0"/>
        <w:numPr>
          <w:ilvl w:val="0"/>
          <w:numId w:val="0"/>
        </w:numPr>
        <w:shd w:val="clea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shd w:val="clear"/>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shd w:val="clear"/>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第八条 付款方式</w:t>
      </w:r>
    </w:p>
    <w:p>
      <w:pPr>
        <w:keepNext w:val="0"/>
        <w:keepLines w:val="0"/>
        <w:pageBreakBefore w:val="0"/>
        <w:numPr>
          <w:ilvl w:val="0"/>
          <w:numId w:val="0"/>
        </w:numPr>
        <w:shd w:val="clea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2398bf7c-a38a-42ce-ae29-800d23f94a86}"/>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kern w:val="2"/>
              <w:sz w:val="28"/>
              <w:szCs w:val="28"/>
              <w:highlight w:val="none"/>
              <w:lang w:val="en-US" w:eastAsia="zh-CN" w:bidi="ar-SA"/>
            </w:rPr>
            <w:t>年终根据考核结果及收到业主款项后根据结算方式支付。</w:t>
          </w:r>
        </w:sdtContent>
      </w:sdt>
    </w:p>
    <w:p>
      <w:pPr>
        <w:keepNext w:val="0"/>
        <w:keepLines w:val="0"/>
        <w:pageBreakBefore w:val="0"/>
        <w:numPr>
          <w:ilvl w:val="0"/>
          <w:numId w:val="0"/>
        </w:numPr>
        <w:shd w:val="clea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zh-CN" w:eastAsia="zh-CN" w:bidi="ar-SA"/>
        </w:rPr>
        <w:t>罚款按每月考核情况扣除，每月考核90分及以上的全额支付，80分-89分的</w:t>
      </w:r>
      <w:r>
        <w:rPr>
          <w:rFonts w:hint="eastAsia" w:ascii="仿宋_GB2312" w:hAnsi="仿宋_GB2312" w:eastAsia="仿宋_GB2312" w:cs="仿宋_GB2312"/>
          <w:color w:val="auto"/>
          <w:kern w:val="2"/>
          <w:sz w:val="28"/>
          <w:szCs w:val="28"/>
          <w:lang w:val="en-US" w:eastAsia="zh-CN" w:bidi="ar-SA"/>
        </w:rPr>
        <w:t>本季度应付价款</w:t>
      </w:r>
      <w:r>
        <w:rPr>
          <w:rFonts w:hint="eastAsia" w:ascii="仿宋_GB2312" w:hAnsi="仿宋_GB2312" w:eastAsia="仿宋_GB2312" w:cs="仿宋_GB2312"/>
          <w:color w:val="auto"/>
          <w:kern w:val="2"/>
          <w:sz w:val="28"/>
          <w:szCs w:val="28"/>
          <w:lang w:val="zh-CN" w:eastAsia="zh-CN" w:bidi="ar-SA"/>
        </w:rPr>
        <w:t>扣除10%，70-79分的扣除20%，60-69分的扣除30%，60分以下的养护费用不予支付甲方有权终止合同，考核评分明细表详见附件</w:t>
      </w:r>
      <w:r>
        <w:rPr>
          <w:rFonts w:hint="eastAsia" w:ascii="仿宋_GB2312" w:hAnsi="仿宋_GB2312" w:eastAsia="仿宋_GB2312" w:cs="仿宋_GB2312"/>
          <w:color w:val="auto"/>
          <w:kern w:val="2"/>
          <w:sz w:val="28"/>
          <w:szCs w:val="28"/>
          <w:lang w:val="en-US" w:eastAsia="zh-CN" w:bidi="ar-SA"/>
        </w:rPr>
        <w:t>2。</w:t>
      </w: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shd w:val="clea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en-US" w:eastAsia="zh-CN"/>
        </w:rPr>
        <w:t>6、全面监督、指导、检查、验收乙方工作</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7、与季节或立地条件不相适应的植物，在乙方接收养护前须作必要更换的，经甲方同意，其费用由甲方负责；</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8、在检查时如发现有不合格之处，应以“质量整改通知书”的形式书面通知乙方；</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lang w:val="en-US" w:eastAsia="zh-CN"/>
        </w:rPr>
      </w:pPr>
      <w:r>
        <w:rPr>
          <w:rFonts w:hint="eastAsia" w:ascii="仿宋_GB2312" w:hAnsi="仿宋_GB2312" w:eastAsia="仿宋_GB2312" w:cs="仿宋_GB2312"/>
          <w:color w:val="auto"/>
          <w:sz w:val="28"/>
          <w:szCs w:val="28"/>
          <w:lang w:val="en-US" w:eastAsia="zh-CN"/>
        </w:rPr>
        <w:t>9、甲方应根据乙方事先通知的作业计划，安排专门人员协调解决水电等配套工作；</w:t>
      </w:r>
    </w:p>
    <w:p>
      <w:pPr>
        <w:keepNext w:val="0"/>
        <w:keepLines w:val="0"/>
        <w:pageBreakBefore w:val="0"/>
        <w:widowControl/>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6"/>
        <w:keepNext w:val="0"/>
        <w:keepLines w:val="0"/>
        <w:pageBreakBefore w:val="0"/>
        <w:widowControl/>
        <w:shd w:val="clear"/>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6"/>
        <w:keepNext w:val="0"/>
        <w:keepLines w:val="0"/>
        <w:pageBreakBefore w:val="0"/>
        <w:widowControl/>
        <w:shd w:val="clea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left="0" w:leftChars="0"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13、严格按合同标准养护管理，确保质量；遵守甲方的各项规章制度，服从甲方的管理；</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14、交付当天乙方需对苗木进行验收，如有异议当日提出，否则视为甲方交付苗木生长良好。</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15、对甲方检查不合格之处，乙方应在3天内进行整改。如果逾期，甲方有权委托第三方整改，发生的费用由乙方承担。乙方未及时整改或整改不到位达【3】次，甲方有权要求乙方赔偿2000元作为违约金；</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16、负责对合同范围内绿地的主要观赏植物进行挂牌宣传，说明其品种原产地，生长特性及养护方法；</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17、统一着装，佩戴工卡上岗。做到工完场清，文明作业；</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18、为保证保管到位，乙方应建立日常的巡查制度，配备专职管理人员，做好日常养护记录，建立绿化养护技术档案。有紧急情况随叫随到；</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19、对本合同养护项目实施养护管理所用的一切劳动力、材料和服务由乙方自行组</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织，由此产生的一切费用由乙方承担；</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20、乙方必须重视安全生产。养护期间，由养护工作引起的养护工作人员或他人的人身损害和财产损失，乙方应承担由此引起的一切责任和由此引发的一切经济损失，与甲方无涉；</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21、承包期限内，本合同养护项目内苗木发生死亡（非人为因素），乙方应及时按照原有品种补齐或修复，并经甲方验收，并自行承担所需费用。如遇不可抗拒自然灾害（如特大干旱、暴雨、冰雹等）造成重大损失由甲乙双方协商解决补救办法。合同期限届满时，乙方应保证本合同养护项目苗木完好无损。未完成的由乙方负责补齐或修复。届时，未补齐或修复的，甲方可自行或委托他人补齐或修复，费用由乙方负责；</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22、无条件服从甲方安排的特殊假期或上级检查布置的临时养护任务，由此产生的费用乙方负责。</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23、由乙方工作失误造成的一切损失由乙方负责；</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24、乙方承担养护工作而发生的水、电费及除虫、除草、施肥等全部费用；</w:t>
      </w:r>
    </w:p>
    <w:p>
      <w:pPr>
        <w:pStyle w:val="22"/>
        <w:keepNext w:val="0"/>
        <w:keepLines w:val="0"/>
        <w:pageBreakBefore w:val="0"/>
        <w:shd w:val="clear"/>
        <w:kinsoku/>
        <w:wordWrap/>
        <w:overflowPunct/>
        <w:topLinePunct w:val="0"/>
        <w:autoSpaceDE/>
        <w:autoSpaceDN/>
        <w:bidi w:val="0"/>
        <w:adjustRightInd/>
        <w:snapToGrid/>
        <w:spacing w:before="0" w:beforeAutospacing="0" w:after="0" w:afterAutospacing="0" w:line="360" w:lineRule="atLeast"/>
        <w:ind w:left="479" w:leftChars="228"/>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kern w:val="0"/>
          <w:sz w:val="28"/>
          <w:szCs w:val="28"/>
          <w:lang w:val="en-US" w:eastAsia="zh-CN" w:bidi="ar-SA"/>
        </w:rPr>
        <w:t>25、按时获取绿化养护费用。</w:t>
      </w:r>
    </w:p>
    <w:p>
      <w:pPr>
        <w:keepNext w:val="0"/>
        <w:keepLines w:val="0"/>
        <w:pageBreakBefore w:val="0"/>
        <w:widowControl/>
        <w:shd w:val="clear"/>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shd w:val="clear"/>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shd w:val="clear"/>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shd w:val="clear"/>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6"/>
        <w:keepNext w:val="0"/>
        <w:keepLines w:val="0"/>
        <w:pageBreakBefore w:val="0"/>
        <w:widowControl/>
        <w:shd w:val="clea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6"/>
        <w:keepNext w:val="0"/>
        <w:keepLines w:val="0"/>
        <w:pageBreakBefore w:val="0"/>
        <w:widowControl/>
        <w:shd w:val="clea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乙方承诺并保证本工程所有施工人员（管理人员、农民工等等）参与考勤，未按照规定进行考勤的，甲方有权可以不予支付工程款。乙方承诺并保证本工程不发生拖欠农民工工资的行为、不发生农民工讨薪事件，如发生民工讨薪的，积极、及时处理，否则甲方有权在未征得乙方同意的情况下先行垫付讨薪人员的薪资，相关垫付费用由甲方在乙方工程款中直接扣除，本工程工程款不够扣除的可以从乙方履约保证金或入库保证金、乙方其他任一工程的工程款中进行扣除，情节严重的取消其入库资格并清退出库。</w:t>
      </w:r>
    </w:p>
    <w:p>
      <w:pPr>
        <w:pStyle w:val="6"/>
        <w:keepNext w:val="0"/>
        <w:keepLines w:val="0"/>
        <w:pageBreakBefore w:val="0"/>
        <w:widowControl/>
        <w:shd w:val="clear"/>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w:t>
      </w:r>
      <w:r>
        <w:rPr>
          <w:rFonts w:hint="eastAsia" w:ascii="仿宋_GB2312" w:hAnsi="仿宋_GB2312" w:eastAsia="仿宋_GB2312" w:cs="仿宋_GB2312"/>
          <w:color w:val="auto"/>
          <w:sz w:val="28"/>
          <w:szCs w:val="28"/>
          <w:lang w:val="en-US" w:eastAsia="zh-CN"/>
        </w:rPr>
        <w:t>时的</w:t>
      </w:r>
      <w:r>
        <w:rPr>
          <w:rFonts w:hint="eastAsia" w:ascii="仿宋_GB2312" w:hAnsi="仿宋_GB2312" w:eastAsia="仿宋_GB2312" w:cs="仿宋_GB2312"/>
          <w:color w:val="auto"/>
          <w:sz w:val="28"/>
          <w:szCs w:val="28"/>
          <w:lang w:val="zh-CN"/>
        </w:rPr>
        <w:t>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6"/>
        <w:keepNext w:val="0"/>
        <w:keepLines w:val="0"/>
        <w:pageBreakBefore w:val="0"/>
        <w:widowControl/>
        <w:shd w:val="clea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6"/>
        <w:keepNext w:val="0"/>
        <w:keepLines w:val="0"/>
        <w:pageBreakBefore w:val="0"/>
        <w:widowControl/>
        <w:shd w:val="clea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6"/>
        <w:keepNext w:val="0"/>
        <w:keepLines w:val="0"/>
        <w:pageBreakBefore w:val="0"/>
        <w:widowControl/>
        <w:shd w:val="clea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6"/>
        <w:keepNext w:val="0"/>
        <w:keepLines w:val="0"/>
        <w:pageBreakBefore w:val="0"/>
        <w:widowControl/>
        <w:shd w:val="clea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shd w:val="clear"/>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shd w:val="clear"/>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shd w:val="clear"/>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keepNext w:val="0"/>
        <w:keepLines w:val="0"/>
        <w:pageBreakBefore w:val="0"/>
        <w:kinsoku/>
        <w:wordWrap/>
        <w:overflowPunct/>
        <w:topLinePunct w:val="0"/>
        <w:autoSpaceDE/>
        <w:autoSpaceDN/>
        <w:bidi w:val="0"/>
        <w:adjustRightInd/>
        <w:snapToGrid/>
        <w:spacing w:line="360" w:lineRule="atLeas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kern w:val="2"/>
          <w:sz w:val="28"/>
          <w:szCs w:val="28"/>
          <w:highlight w:val="none"/>
          <w:lang w:val="en-US" w:eastAsia="zh-CN" w:bidi="ar-SA"/>
        </w:rPr>
        <w:t>养护单价*实际养护面积-其他扣款</w:t>
      </w: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乙方在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应付工程款足额的6%增值税税额专用发票，不足部分从应付工程款中进行扣除。</w:t>
      </w:r>
      <w:r>
        <w:rPr>
          <w:rFonts w:hint="eastAsia" w:ascii="仿宋_GB2312" w:hAnsi="仿宋_GB2312" w:eastAsia="仿宋_GB2312" w:cs="仿宋_GB2312"/>
          <w:color w:val="auto"/>
          <w:kern w:val="2"/>
          <w:sz w:val="28"/>
          <w:szCs w:val="28"/>
          <w:lang w:val="zh-CN" w:eastAsia="zh-CN" w:bidi="ar-SA"/>
        </w:rPr>
        <w:t>甲方不定期采取普查与随机抽查相结合的方法，对乙方绿化养护质量进行考核验收，乙方需提供养护日期记录表，作为付款依据；</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w:t>
      </w:r>
      <w:r>
        <w:rPr>
          <w:rFonts w:hint="eastAsia" w:ascii="仿宋_GB2312" w:hAnsi="仿宋_GB2312" w:eastAsia="仿宋_GB2312" w:cs="仿宋_GB2312"/>
          <w:color w:val="auto"/>
          <w:kern w:val="2"/>
          <w:sz w:val="28"/>
          <w:szCs w:val="28"/>
          <w:lang w:val="zh-CN" w:eastAsia="zh-CN" w:bidi="ar-SA"/>
        </w:rPr>
        <w:t>甲方</w:t>
      </w:r>
      <w:r>
        <w:rPr>
          <w:rFonts w:hint="default" w:ascii="仿宋_GB2312" w:hAnsi="仿宋_GB2312" w:eastAsia="仿宋_GB2312" w:cs="仿宋_GB2312"/>
          <w:color w:val="auto"/>
          <w:kern w:val="2"/>
          <w:sz w:val="28"/>
          <w:szCs w:val="28"/>
          <w:lang w:val="zh-CN" w:eastAsia="zh-CN" w:bidi="ar-SA"/>
        </w:rPr>
        <w:t>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w:t>
      </w:r>
      <w:r>
        <w:rPr>
          <w:rFonts w:hint="eastAsia" w:ascii="仿宋_GB2312" w:hAnsi="仿宋_GB2312" w:eastAsia="仿宋_GB2312" w:cs="仿宋_GB2312"/>
          <w:color w:val="auto"/>
          <w:kern w:val="2"/>
          <w:sz w:val="28"/>
          <w:szCs w:val="28"/>
          <w:lang w:val="zh-CN" w:eastAsia="zh-CN" w:bidi="ar-SA"/>
        </w:rPr>
        <w:t>乙方</w:t>
      </w:r>
      <w:r>
        <w:rPr>
          <w:rFonts w:hint="default" w:ascii="仿宋_GB2312" w:hAnsi="仿宋_GB2312" w:eastAsia="仿宋_GB2312" w:cs="仿宋_GB2312"/>
          <w:color w:val="auto"/>
          <w:kern w:val="2"/>
          <w:sz w:val="28"/>
          <w:szCs w:val="28"/>
          <w:lang w:val="zh-CN" w:eastAsia="zh-CN" w:bidi="ar-SA"/>
        </w:rPr>
        <w:t>的工程款中直接扣除（</w:t>
      </w:r>
      <w:r>
        <w:rPr>
          <w:rFonts w:hint="eastAsia" w:ascii="仿宋_GB2312" w:hAnsi="仿宋_GB2312" w:eastAsia="仿宋_GB2312" w:cs="仿宋_GB2312"/>
          <w:color w:val="auto"/>
          <w:kern w:val="2"/>
          <w:sz w:val="28"/>
          <w:szCs w:val="28"/>
          <w:lang w:val="en-US" w:eastAsia="zh-CN" w:bidi="ar-SA"/>
        </w:rPr>
        <w:t>按照</w:t>
      </w:r>
      <w:r>
        <w:rPr>
          <w:rFonts w:hint="eastAsia" w:ascii="仿宋_GB2312" w:hAnsi="仿宋_GB2312" w:eastAsia="仿宋_GB2312" w:cs="仿宋_GB2312"/>
          <w:color w:val="auto"/>
          <w:kern w:val="2"/>
          <w:sz w:val="28"/>
          <w:szCs w:val="28"/>
          <w:lang w:val="zh-CN" w:eastAsia="zh-CN" w:bidi="ar-SA"/>
        </w:rPr>
        <w:t>甲方</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zh-CN" w:eastAsia="zh-CN" w:bidi="ar-SA"/>
        </w:rPr>
        <w:t>乙方</w:t>
      </w:r>
      <w:r>
        <w:rPr>
          <w:rFonts w:hint="default" w:ascii="仿宋_GB2312" w:hAnsi="仿宋_GB2312" w:eastAsia="仿宋_GB2312" w:cs="仿宋_GB2312"/>
          <w:color w:val="auto"/>
          <w:kern w:val="2"/>
          <w:sz w:val="28"/>
          <w:szCs w:val="28"/>
          <w:lang w:val="zh-CN" w:eastAsia="zh-CN" w:bidi="ar-SA"/>
        </w:rPr>
        <w:t>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w:t>
      </w:r>
      <w:r>
        <w:rPr>
          <w:rFonts w:hint="eastAsia" w:ascii="仿宋_GB2312" w:hAnsi="仿宋_GB2312" w:eastAsia="仿宋_GB2312" w:cs="仿宋_GB2312"/>
          <w:color w:val="auto"/>
          <w:kern w:val="2"/>
          <w:sz w:val="28"/>
          <w:szCs w:val="28"/>
          <w:lang w:val="zh-CN" w:eastAsia="zh-CN" w:bidi="ar-SA"/>
        </w:rPr>
        <w:t>乙方</w:t>
      </w:r>
      <w:r>
        <w:rPr>
          <w:rFonts w:hint="default" w:ascii="仿宋_GB2312" w:hAnsi="仿宋_GB2312" w:eastAsia="仿宋_GB2312" w:cs="仿宋_GB2312"/>
          <w:color w:val="auto"/>
          <w:kern w:val="2"/>
          <w:sz w:val="28"/>
          <w:szCs w:val="28"/>
          <w:lang w:val="zh-CN" w:eastAsia="zh-CN" w:bidi="ar-SA"/>
        </w:rPr>
        <w:t>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shd w:val="clear"/>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w:t>
      </w:r>
      <w:r>
        <w:rPr>
          <w:rFonts w:hint="eastAsia" w:ascii="仿宋_GB2312" w:hAnsi="仿宋_GB2312" w:eastAsia="仿宋_GB2312" w:cs="仿宋_GB2312"/>
          <w:color w:val="auto"/>
          <w:kern w:val="2"/>
          <w:sz w:val="28"/>
          <w:szCs w:val="28"/>
          <w:lang w:val="zh-CN" w:eastAsia="zh-CN" w:bidi="ar-SA"/>
        </w:rPr>
        <w:t>甲方</w:t>
      </w:r>
      <w:r>
        <w:rPr>
          <w:rFonts w:hint="default" w:ascii="仿宋_GB2312" w:hAnsi="仿宋_GB2312" w:eastAsia="仿宋_GB2312" w:cs="仿宋_GB2312"/>
          <w:color w:val="auto"/>
          <w:kern w:val="2"/>
          <w:sz w:val="28"/>
          <w:szCs w:val="28"/>
          <w:lang w:val="zh-CN" w:eastAsia="zh-CN" w:bidi="ar-SA"/>
        </w:rPr>
        <w:t>实际采购价上浮8%在</w:t>
      </w:r>
      <w:r>
        <w:rPr>
          <w:rFonts w:hint="eastAsia" w:ascii="仿宋_GB2312" w:hAnsi="仿宋_GB2312" w:eastAsia="仿宋_GB2312" w:cs="仿宋_GB2312"/>
          <w:color w:val="auto"/>
          <w:kern w:val="2"/>
          <w:sz w:val="28"/>
          <w:szCs w:val="28"/>
          <w:lang w:val="zh-CN" w:eastAsia="zh-CN" w:bidi="ar-SA"/>
        </w:rPr>
        <w:t>乙方</w:t>
      </w:r>
      <w:r>
        <w:rPr>
          <w:rFonts w:hint="default" w:ascii="仿宋_GB2312" w:hAnsi="仿宋_GB2312" w:eastAsia="仿宋_GB2312" w:cs="仿宋_GB2312"/>
          <w:color w:val="auto"/>
          <w:kern w:val="2"/>
          <w:sz w:val="28"/>
          <w:szCs w:val="28"/>
          <w:lang w:val="zh-CN" w:eastAsia="zh-CN" w:bidi="ar-SA"/>
        </w:rPr>
        <w:t>工程款中直接扣除。</w:t>
      </w:r>
    </w:p>
    <w:p>
      <w:pPr>
        <w:keepNext w:val="0"/>
        <w:keepLines w:val="0"/>
        <w:pageBreakBefore w:val="0"/>
        <w:widowControl/>
        <w:shd w:val="clear"/>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shd w:val="clear"/>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pPr>
        <w:keepNext w:val="0"/>
        <w:keepLines w:val="0"/>
        <w:pageBreakBefore w:val="0"/>
        <w:widowControl/>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shd w:val="clea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numPr>
          <w:ilvl w:val="0"/>
          <w:numId w:val="0"/>
        </w:numPr>
        <w:shd w:val="clear"/>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lang w:val="zh-CN"/>
        </w:rPr>
      </w:pPr>
      <w:r>
        <w:rPr>
          <w:rFonts w:hint="eastAsia" w:ascii="仿宋" w:hAnsi="仿宋" w:eastAsia="仿宋" w:cs="仿宋"/>
          <w:color w:val="auto"/>
          <w:sz w:val="28"/>
          <w:szCs w:val="28"/>
          <w:lang w:val="en-US" w:eastAsia="zh-CN"/>
        </w:rPr>
        <w:t>2.合同的条款内容中有矛盾或者不一致的，不好判断时，应以其中要求较严格的标准为准并执行。</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shd w:val="clear"/>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shd w:val="clear"/>
        <w:wordWrap w:val="0"/>
        <w:spacing w:line="360" w:lineRule="atLeast"/>
        <w:ind w:right="150"/>
        <w:jc w:val="both"/>
        <w:rPr>
          <w:rFonts w:hint="eastAsia" w:ascii="仿宋_GB2312" w:hAnsi="仿宋_GB2312" w:eastAsia="仿宋_GB2312" w:cs="仿宋_GB2312"/>
          <w:color w:val="auto"/>
          <w:sz w:val="28"/>
          <w:szCs w:val="28"/>
          <w:lang w:val="en-US" w:eastAsia="zh-CN"/>
        </w:rPr>
      </w:pPr>
    </w:p>
    <w:p>
      <w:pPr>
        <w:shd w:val="clear"/>
        <w:wordWrap w:val="0"/>
        <w:spacing w:line="360" w:lineRule="atLeast"/>
        <w:ind w:right="15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附件1：工程绿化养护标准</w:t>
      </w:r>
    </w:p>
    <w:p>
      <w:pPr>
        <w:pStyle w:val="14"/>
        <w:ind w:left="0" w:leftChars="0" w:firstLine="0" w:firstLineChars="0"/>
        <w:rPr>
          <w:rFonts w:hint="default"/>
          <w:lang w:val="en-US" w:eastAsia="zh-CN"/>
        </w:rPr>
      </w:pPr>
      <w:r>
        <w:rPr>
          <w:rFonts w:hint="eastAsia" w:ascii="仿宋_GB2312" w:hAnsi="仿宋_GB2312" w:eastAsia="仿宋_GB2312" w:cs="仿宋_GB2312"/>
          <w:color w:val="auto"/>
          <w:sz w:val="28"/>
          <w:szCs w:val="28"/>
          <w:lang w:val="en-US" w:eastAsia="zh-CN"/>
        </w:rPr>
        <w:t>附件2：绿地养护管理季度考核表</w:t>
      </w:r>
    </w:p>
    <w:p>
      <w:pPr>
        <w:pStyle w:val="6"/>
        <w:keepNext w:val="0"/>
        <w:keepLines w:val="0"/>
        <w:pageBreakBefore w:val="0"/>
        <w:widowControl/>
        <w:shd w:val="clear"/>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6"/>
        <w:keepNext w:val="0"/>
        <w:keepLines w:val="0"/>
        <w:pageBreakBefore w:val="0"/>
        <w:widowControl/>
        <w:shd w:val="clear"/>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6"/>
        <w:keepNext w:val="0"/>
        <w:keepLines w:val="0"/>
        <w:pageBreakBefore w:val="0"/>
        <w:widowControl/>
        <w:shd w:val="clear"/>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r>
        <w:rPr>
          <w:highlight w:val="none"/>
        </w:rPr>
        <w:br w:type="page"/>
      </w:r>
    </w:p>
    <w:p>
      <w:pPr>
        <w:shd w:val="clear"/>
        <w:wordWrap w:val="0"/>
        <w:spacing w:line="360" w:lineRule="atLeast"/>
        <w:ind w:right="150"/>
        <w:rPr>
          <w:rFonts w:hint="eastAsia" w:ascii="仿宋" w:hAnsi="仿宋" w:eastAsia="仿宋" w:cs="仿宋"/>
        </w:rPr>
      </w:pPr>
      <w:r>
        <w:rPr>
          <w:rFonts w:hint="eastAsia" w:ascii="仿宋" w:hAnsi="仿宋" w:eastAsia="仿宋" w:cs="仿宋"/>
        </w:rPr>
        <w:t xml:space="preserve">附件1               </w:t>
      </w:r>
    </w:p>
    <w:p>
      <w:pPr>
        <w:shd w:val="clear"/>
        <w:wordWrap w:val="0"/>
        <w:spacing w:line="360" w:lineRule="atLeast"/>
        <w:ind w:right="150"/>
        <w:jc w:val="center"/>
        <w:rPr>
          <w:rFonts w:hint="eastAsia" w:ascii="仿宋" w:hAnsi="仿宋" w:eastAsia="仿宋" w:cs="仿宋"/>
        </w:rPr>
      </w:pPr>
      <w:r>
        <w:rPr>
          <w:rFonts w:hint="eastAsia" w:ascii="仿宋" w:hAnsi="仿宋" w:eastAsia="仿宋" w:cs="仿宋"/>
          <w:b/>
          <w:sz w:val="24"/>
        </w:rPr>
        <w:t>工程绿化养护标准</w:t>
      </w:r>
    </w:p>
    <w:p>
      <w:pPr>
        <w:keepNext w:val="0"/>
        <w:keepLines w:val="0"/>
        <w:pageBreakBefore w:val="0"/>
        <w:widowControl w:val="0"/>
        <w:shd w:val="clear"/>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一、总  则</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1.本规程适用于本工程绿化的养护工作。</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2.在遵守本规程的同时，尚应符合国家现行有关强制性标准的规定。</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3.植物凡经栽植成活一年以上的，其保存率均应达到98%以上，长势良好。</w:t>
      </w:r>
    </w:p>
    <w:p>
      <w:pPr>
        <w:keepNext w:val="0"/>
        <w:keepLines w:val="0"/>
        <w:pageBreakBefore w:val="0"/>
        <w:widowControl w:val="0"/>
        <w:shd w:val="clear"/>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 xml:space="preserve">    4.养护的直观标准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4.1长势树木长势旺盛。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4.2叶片叶色正常、叶大而肥厚、不黄叶、不焦叶、不卷叶、不落叶、无明显虫屎、虫网、被虫咬食叶片数量、每株在10%以下。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4.3枝干树干挺直、倾斜度不超过10度，树干基部无蘖芽滋生、枝干粗壮、无明显枯枝、死桩、基本无蛀干害虫的活卵、活虫，介壳虫在主、侧枝上基本无活虫。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4.4树冠完整美观、分枝点合适、侧枝分布均匀、枝条疏密适当，内膛不乱，通光透光。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4.5行道树分枝点高低、树高、冠幅基本一致，无连续两株缺株、相邻5株的高差＜10%。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4.6花灌木着花率高、开花繁茂、无落花落蕾现象。色块灌木无缺株断行、覆盖度达100%，色块分明，线条清晰流畅。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4.7绿篱、造型灌木形状轮廓清晰，表面平整，园滑、不露空缺、不露枝干、不露捆扎物。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4.8藤本长藤分布合理、枝叶覆盖均匀、附着牢固、覆盖度达85%以上。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4.9草花生长健壮、花繁叶茂、无残花败叶。花坛整洁美观、四季有花、层次分明、图案清晰、色彩搭配适宜。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4.10草坪生长茂盛、叶色正常、基本无秃斑、无枯草层、无杂草、无病虫害、覆盖度达98%以上，留茬高度经常保持在6-8cm。</w:t>
      </w:r>
    </w:p>
    <w:p>
      <w:pPr>
        <w:keepNext w:val="0"/>
        <w:keepLines w:val="0"/>
        <w:pageBreakBefore w:val="0"/>
        <w:widowControl w:val="0"/>
        <w:shd w:val="clear"/>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 xml:space="preserve">    5.养护的施工标准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5.1浇水排水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5.1.1原则浇水应根据不同植物生物学特性、树龄、季节、土壤干湿程度确定。做到适时、适量、不遗漏。每次浇水要浇足浇透。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5.1.2天气在30度以上必须2天内浇透一次水。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5.1.3大树依据具体情况和浇水原则确定。地栽宿根花卉以土壤不干燥为准。喷灌浇水每次开启时间不少于30分钟，以地面无迳流为准。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5.1.5夏季高温季节应在早晨和傍晚进行、冬季宜午后进行。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5.1.6雨季应注意排涝、及时排出积水。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5.1.7暴雨后应排除树木周围的积水。新栽树木周围积水尤应尽速排除。对于栽种于地下水位较高地块的苗木，特别是大乔木更应采取有效的排水措施。</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5.1.8灌溉用水不能采用有害污水。灌溉时，要注意保护树木根部的土壤不被冲刷。</w:t>
      </w:r>
    </w:p>
    <w:p>
      <w:pPr>
        <w:keepNext w:val="0"/>
        <w:keepLines w:val="0"/>
        <w:pageBreakBefore w:val="0"/>
        <w:widowControl w:val="0"/>
        <w:shd w:val="clear"/>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 xml:space="preserve">   6.施肥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6.1原则为确保园林植物正常生长发育，要定期对树木、花卉、草坪等进行施肥。施肥应根据植物种类、树龄、立地条件、生长情况及肥料种类等具体情况而定。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6.2施肥对象乔、灌木；生长不良的树木；木本花卉；草坪及草花。 施用的肥料种类应按树种、生长期、土壤条件等不同要求定。早期扩大冠幅，宜施氮肥；观花观果树种应增施磷、钾肥。</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6.3施肥化肥应溶解后再施用。干施化肥一定要注意均匀，用量宜少不宜多，施后必须及时充分浇水，以免伤根伤叶。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6.4施肥次数乔木每年施肥不少于2次；灌木每年施肥不少于3次；色块灌木和绿篱每年施基不少于2次，；草坪每年施肥不少于2次。根据苗木长势及业主要求可以增加施肥次数。</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6.5施肥量应根据树种、树龄、生长期、肥源以及土壤理化性状等条件决定，施化肥一般用量，乔木250克/株•次，灌木150克/株•次，色块灌木和绿篱30克/㎡•次，草坪10克/㎡•次。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6.6乔、灌木施肥应挖掘施肥沟、穴，以不伤或少伤树根为准，深度不浅于30公分，栽植在草地上的树木，可采用穴施。</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6.7树木养护施用肥料，应以有机肥为主，不宜长期施用单一化肥。有机肥应腐熟后施用。施用宜在晴天，除根外施肥，肥料不得触及树叶。 </w:t>
      </w:r>
    </w:p>
    <w:p>
      <w:pPr>
        <w:keepNext w:val="0"/>
        <w:keepLines w:val="0"/>
        <w:pageBreakBefore w:val="0"/>
        <w:widowControl w:val="0"/>
        <w:shd w:val="clear"/>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 xml:space="preserve">    7.修剪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7.1原则修剪应根据树种习性、设计意图、养护季节、景观效果为原则，达到均衡树势、调节生长、姿态优美、花繁叶茂的目的。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7.2修剪包括除芽、去蘖、摘心摘芽、疏枝、短截、整形、更冠等技术。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7.3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7.4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7.5灌木的修剪一般以保持其自然姿态，疏剪过密枝条，保持内膛通风透光。对丛生灌木的衰老主枝，应本着“留新去老”的原则培养徒长枝或分期短截老枝进行更新。观花灌木和观花小乔木的修剪应掌 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7.6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7.7藤本的修剪藤本每年常规修剪一次，每隔2～3年应理藤一次，彻底清理枯死藤蔓、 理顺分布方向，使叶幕分布均匀、厚度相等。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7.8草花的修剪要掌握各种花卉的生长开花习性，用剪梢、摘心等方法促使侧芽生长，增多开花枝数。要不断摘除花后残花、黄叶、病虫叶，增强花繁叶茂的观赏效果。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7.9草坪的修剪草坪的修剪高度应保持在6-8cm，当草高超过12cm时必须进行修剪。混播草坪修剪次数不少于10次/年，结缕草不少于5次/年。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7.10修剪时间落叶乔、灌木在冬季休眠期进行，常绿乔、灌木在生长期进行。绿篱、造型灌木、色块灌木、草坪等按养护要求及时进行。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7.11修剪次数乔木不少于1次/年，灌木不少于3次/年，绿篱、造型灌木不少于4次/年，色块灌木不少于4次/年。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7.12修剪的剪口或锯口平整光滑，不得劈裂、不留短桩。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7.13修剪应按技术操作规程的要求进行，须特别注意安全。 </w:t>
      </w:r>
    </w:p>
    <w:p>
      <w:pPr>
        <w:keepNext w:val="0"/>
        <w:keepLines w:val="0"/>
        <w:pageBreakBefore w:val="0"/>
        <w:widowControl w:val="0"/>
        <w:shd w:val="clear"/>
        <w:kinsoku/>
        <w:wordWrap/>
        <w:overflowPunct/>
        <w:topLinePunct w:val="0"/>
        <w:autoSpaceDE/>
        <w:autoSpaceDN/>
        <w:bidi w:val="0"/>
        <w:adjustRightInd w:val="0"/>
        <w:snapToGrid w:val="0"/>
        <w:spacing w:line="360" w:lineRule="atLeast"/>
        <w:textAlignment w:val="auto"/>
        <w:rPr>
          <w:rFonts w:hint="eastAsia" w:ascii="仿宋" w:hAnsi="仿宋" w:eastAsia="仿宋" w:cs="仿宋"/>
          <w:sz w:val="24"/>
          <w:szCs w:val="24"/>
        </w:rPr>
      </w:pPr>
      <w:r>
        <w:rPr>
          <w:rFonts w:hint="eastAsia" w:ascii="仿宋" w:hAnsi="仿宋" w:eastAsia="仿宋" w:cs="仿宋"/>
          <w:sz w:val="24"/>
          <w:szCs w:val="24"/>
        </w:rPr>
        <w:t xml:space="preserve">    8.病虫害防治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8.1原则全面贯彻“预防为主，综合防治”的方针，要掌握园林植物病虫害发生规律，在预测、预报的指导下对可能发生的病虫害做好预防。已经发生的病虫害要及时治理、防止蔓延成灾。病虫害发生率应控制在10%以下。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8.2病虫害的药物防治要根据不同的树种、病虫害种类和具体环境条件，正确选用农药种类、剂型、浓度和施用方法，使之既能充分发挥药效，又不产生药害，减少对环境的污染。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8.3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8.4对药械难以喷到顶端的高大树木或蛀干害虫，可采用树干注射法防治。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8.5施药要掌握有利时机，害虫在孵化期或幼虫三龄期以前施药最为有效、真菌病害要在孢子萌发期或侵染初期施药。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8.7农药要妥善保管。施药人员应注意自身的安全，必须按规定穿戴工作服、工作帽、戴好风镜、口罩、手套及其他防护用具。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9.松土、除草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9.1松土土壤板结时要及时进行松土，松土深度5～10cm为宜。草坪应用打孔机松土，每年不少于2次。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9.2除草掌握“除早、除小、除了”的原则，随时清除杂草，除草必须连根剔除。绿地内应做到基本无杂草，草坪的纯净度应达到95%以上。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10.补栽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10.1保持绿地植物的种植量，缺株断行应适时补栽。补栽应使用同品种、基本同规格的苗木，保证补栽后的景观效果。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10.2草坪秃斑应随缺随补，保证草坪的覆盖度和致密度。补草可采用点栽、播种和铺设等不同方法。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11.支撑、扶正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11.1倾斜度超过10度的树木，须进行扶正，落叶树在休眠期进行，常绿树在萌芽前进行。扶正前应先疏剪部分枝桠或进行短截，确保扶正树木的成活。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11.2新栽大树和扶正后的树木应进行支撑。支撑材料在同一路段或区域内应当统一，支撑方式要规范、整齐。支撑着力点应超过树高的1/2以上，支撑材料在着力点与树干接触处应铺垫软质材料，以免损伤树皮。</w:t>
      </w:r>
      <w:r>
        <w:rPr>
          <w:rFonts w:hint="eastAsia" w:ascii="仿宋" w:hAnsi="仿宋" w:eastAsia="仿宋" w:cs="仿宋"/>
          <w:color w:val="FF0000"/>
          <w:sz w:val="24"/>
          <w:szCs w:val="24"/>
        </w:rPr>
        <w:t>每年雨季、台风来临前</w:t>
      </w:r>
      <w:r>
        <w:rPr>
          <w:rFonts w:hint="eastAsia" w:ascii="仿宋" w:hAnsi="仿宋" w:eastAsia="仿宋" w:cs="仿宋"/>
          <w:sz w:val="24"/>
          <w:szCs w:val="24"/>
        </w:rPr>
        <w:t xml:space="preserve">要对支撑进行一次全面检查，对松动的支撑要及时加固，对坎入树皮的捆扎物要及时解除。 </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12. 防护设施</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12.1凡易受冻害的树木，冬季应按不同树种分别采取根际培土及覆草、主干包扎、修剪、根腰部涂刷石灰浆等防寒措施。防寒工作应在12月上旬前完成。对包扎保护越冬的树木，按树木耐寒程度和天气情况，在春分后逐步拆除其包扎物并即清运，最迟应在4月上旬前拆除清运完毕。</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12.2为防止雪压损枝，大雪时，应及时清除枝叶积雪。有倒伏危险的树木应立柱支撑保护。清除积雪时不得损伤树冠。</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12.3对树干的空洞应及时填补。</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13. 地被和草坪养护</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13.1 地  被</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13.1.1地被植物在未覆盖地面期间，每年应及时除去杂草、中耕若干次；清除废弃物、除草、中耕时，应防止损伤地被植物的根系。</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13.1.2天气干旱、土壤干燥时，要适时、适量进行浇水。早春发芽前期采取薄肥勤施的方法进行普遍施肥。</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13.1.3 发现枯死植物应及时挖除并补植。影响景观的枯叶残花要随时整理清除。</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13.1.4 木本地被植物萌发能力强者，应根据生物学特性进行修剪。</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13.2草 坪</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13.2.1草坪覆盖度大于96%、长势保持良好；区域内垃圾、杂物及时清除。</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13.2.2草坪中杂草应及时除去，杂草覆盖率不得高于5%，大型野草更应随时挖除。草坪纯洁度应保持大于95%。除草须采用人工除草法，人工除草要将杂草连根拔除。</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13.2.3裸露地块应及时补植。</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13.2.4草坪应适时进行修剪，每年不少于四次，路边和树根边的草要修剪整齐。修剪应使用轧（滚）草机，滚草前必须清除草坪上石子、瓦砾、树枝、等杂物及垃圾。滚草要平整，边角无遗漏，草屑应及时清除。</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13.2.5土壤干燥时，应及时浇水。浇水方式宜以喷灌为主。</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13.2.6病害、虫害的防治应以防为主，防治结合。防治用药应选择生物制剂和高效无毒或低毒的药剂。</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13.2.7 凡低洼常年积水处，要盲沟排水。</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13.2.8冬季应做好草坪防火工作。在草坪枯黄前（十一月份），必须全面进行一次修剪，高度控制在3 cm以下，草屑及草坪内的枯叶等必须全部清除；在冬季应加强日常防火巡视，发现草坪着火必须及时扑灭并做好清理工作。</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904" w:firstLineChars="377"/>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13.2.9 9月底10月初补播一季黑麦草草籽，要求：公园、观赏性，进口多年生矮生黑麦草草籽</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14. 其  它</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14.1绿化养护必须合理配备现场管理人员，做好养护区域的巡视、维护等日常管理工作，防止人为对绿化的严重损坏，对轻微或偶尔发生难以控制的人为损坏能及时负责处理。</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14.2加强绿化养护的安全生产管理，各项安全生产措施落实到位，确保无安全事故发生。</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sz w:val="24"/>
          <w:szCs w:val="24"/>
        </w:rPr>
      </w:pPr>
      <w:r>
        <w:rPr>
          <w:rFonts w:hint="eastAsia" w:ascii="仿宋" w:hAnsi="仿宋" w:eastAsia="仿宋" w:cs="仿宋"/>
          <w:sz w:val="24"/>
          <w:szCs w:val="24"/>
        </w:rPr>
        <w:t xml:space="preserve">    14.3做好文明生产工作，注重树立良好的社会形象。积极主动协调好与当地群众的各种关系。</w:t>
      </w:r>
    </w:p>
    <w:p>
      <w:pPr>
        <w:keepNext w:val="0"/>
        <w:keepLines w:val="0"/>
        <w:pageBreakBefore w:val="0"/>
        <w:widowControl w:val="0"/>
        <w:shd w:val="clear"/>
        <w:kinsoku/>
        <w:wordWrap/>
        <w:overflowPunct/>
        <w:topLinePunct w:val="0"/>
        <w:autoSpaceDE/>
        <w:autoSpaceDN/>
        <w:bidi w:val="0"/>
        <w:adjustRightInd w:val="0"/>
        <w:snapToGrid w:val="0"/>
        <w:spacing w:line="360" w:lineRule="atLeast"/>
        <w:ind w:firstLine="500"/>
        <w:textAlignment w:val="auto"/>
        <w:rPr>
          <w:rFonts w:hint="eastAsia" w:ascii="仿宋" w:hAnsi="仿宋" w:eastAsia="仿宋" w:cs="仿宋"/>
          <w:b/>
          <w:bCs/>
          <w:sz w:val="24"/>
          <w:szCs w:val="24"/>
        </w:rPr>
      </w:pPr>
      <w:r>
        <w:rPr>
          <w:rFonts w:hint="eastAsia" w:ascii="仿宋" w:hAnsi="仿宋" w:eastAsia="仿宋" w:cs="仿宋"/>
          <w:sz w:val="24"/>
          <w:szCs w:val="24"/>
        </w:rPr>
        <w:t xml:space="preserve">    14.4做好养护区域的保洁工作，绿地内保持整洁，环境优美。</w:t>
      </w:r>
    </w:p>
    <w:p>
      <w:pPr>
        <w:shd w:val="clear"/>
        <w:rPr>
          <w:rFonts w:hint="eastAsia" w:ascii="仿宋" w:hAnsi="仿宋" w:eastAsia="仿宋" w:cs="仿宋"/>
        </w:rPr>
      </w:pPr>
      <w:r>
        <w:rPr>
          <w:rFonts w:hint="eastAsia" w:ascii="仿宋" w:hAnsi="仿宋" w:eastAsia="仿宋" w:cs="仿宋"/>
        </w:rPr>
        <w:br w:type="page"/>
      </w:r>
    </w:p>
    <w:p>
      <w:pPr>
        <w:widowControl/>
        <w:shd w:val="clear"/>
        <w:wordWrap w:val="0"/>
        <w:spacing w:before="150" w:after="156" w:afterLines="50"/>
        <w:outlineLvl w:val="0"/>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2</w:t>
      </w:r>
      <w:r>
        <w:rPr>
          <w:rFonts w:hint="eastAsia" w:ascii="仿宋" w:hAnsi="仿宋" w:eastAsia="仿宋" w:cs="仿宋"/>
        </w:rPr>
        <w:t>：</w:t>
      </w:r>
    </w:p>
    <w:p>
      <w:pPr>
        <w:widowControl/>
        <w:shd w:val="clear"/>
        <w:wordWrap w:val="0"/>
        <w:spacing w:before="150" w:after="156" w:afterLines="50"/>
        <w:outlineLvl w:val="0"/>
        <w:rPr>
          <w:rFonts w:hint="eastAsia" w:ascii="仿宋" w:hAnsi="仿宋" w:eastAsia="仿宋" w:cs="仿宋"/>
        </w:rPr>
      </w:pPr>
    </w:p>
    <w:p>
      <w:pPr>
        <w:widowControl/>
        <w:shd w:val="clear"/>
        <w:wordWrap w:val="0"/>
        <w:spacing w:before="150" w:after="156" w:afterLines="50"/>
        <w:outlineLvl w:val="0"/>
        <w:rPr>
          <w:rFonts w:hint="eastAsia" w:ascii="仿宋" w:hAnsi="仿宋" w:eastAsia="仿宋" w:cs="仿宋"/>
        </w:rPr>
      </w:pPr>
    </w:p>
    <w:tbl>
      <w:tblPr>
        <w:tblStyle w:val="15"/>
        <w:tblpPr w:leftFromText="180" w:rightFromText="180" w:vertAnchor="text" w:horzAnchor="page" w:tblpX="357" w:tblpY="137"/>
        <w:tblOverlap w:val="never"/>
        <w:tblW w:w="11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5"/>
        <w:gridCol w:w="3330"/>
        <w:gridCol w:w="483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23"/>
              <w:shd w:val="clear"/>
              <w:spacing w:before="121"/>
              <w:ind w:left="90" w:right="79"/>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315" w:type="dxa"/>
            <w:noWrap w:val="0"/>
            <w:vAlign w:val="center"/>
          </w:tcPr>
          <w:p>
            <w:pPr>
              <w:pStyle w:val="23"/>
              <w:shd w:val="clear"/>
              <w:spacing w:before="121"/>
              <w:jc w:val="center"/>
              <w:rPr>
                <w:rFonts w:hint="eastAsia" w:ascii="仿宋" w:hAnsi="仿宋" w:eastAsia="仿宋" w:cs="仿宋"/>
                <w:b/>
                <w:bCs/>
                <w:sz w:val="21"/>
                <w:szCs w:val="21"/>
              </w:rPr>
            </w:pPr>
            <w:r>
              <w:rPr>
                <w:rFonts w:hint="eastAsia" w:ascii="仿宋" w:hAnsi="仿宋" w:eastAsia="仿宋" w:cs="仿宋"/>
                <w:b/>
                <w:bCs/>
                <w:sz w:val="21"/>
                <w:szCs w:val="21"/>
              </w:rPr>
              <w:t>考核内容</w:t>
            </w:r>
          </w:p>
        </w:tc>
        <w:tc>
          <w:tcPr>
            <w:tcW w:w="3330" w:type="dxa"/>
            <w:noWrap w:val="0"/>
            <w:vAlign w:val="center"/>
          </w:tcPr>
          <w:p>
            <w:pPr>
              <w:pStyle w:val="23"/>
              <w:shd w:val="clear"/>
              <w:spacing w:before="121"/>
              <w:ind w:left="80" w:right="72"/>
              <w:jc w:val="center"/>
              <w:rPr>
                <w:rFonts w:hint="eastAsia" w:ascii="仿宋" w:hAnsi="仿宋" w:eastAsia="仿宋" w:cs="仿宋"/>
                <w:b/>
                <w:bCs/>
                <w:sz w:val="21"/>
                <w:szCs w:val="21"/>
              </w:rPr>
            </w:pPr>
            <w:r>
              <w:rPr>
                <w:rFonts w:hint="eastAsia" w:ascii="仿宋" w:hAnsi="仿宋" w:eastAsia="仿宋" w:cs="仿宋"/>
                <w:b/>
                <w:bCs/>
                <w:sz w:val="21"/>
                <w:szCs w:val="21"/>
              </w:rPr>
              <w:t>管理要求</w:t>
            </w:r>
          </w:p>
        </w:tc>
        <w:tc>
          <w:tcPr>
            <w:tcW w:w="4830" w:type="dxa"/>
            <w:noWrap w:val="0"/>
            <w:vAlign w:val="center"/>
          </w:tcPr>
          <w:p>
            <w:pPr>
              <w:pStyle w:val="23"/>
              <w:shd w:val="clear"/>
              <w:spacing w:before="121"/>
              <w:ind w:right="2227"/>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870" w:type="dxa"/>
            <w:noWrap w:val="0"/>
            <w:vAlign w:val="center"/>
          </w:tcPr>
          <w:p>
            <w:pPr>
              <w:pStyle w:val="23"/>
              <w:shd w:val="clear"/>
              <w:spacing w:before="121"/>
              <w:ind w:left="177" w:right="168"/>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00" w:type="dxa"/>
            <w:noWrap w:val="0"/>
            <w:vAlign w:val="center"/>
          </w:tcPr>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1</w:t>
            </w:r>
          </w:p>
        </w:tc>
        <w:tc>
          <w:tcPr>
            <w:tcW w:w="1315" w:type="dxa"/>
            <w:vMerge w:val="restart"/>
            <w:tcBorders>
              <w:bottom w:val="nil"/>
            </w:tcBorders>
            <w:noWrap w:val="0"/>
            <w:vAlign w:val="center"/>
          </w:tcPr>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绿化养护</w:t>
            </w:r>
          </w:p>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（50</w:t>
            </w:r>
            <w:r>
              <w:rPr>
                <w:rFonts w:hint="eastAsia" w:ascii="仿宋" w:hAnsi="仿宋" w:eastAsia="仿宋" w:cs="仿宋"/>
                <w:spacing w:val="-4"/>
                <w:sz w:val="21"/>
                <w:szCs w:val="21"/>
              </w:rPr>
              <w:t xml:space="preserve"> 分)</w:t>
            </w:r>
          </w:p>
        </w:tc>
        <w:tc>
          <w:tcPr>
            <w:tcW w:w="3330" w:type="dxa"/>
            <w:noWrap w:val="0"/>
            <w:vAlign w:val="center"/>
          </w:tcPr>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树木成活率、保存率&gt;95%</w:t>
            </w:r>
          </w:p>
        </w:tc>
        <w:tc>
          <w:tcPr>
            <w:tcW w:w="4830" w:type="dxa"/>
            <w:noWrap w:val="0"/>
            <w:vAlign w:val="center"/>
          </w:tcPr>
          <w:p>
            <w:pPr>
              <w:pStyle w:val="23"/>
              <w:shd w:val="clear"/>
              <w:spacing w:line="240" w:lineRule="auto"/>
              <w:ind w:left="0" w:right="0"/>
              <w:jc w:val="both"/>
              <w:rPr>
                <w:rFonts w:hint="eastAsia" w:ascii="仿宋" w:hAnsi="仿宋" w:eastAsia="仿宋" w:cs="仿宋"/>
                <w:sz w:val="21"/>
                <w:szCs w:val="21"/>
              </w:rPr>
            </w:pPr>
            <w:r>
              <w:rPr>
                <w:rFonts w:hint="eastAsia" w:ascii="仿宋" w:hAnsi="仿宋" w:eastAsia="仿宋" w:cs="仿宋"/>
                <w:sz w:val="21"/>
                <w:szCs w:val="21"/>
                <w:lang w:val="en-US" w:eastAsia="zh-CN"/>
              </w:rPr>
              <w:t>每少</w:t>
            </w:r>
            <w:r>
              <w:rPr>
                <w:rFonts w:hint="eastAsia" w:ascii="仿宋" w:hAnsi="仿宋" w:eastAsia="仿宋" w:cs="仿宋"/>
                <w:sz w:val="21"/>
                <w:szCs w:val="21"/>
              </w:rPr>
              <w:t>1%则扣1分，扣完为止。</w:t>
            </w:r>
          </w:p>
        </w:tc>
        <w:tc>
          <w:tcPr>
            <w:tcW w:w="870" w:type="dxa"/>
            <w:noWrap w:val="0"/>
            <w:vAlign w:val="center"/>
          </w:tcPr>
          <w:p>
            <w:pPr>
              <w:pStyle w:val="23"/>
              <w:shd w:val="clear"/>
              <w:spacing w:before="41"/>
              <w:ind w:right="168"/>
              <w:jc w:val="center"/>
              <w:rPr>
                <w:rFonts w:hint="eastAsia" w:ascii="仿宋" w:hAnsi="仿宋" w:eastAsia="仿宋" w:cs="仿宋"/>
                <w:sz w:val="21"/>
                <w:szCs w:val="21"/>
              </w:rPr>
            </w:pPr>
            <w:r>
              <w:rPr>
                <w:rFonts w:hint="eastAsia" w:ascii="仿宋" w:hAnsi="仿宋" w:eastAsia="仿宋" w:cs="仿宋"/>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700" w:type="dxa"/>
            <w:noWrap w:val="0"/>
            <w:vAlign w:val="center"/>
          </w:tcPr>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1315" w:type="dxa"/>
            <w:vMerge w:val="continue"/>
            <w:tcBorders>
              <w:top w:val="nil"/>
              <w:bottom w:val="nil"/>
            </w:tcBorders>
            <w:noWrap w:val="0"/>
            <w:vAlign w:val="center"/>
          </w:tcPr>
          <w:p>
            <w:pPr>
              <w:shd w:val="clea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hd w:val="clear"/>
              <w:spacing w:line="240" w:lineRule="auto"/>
              <w:ind w:left="0" w:right="0"/>
              <w:jc w:val="center"/>
              <w:rPr>
                <w:rFonts w:hint="eastAsia" w:ascii="仿宋" w:hAnsi="仿宋" w:eastAsia="仿宋" w:cs="仿宋"/>
                <w:spacing w:val="0"/>
                <w:sz w:val="21"/>
                <w:szCs w:val="21"/>
              </w:rPr>
            </w:pPr>
            <w:r>
              <w:rPr>
                <w:rFonts w:hint="eastAsia" w:ascii="仿宋" w:hAnsi="仿宋" w:eastAsia="仿宋" w:cs="仿宋"/>
                <w:spacing w:val="0"/>
                <w:sz w:val="21"/>
                <w:szCs w:val="21"/>
              </w:rPr>
              <w:t>地被、色块无块状缺失，重要节点</w:t>
            </w:r>
          </w:p>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pacing w:val="0"/>
                <w:sz w:val="21"/>
                <w:szCs w:val="21"/>
              </w:rPr>
              <w:t>及时更换草花。</w:t>
            </w:r>
          </w:p>
        </w:tc>
        <w:tc>
          <w:tcPr>
            <w:tcW w:w="4830" w:type="dxa"/>
            <w:noWrap w:val="0"/>
            <w:vAlign w:val="center"/>
          </w:tcPr>
          <w:p>
            <w:pPr>
              <w:pStyle w:val="23"/>
              <w:shd w:val="clear"/>
              <w:spacing w:line="240" w:lineRule="auto"/>
              <w:ind w:left="0" w:right="0"/>
              <w:jc w:val="both"/>
              <w:rPr>
                <w:rFonts w:hint="eastAsia" w:ascii="仿宋" w:hAnsi="仿宋" w:eastAsia="仿宋" w:cs="仿宋"/>
                <w:sz w:val="21"/>
                <w:szCs w:val="21"/>
              </w:rPr>
            </w:pPr>
            <w:r>
              <w:rPr>
                <w:rFonts w:hint="eastAsia" w:ascii="仿宋" w:hAnsi="仿宋" w:eastAsia="仿宋" w:cs="仿宋"/>
                <w:spacing w:val="0"/>
                <w:sz w:val="21"/>
                <w:szCs w:val="21"/>
              </w:rPr>
              <w:t>每缺少2处扣1 分，更换不及时每处扣1 分，扣完为止。</w:t>
            </w:r>
          </w:p>
        </w:tc>
        <w:tc>
          <w:tcPr>
            <w:tcW w:w="870" w:type="dxa"/>
            <w:noWrap w:val="0"/>
            <w:vAlign w:val="center"/>
          </w:tcPr>
          <w:p>
            <w:pPr>
              <w:pStyle w:val="23"/>
              <w:shd w:val="clear"/>
              <w:spacing w:before="159"/>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3</w:t>
            </w:r>
          </w:p>
        </w:tc>
        <w:tc>
          <w:tcPr>
            <w:tcW w:w="1315" w:type="dxa"/>
            <w:vMerge w:val="continue"/>
            <w:tcBorders>
              <w:top w:val="nil"/>
              <w:bottom w:val="nil"/>
            </w:tcBorders>
            <w:noWrap w:val="0"/>
            <w:vAlign w:val="center"/>
          </w:tcPr>
          <w:p>
            <w:pPr>
              <w:shd w:val="clea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草皮常年覆盖率&gt;95%</w:t>
            </w:r>
          </w:p>
        </w:tc>
        <w:tc>
          <w:tcPr>
            <w:tcW w:w="4830" w:type="dxa"/>
            <w:noWrap w:val="0"/>
            <w:vAlign w:val="center"/>
          </w:tcPr>
          <w:p>
            <w:pPr>
              <w:pStyle w:val="23"/>
              <w:shd w:val="clear"/>
              <w:spacing w:line="240" w:lineRule="auto"/>
              <w:ind w:left="0" w:right="0"/>
              <w:jc w:val="both"/>
              <w:rPr>
                <w:rFonts w:hint="eastAsia" w:ascii="仿宋" w:hAnsi="仿宋" w:eastAsia="仿宋" w:cs="仿宋"/>
                <w:sz w:val="21"/>
                <w:szCs w:val="21"/>
              </w:rPr>
            </w:pPr>
            <w:r>
              <w:rPr>
                <w:rFonts w:hint="eastAsia" w:ascii="仿宋" w:hAnsi="仿宋" w:eastAsia="仿宋" w:cs="仿宋"/>
                <w:spacing w:val="0"/>
                <w:sz w:val="21"/>
                <w:szCs w:val="21"/>
              </w:rPr>
              <w:t>成片草皮出现枯黄，及其他零散如衔接处、各类线井交界处等枯黄、黄土裸露面积大于300 平方厘米的，每3处扣1 分（换季草允许有20 天局部枯黄期）</w:t>
            </w:r>
            <w:r>
              <w:rPr>
                <w:rFonts w:hint="eastAsia" w:ascii="仿宋" w:hAnsi="仿宋" w:eastAsia="仿宋" w:cs="仿宋"/>
                <w:sz w:val="21"/>
                <w:szCs w:val="21"/>
              </w:rPr>
              <w:t>。</w:t>
            </w:r>
          </w:p>
        </w:tc>
        <w:tc>
          <w:tcPr>
            <w:tcW w:w="870" w:type="dxa"/>
            <w:noWrap w:val="0"/>
            <w:vAlign w:val="center"/>
          </w:tcPr>
          <w:p>
            <w:pPr>
              <w:pStyle w:val="23"/>
              <w:shd w:val="clear"/>
              <w:spacing w:before="1"/>
              <w:jc w:val="center"/>
              <w:rPr>
                <w:rFonts w:hint="eastAsia" w:ascii="仿宋" w:hAnsi="仿宋" w:eastAsia="仿宋" w:cs="仿宋"/>
                <w:sz w:val="21"/>
                <w:szCs w:val="21"/>
              </w:rPr>
            </w:pPr>
          </w:p>
          <w:p>
            <w:pPr>
              <w:pStyle w:val="23"/>
              <w:shd w:val="clear"/>
              <w:spacing w:before="1"/>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700" w:type="dxa"/>
            <w:noWrap w:val="0"/>
            <w:vAlign w:val="center"/>
          </w:tcPr>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1315" w:type="dxa"/>
            <w:vMerge w:val="continue"/>
            <w:tcBorders>
              <w:top w:val="nil"/>
              <w:bottom w:val="nil"/>
            </w:tcBorders>
            <w:noWrap w:val="0"/>
            <w:vAlign w:val="center"/>
          </w:tcPr>
          <w:p>
            <w:pPr>
              <w:shd w:val="clea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生长势良好，健康植株比例&gt;95%</w:t>
            </w:r>
          </w:p>
        </w:tc>
        <w:tc>
          <w:tcPr>
            <w:tcW w:w="4830" w:type="dxa"/>
            <w:noWrap w:val="0"/>
            <w:vAlign w:val="center"/>
          </w:tcPr>
          <w:p>
            <w:pPr>
              <w:pStyle w:val="23"/>
              <w:shd w:val="clear"/>
              <w:spacing w:line="240" w:lineRule="auto"/>
              <w:ind w:left="0" w:right="0"/>
              <w:jc w:val="both"/>
              <w:rPr>
                <w:rFonts w:hint="eastAsia" w:ascii="仿宋" w:hAnsi="仿宋" w:eastAsia="仿宋" w:cs="仿宋"/>
                <w:sz w:val="21"/>
                <w:szCs w:val="21"/>
              </w:rPr>
            </w:pPr>
            <w:r>
              <w:rPr>
                <w:rFonts w:hint="eastAsia" w:ascii="仿宋" w:hAnsi="仿宋" w:eastAsia="仿宋" w:cs="仿宋"/>
                <w:sz w:val="21"/>
                <w:szCs w:val="21"/>
              </w:rPr>
              <w:t>生长良好比例每少1%则扣1 分，扣完为止。</w:t>
            </w:r>
          </w:p>
        </w:tc>
        <w:tc>
          <w:tcPr>
            <w:tcW w:w="870" w:type="dxa"/>
            <w:noWrap w:val="0"/>
            <w:vAlign w:val="center"/>
          </w:tcPr>
          <w:p>
            <w:pPr>
              <w:pStyle w:val="23"/>
              <w:shd w:val="clear"/>
              <w:spacing w:before="2" w:line="289" w:lineRule="exact"/>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5</w:t>
            </w:r>
          </w:p>
        </w:tc>
        <w:tc>
          <w:tcPr>
            <w:tcW w:w="1315" w:type="dxa"/>
            <w:vMerge w:val="continue"/>
            <w:tcBorders>
              <w:top w:val="nil"/>
              <w:bottom w:val="nil"/>
            </w:tcBorders>
            <w:noWrap w:val="0"/>
            <w:vAlign w:val="center"/>
          </w:tcPr>
          <w:p>
            <w:pPr>
              <w:shd w:val="clea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乔</w:t>
            </w:r>
            <w:r>
              <w:rPr>
                <w:rFonts w:hint="eastAsia" w:ascii="仿宋" w:hAnsi="仿宋" w:eastAsia="仿宋" w:cs="仿宋"/>
                <w:color w:val="auto"/>
                <w:sz w:val="21"/>
                <w:szCs w:val="21"/>
              </w:rPr>
              <w:t>、</w:t>
            </w:r>
            <w:r>
              <w:rPr>
                <w:rFonts w:hint="eastAsia" w:ascii="仿宋" w:hAnsi="仿宋" w:eastAsia="仿宋" w:cs="仿宋"/>
                <w:sz w:val="21"/>
                <w:szCs w:val="21"/>
              </w:rPr>
              <w:t>灌木修剪（抹芽）合理</w:t>
            </w:r>
          </w:p>
        </w:tc>
        <w:tc>
          <w:tcPr>
            <w:tcW w:w="4830" w:type="dxa"/>
            <w:noWrap w:val="0"/>
            <w:vAlign w:val="center"/>
          </w:tcPr>
          <w:p>
            <w:pPr>
              <w:pStyle w:val="23"/>
              <w:shd w:val="clear"/>
              <w:spacing w:line="240" w:lineRule="auto"/>
              <w:ind w:left="0" w:right="0"/>
              <w:jc w:val="both"/>
              <w:rPr>
                <w:rFonts w:hint="eastAsia" w:ascii="仿宋" w:hAnsi="仿宋" w:eastAsia="仿宋" w:cs="仿宋"/>
                <w:sz w:val="21"/>
                <w:szCs w:val="21"/>
              </w:rPr>
            </w:pPr>
            <w:r>
              <w:rPr>
                <w:rFonts w:hint="eastAsia" w:ascii="仿宋" w:hAnsi="仿宋" w:eastAsia="仿宋" w:cs="仿宋"/>
                <w:spacing w:val="0"/>
                <w:sz w:val="21"/>
                <w:szCs w:val="21"/>
              </w:rPr>
              <w:t>违规操作扣2 分/次；不及时修剪形成萌芽多，弱枝、病枝多，有折损枝等，每株扣0.2 分，修剪后清理不干净的，每处扣1 分。</w:t>
            </w:r>
          </w:p>
        </w:tc>
        <w:tc>
          <w:tcPr>
            <w:tcW w:w="870" w:type="dxa"/>
            <w:noWrap w:val="0"/>
            <w:vAlign w:val="center"/>
          </w:tcPr>
          <w:p>
            <w:pPr>
              <w:pStyle w:val="23"/>
              <w:shd w:val="clear"/>
              <w:spacing w:before="1"/>
              <w:jc w:val="center"/>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00" w:type="dxa"/>
            <w:noWrap w:val="0"/>
            <w:vAlign w:val="center"/>
          </w:tcPr>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6</w:t>
            </w:r>
          </w:p>
        </w:tc>
        <w:tc>
          <w:tcPr>
            <w:tcW w:w="1315" w:type="dxa"/>
            <w:vMerge w:val="continue"/>
            <w:tcBorders>
              <w:top w:val="nil"/>
              <w:bottom w:val="nil"/>
            </w:tcBorders>
            <w:noWrap w:val="0"/>
            <w:vAlign w:val="center"/>
          </w:tcPr>
          <w:p>
            <w:pPr>
              <w:shd w:val="clea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pacing w:val="0"/>
                <w:sz w:val="21"/>
                <w:szCs w:val="21"/>
              </w:rPr>
              <w:t>绿篱、球类、草坪修剪平滑、美观</w:t>
            </w:r>
          </w:p>
        </w:tc>
        <w:tc>
          <w:tcPr>
            <w:tcW w:w="4830" w:type="dxa"/>
            <w:noWrap w:val="0"/>
            <w:vAlign w:val="center"/>
          </w:tcPr>
          <w:p>
            <w:pPr>
              <w:pStyle w:val="23"/>
              <w:shd w:val="clear"/>
              <w:spacing w:line="240" w:lineRule="auto"/>
              <w:ind w:left="0" w:right="0"/>
              <w:jc w:val="both"/>
              <w:rPr>
                <w:rFonts w:hint="eastAsia" w:ascii="仿宋" w:hAnsi="仿宋" w:eastAsia="仿宋" w:cs="仿宋"/>
                <w:sz w:val="21"/>
                <w:szCs w:val="21"/>
              </w:rPr>
            </w:pPr>
            <w:r>
              <w:rPr>
                <w:rFonts w:hint="eastAsia" w:ascii="仿宋" w:hAnsi="仿宋" w:eastAsia="仿宋" w:cs="仿宋"/>
                <w:spacing w:val="0"/>
                <w:sz w:val="21"/>
                <w:szCs w:val="21"/>
              </w:rPr>
              <w:t>按照要求进行留养修剪，有线条缺短或不连贯，每处扣1 分；应当修剪，但尚未及时修剪，每次扣1 分。</w:t>
            </w:r>
          </w:p>
        </w:tc>
        <w:tc>
          <w:tcPr>
            <w:tcW w:w="870" w:type="dxa"/>
            <w:noWrap w:val="0"/>
            <w:vAlign w:val="center"/>
          </w:tcPr>
          <w:p>
            <w:pPr>
              <w:pStyle w:val="23"/>
              <w:shd w:val="clear"/>
              <w:spacing w:before="198"/>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00" w:type="dxa"/>
            <w:noWrap w:val="0"/>
            <w:vAlign w:val="center"/>
          </w:tcPr>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7</w:t>
            </w:r>
          </w:p>
        </w:tc>
        <w:tc>
          <w:tcPr>
            <w:tcW w:w="1315" w:type="dxa"/>
            <w:vMerge w:val="continue"/>
            <w:tcBorders>
              <w:top w:val="nil"/>
              <w:bottom w:val="nil"/>
            </w:tcBorders>
            <w:noWrap w:val="0"/>
            <w:vAlign w:val="center"/>
          </w:tcPr>
          <w:p>
            <w:pPr>
              <w:shd w:val="clea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pacing w:val="0"/>
                <w:sz w:val="21"/>
                <w:szCs w:val="21"/>
              </w:rPr>
              <w:t>病虫害防治和控制及时，基本无病虫害所造成的较大伤害</w:t>
            </w:r>
          </w:p>
        </w:tc>
        <w:tc>
          <w:tcPr>
            <w:tcW w:w="4830" w:type="dxa"/>
            <w:noWrap w:val="0"/>
            <w:vAlign w:val="center"/>
          </w:tcPr>
          <w:p>
            <w:pPr>
              <w:pStyle w:val="23"/>
              <w:shd w:val="clear"/>
              <w:spacing w:line="240" w:lineRule="auto"/>
              <w:ind w:left="0" w:right="0"/>
              <w:jc w:val="both"/>
              <w:rPr>
                <w:rFonts w:hint="eastAsia" w:ascii="仿宋" w:hAnsi="仿宋" w:eastAsia="仿宋" w:cs="仿宋"/>
                <w:sz w:val="21"/>
                <w:szCs w:val="21"/>
              </w:rPr>
            </w:pPr>
            <w:r>
              <w:rPr>
                <w:rFonts w:hint="eastAsia" w:ascii="仿宋" w:hAnsi="仿宋" w:eastAsia="仿宋" w:cs="仿宋"/>
                <w:spacing w:val="0"/>
                <w:sz w:val="21"/>
                <w:szCs w:val="21"/>
              </w:rPr>
              <w:t>病虫害防治措施不力，对植物造成损害，视情况每次扣1-3 分，发生大面积病虫害造成严重影响的不得分。</w:t>
            </w:r>
          </w:p>
        </w:tc>
        <w:tc>
          <w:tcPr>
            <w:tcW w:w="870" w:type="dxa"/>
            <w:noWrap w:val="0"/>
            <w:vAlign w:val="center"/>
          </w:tcPr>
          <w:p>
            <w:pPr>
              <w:pStyle w:val="23"/>
              <w:shd w:val="clear"/>
              <w:spacing w:before="8"/>
              <w:jc w:val="center"/>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700" w:type="dxa"/>
            <w:noWrap w:val="0"/>
            <w:vAlign w:val="center"/>
          </w:tcPr>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z w:val="21"/>
                <w:szCs w:val="21"/>
              </w:rPr>
              <w:t>8</w:t>
            </w:r>
          </w:p>
        </w:tc>
        <w:tc>
          <w:tcPr>
            <w:tcW w:w="1315" w:type="dxa"/>
            <w:vMerge w:val="continue"/>
            <w:tcBorders>
              <w:top w:val="nil"/>
              <w:bottom w:val="nil"/>
            </w:tcBorders>
            <w:noWrap w:val="0"/>
            <w:vAlign w:val="center"/>
          </w:tcPr>
          <w:p>
            <w:pPr>
              <w:shd w:val="clear"/>
              <w:spacing w:line="240" w:lineRule="auto"/>
              <w:ind w:left="0" w:right="0"/>
              <w:jc w:val="both"/>
              <w:rPr>
                <w:rFonts w:hint="eastAsia" w:ascii="仿宋" w:hAnsi="仿宋" w:eastAsia="仿宋" w:cs="仿宋"/>
                <w:sz w:val="21"/>
                <w:szCs w:val="21"/>
              </w:rPr>
            </w:pPr>
          </w:p>
        </w:tc>
        <w:tc>
          <w:tcPr>
            <w:tcW w:w="3330" w:type="dxa"/>
            <w:noWrap w:val="0"/>
            <w:vAlign w:val="center"/>
          </w:tcPr>
          <w:p>
            <w:pPr>
              <w:pStyle w:val="23"/>
              <w:shd w:val="clear"/>
              <w:spacing w:line="240" w:lineRule="auto"/>
              <w:ind w:left="0" w:right="0"/>
              <w:jc w:val="center"/>
              <w:rPr>
                <w:rFonts w:hint="eastAsia" w:ascii="仿宋" w:hAnsi="仿宋" w:eastAsia="仿宋" w:cs="仿宋"/>
                <w:sz w:val="21"/>
                <w:szCs w:val="21"/>
              </w:rPr>
            </w:pPr>
          </w:p>
          <w:p>
            <w:pPr>
              <w:pStyle w:val="23"/>
              <w:shd w:val="clear"/>
              <w:spacing w:line="240" w:lineRule="auto"/>
              <w:ind w:left="0" w:right="0"/>
              <w:jc w:val="center"/>
              <w:rPr>
                <w:rFonts w:hint="eastAsia" w:ascii="仿宋" w:hAnsi="仿宋" w:eastAsia="仿宋" w:cs="仿宋"/>
                <w:sz w:val="21"/>
                <w:szCs w:val="21"/>
              </w:rPr>
            </w:pPr>
            <w:r>
              <w:rPr>
                <w:rFonts w:hint="eastAsia" w:ascii="仿宋" w:hAnsi="仿宋" w:eastAsia="仿宋" w:cs="仿宋"/>
                <w:spacing w:val="0"/>
                <w:sz w:val="21"/>
                <w:szCs w:val="21"/>
              </w:rPr>
              <w:t>用药符合规定，配比正确，操作安全，不发生药害事故</w:t>
            </w:r>
          </w:p>
        </w:tc>
        <w:tc>
          <w:tcPr>
            <w:tcW w:w="4830" w:type="dxa"/>
            <w:noWrap w:val="0"/>
            <w:vAlign w:val="center"/>
          </w:tcPr>
          <w:p>
            <w:pPr>
              <w:pStyle w:val="23"/>
              <w:shd w:val="clear"/>
              <w:spacing w:line="240" w:lineRule="auto"/>
              <w:ind w:left="0" w:right="0"/>
              <w:jc w:val="both"/>
              <w:rPr>
                <w:rFonts w:hint="eastAsia" w:ascii="仿宋" w:hAnsi="仿宋" w:eastAsia="仿宋" w:cs="仿宋"/>
                <w:sz w:val="21"/>
                <w:szCs w:val="21"/>
              </w:rPr>
            </w:pPr>
          </w:p>
          <w:p>
            <w:pPr>
              <w:pStyle w:val="23"/>
              <w:shd w:val="clear"/>
              <w:spacing w:line="240" w:lineRule="auto"/>
              <w:ind w:left="0" w:right="0"/>
              <w:jc w:val="both"/>
              <w:rPr>
                <w:rFonts w:hint="eastAsia" w:ascii="仿宋" w:hAnsi="仿宋" w:eastAsia="仿宋" w:cs="仿宋"/>
                <w:sz w:val="21"/>
                <w:szCs w:val="21"/>
              </w:rPr>
            </w:pPr>
            <w:r>
              <w:rPr>
                <w:rFonts w:hint="eastAsia" w:ascii="仿宋" w:hAnsi="仿宋" w:eastAsia="仿宋" w:cs="仿宋"/>
                <w:sz w:val="21"/>
                <w:szCs w:val="21"/>
              </w:rPr>
              <w:t>违规用药或发生药害事故，此项不得分。</w:t>
            </w:r>
          </w:p>
        </w:tc>
        <w:tc>
          <w:tcPr>
            <w:tcW w:w="870" w:type="dxa"/>
            <w:noWrap w:val="0"/>
            <w:vAlign w:val="center"/>
          </w:tcPr>
          <w:p>
            <w:pPr>
              <w:pStyle w:val="23"/>
              <w:shd w:val="clear"/>
              <w:spacing w:before="2"/>
              <w:jc w:val="center"/>
              <w:rPr>
                <w:rFonts w:hint="eastAsia" w:ascii="仿宋" w:hAnsi="仿宋" w:eastAsia="仿宋" w:cs="仿宋"/>
                <w:sz w:val="21"/>
                <w:szCs w:val="21"/>
              </w:rPr>
            </w:pPr>
          </w:p>
          <w:p>
            <w:pPr>
              <w:pStyle w:val="23"/>
              <w:shd w:val="clear"/>
              <w:spacing w:before="1"/>
              <w:ind w:left="9"/>
              <w:jc w:val="center"/>
              <w:rPr>
                <w:rFonts w:hint="eastAsia" w:ascii="仿宋" w:hAnsi="仿宋" w:eastAsia="仿宋" w:cs="仿宋"/>
                <w:sz w:val="21"/>
                <w:szCs w:val="21"/>
              </w:rPr>
            </w:pPr>
            <w:r>
              <w:rPr>
                <w:rFonts w:hint="eastAsia" w:ascii="仿宋" w:hAnsi="仿宋" w:eastAsia="仿宋" w:cs="仿宋"/>
                <w:sz w:val="21"/>
                <w:szCs w:val="21"/>
              </w:rPr>
              <w:t>3</w:t>
            </w:r>
          </w:p>
        </w:tc>
      </w:tr>
    </w:tbl>
    <w:tbl>
      <w:tblPr>
        <w:tblStyle w:val="15"/>
        <w:tblpPr w:leftFromText="180" w:rightFromText="180" w:vertAnchor="text" w:horzAnchor="page" w:tblpX="447" w:tblpY="258"/>
        <w:tblOverlap w:val="never"/>
        <w:tblW w:w="10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210"/>
        <w:gridCol w:w="3345"/>
        <w:gridCol w:w="4745"/>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23"/>
              <w:shd w:val="clear"/>
              <w:spacing w:before="121"/>
              <w:ind w:left="90" w:right="79"/>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210" w:type="dxa"/>
            <w:noWrap w:val="0"/>
            <w:vAlign w:val="center"/>
          </w:tcPr>
          <w:p>
            <w:pPr>
              <w:pStyle w:val="23"/>
              <w:shd w:val="clear"/>
              <w:spacing w:before="121"/>
              <w:jc w:val="center"/>
              <w:rPr>
                <w:rFonts w:hint="eastAsia" w:ascii="仿宋" w:hAnsi="仿宋" w:eastAsia="仿宋" w:cs="仿宋"/>
                <w:b/>
                <w:bCs/>
                <w:sz w:val="21"/>
                <w:szCs w:val="21"/>
              </w:rPr>
            </w:pPr>
            <w:r>
              <w:rPr>
                <w:rFonts w:hint="eastAsia" w:ascii="仿宋" w:hAnsi="仿宋" w:eastAsia="仿宋" w:cs="仿宋"/>
                <w:b/>
                <w:bCs/>
                <w:sz w:val="21"/>
                <w:szCs w:val="21"/>
              </w:rPr>
              <w:t>考核内容</w:t>
            </w:r>
          </w:p>
        </w:tc>
        <w:tc>
          <w:tcPr>
            <w:tcW w:w="3345" w:type="dxa"/>
            <w:noWrap w:val="0"/>
            <w:vAlign w:val="center"/>
          </w:tcPr>
          <w:p>
            <w:pPr>
              <w:pStyle w:val="23"/>
              <w:shd w:val="clear"/>
              <w:spacing w:before="121"/>
              <w:ind w:left="80" w:right="72"/>
              <w:jc w:val="center"/>
              <w:rPr>
                <w:rFonts w:hint="eastAsia" w:ascii="仿宋" w:hAnsi="仿宋" w:eastAsia="仿宋" w:cs="仿宋"/>
                <w:b/>
                <w:bCs/>
                <w:sz w:val="21"/>
                <w:szCs w:val="21"/>
              </w:rPr>
            </w:pPr>
            <w:r>
              <w:rPr>
                <w:rFonts w:hint="eastAsia" w:ascii="仿宋" w:hAnsi="仿宋" w:eastAsia="仿宋" w:cs="仿宋"/>
                <w:b/>
                <w:bCs/>
                <w:sz w:val="21"/>
                <w:szCs w:val="21"/>
              </w:rPr>
              <w:t>管理要求</w:t>
            </w:r>
          </w:p>
        </w:tc>
        <w:tc>
          <w:tcPr>
            <w:tcW w:w="4745" w:type="dxa"/>
            <w:noWrap w:val="0"/>
            <w:vAlign w:val="center"/>
          </w:tcPr>
          <w:p>
            <w:pPr>
              <w:pStyle w:val="23"/>
              <w:shd w:val="clear"/>
              <w:spacing w:before="121"/>
              <w:ind w:right="2227"/>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928" w:type="dxa"/>
            <w:noWrap w:val="0"/>
            <w:vAlign w:val="center"/>
          </w:tcPr>
          <w:p>
            <w:pPr>
              <w:pStyle w:val="23"/>
              <w:shd w:val="clear"/>
              <w:spacing w:before="121"/>
              <w:ind w:left="177" w:right="168"/>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700" w:type="dxa"/>
            <w:noWrap w:val="0"/>
            <w:vAlign w:val="top"/>
          </w:tcPr>
          <w:p>
            <w:pPr>
              <w:pStyle w:val="23"/>
              <w:shd w:val="clear"/>
              <w:rPr>
                <w:rFonts w:hint="eastAsia" w:ascii="仿宋" w:hAnsi="仿宋" w:eastAsia="仿宋" w:cs="仿宋"/>
                <w:sz w:val="21"/>
                <w:szCs w:val="21"/>
              </w:rPr>
            </w:pPr>
          </w:p>
          <w:p>
            <w:pPr>
              <w:pStyle w:val="23"/>
              <w:shd w:val="clear"/>
              <w:spacing w:before="3"/>
              <w:rPr>
                <w:rFonts w:hint="eastAsia" w:ascii="仿宋" w:hAnsi="仿宋" w:eastAsia="仿宋" w:cs="仿宋"/>
                <w:sz w:val="21"/>
                <w:szCs w:val="21"/>
              </w:rPr>
            </w:pPr>
          </w:p>
          <w:p>
            <w:pPr>
              <w:pStyle w:val="23"/>
              <w:shd w:val="clear"/>
              <w:ind w:left="11"/>
              <w:jc w:val="center"/>
              <w:rPr>
                <w:rFonts w:hint="eastAsia" w:ascii="仿宋" w:hAnsi="仿宋" w:eastAsia="仿宋" w:cs="仿宋"/>
                <w:sz w:val="21"/>
                <w:szCs w:val="21"/>
              </w:rPr>
            </w:pPr>
            <w:r>
              <w:rPr>
                <w:rFonts w:hint="eastAsia" w:ascii="仿宋" w:hAnsi="仿宋" w:eastAsia="仿宋" w:cs="仿宋"/>
                <w:sz w:val="21"/>
                <w:szCs w:val="21"/>
              </w:rPr>
              <w:t>9</w:t>
            </w:r>
          </w:p>
        </w:tc>
        <w:tc>
          <w:tcPr>
            <w:tcW w:w="1210" w:type="dxa"/>
            <w:vMerge w:val="restart"/>
            <w:noWrap w:val="0"/>
            <w:vAlign w:val="top"/>
          </w:tcPr>
          <w:p>
            <w:pPr>
              <w:pStyle w:val="23"/>
              <w:shd w:val="clear"/>
              <w:rPr>
                <w:rFonts w:hint="eastAsia" w:ascii="仿宋" w:hAnsi="仿宋" w:eastAsia="仿宋" w:cs="仿宋"/>
                <w:sz w:val="21"/>
                <w:szCs w:val="21"/>
              </w:rPr>
            </w:pPr>
          </w:p>
        </w:tc>
        <w:tc>
          <w:tcPr>
            <w:tcW w:w="3345" w:type="dxa"/>
            <w:noWrap w:val="0"/>
            <w:vAlign w:val="center"/>
          </w:tcPr>
          <w:p>
            <w:pPr>
              <w:pStyle w:val="23"/>
              <w:shd w:val="clear"/>
              <w:jc w:val="center"/>
              <w:rPr>
                <w:rFonts w:hint="eastAsia" w:ascii="仿宋" w:hAnsi="仿宋" w:eastAsia="仿宋" w:cs="仿宋"/>
                <w:sz w:val="21"/>
                <w:szCs w:val="21"/>
              </w:rPr>
            </w:pPr>
          </w:p>
          <w:p>
            <w:pPr>
              <w:pStyle w:val="23"/>
              <w:shd w:val="clear"/>
              <w:spacing w:before="3"/>
              <w:jc w:val="center"/>
              <w:rPr>
                <w:rFonts w:hint="eastAsia" w:ascii="仿宋" w:hAnsi="仿宋" w:eastAsia="仿宋" w:cs="仿宋"/>
                <w:sz w:val="21"/>
                <w:szCs w:val="21"/>
              </w:rPr>
            </w:pPr>
          </w:p>
          <w:p>
            <w:pPr>
              <w:pStyle w:val="23"/>
              <w:shd w:val="clear"/>
              <w:ind w:left="107"/>
              <w:jc w:val="center"/>
              <w:rPr>
                <w:rFonts w:hint="eastAsia" w:ascii="仿宋" w:hAnsi="仿宋" w:eastAsia="仿宋" w:cs="仿宋"/>
                <w:sz w:val="21"/>
                <w:szCs w:val="21"/>
              </w:rPr>
            </w:pPr>
            <w:r>
              <w:rPr>
                <w:rFonts w:hint="eastAsia" w:ascii="仿宋" w:hAnsi="仿宋" w:eastAsia="仿宋" w:cs="仿宋"/>
                <w:sz w:val="21"/>
                <w:szCs w:val="21"/>
              </w:rPr>
              <w:t>绿化带内基本无杂草、杂物</w:t>
            </w:r>
          </w:p>
        </w:tc>
        <w:tc>
          <w:tcPr>
            <w:tcW w:w="4745" w:type="dxa"/>
            <w:noWrap w:val="0"/>
            <w:vAlign w:val="top"/>
          </w:tcPr>
          <w:p>
            <w:pPr>
              <w:pStyle w:val="23"/>
              <w:shd w:val="clear"/>
              <w:spacing w:before="98" w:line="242" w:lineRule="auto"/>
              <w:ind w:right="115" w:rightChars="0"/>
              <w:jc w:val="both"/>
              <w:rPr>
                <w:rFonts w:hint="eastAsia" w:ascii="仿宋" w:hAnsi="仿宋" w:eastAsia="仿宋" w:cs="仿宋"/>
                <w:sz w:val="21"/>
                <w:szCs w:val="21"/>
              </w:rPr>
            </w:pPr>
            <w:r>
              <w:rPr>
                <w:rFonts w:hint="eastAsia" w:ascii="仿宋" w:hAnsi="仿宋" w:eastAsia="仿宋" w:cs="仿宋"/>
                <w:spacing w:val="0"/>
                <w:sz w:val="21"/>
                <w:szCs w:val="21"/>
              </w:rPr>
              <w:t>不间断地耕除杂草，并及时清运，10cm 以上高度的杂草， 且面积大于1 平方米的，每发现1 处扣0.5 分；草坪草种混杂，明显有杂草、杂物的，且占比超5%的，扣1-3 分；大型野草长期清除不到位，扣1-3 分。</w:t>
            </w:r>
          </w:p>
        </w:tc>
        <w:tc>
          <w:tcPr>
            <w:tcW w:w="928" w:type="dxa"/>
            <w:noWrap w:val="0"/>
            <w:vAlign w:val="center"/>
          </w:tcPr>
          <w:p>
            <w:pPr>
              <w:pStyle w:val="23"/>
              <w:shd w:val="clear"/>
              <w:jc w:val="center"/>
              <w:rPr>
                <w:rFonts w:hint="eastAsia" w:ascii="仿宋" w:hAnsi="仿宋" w:eastAsia="仿宋" w:cs="仿宋"/>
                <w:sz w:val="21"/>
                <w:szCs w:val="21"/>
              </w:rPr>
            </w:pPr>
          </w:p>
          <w:p>
            <w:pPr>
              <w:pStyle w:val="23"/>
              <w:shd w:val="clear"/>
              <w:spacing w:before="3"/>
              <w:jc w:val="center"/>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0" w:type="dxa"/>
            <w:noWrap w:val="0"/>
            <w:vAlign w:val="top"/>
          </w:tcPr>
          <w:p>
            <w:pPr>
              <w:pStyle w:val="23"/>
              <w:shd w:val="clear"/>
              <w:spacing w:before="158"/>
              <w:ind w:left="90" w:right="79"/>
              <w:jc w:val="center"/>
              <w:rPr>
                <w:rFonts w:hint="eastAsia" w:ascii="仿宋" w:hAnsi="仿宋" w:eastAsia="仿宋" w:cs="仿宋"/>
                <w:sz w:val="21"/>
                <w:szCs w:val="21"/>
              </w:rPr>
            </w:pPr>
            <w:r>
              <w:rPr>
                <w:rFonts w:hint="eastAsia" w:ascii="仿宋" w:hAnsi="仿宋" w:eastAsia="仿宋" w:cs="仿宋"/>
                <w:sz w:val="21"/>
                <w:szCs w:val="21"/>
              </w:rPr>
              <w:t>10</w:t>
            </w:r>
          </w:p>
        </w:tc>
        <w:tc>
          <w:tcPr>
            <w:tcW w:w="1210" w:type="dxa"/>
            <w:vMerge w:val="continue"/>
            <w:tcBorders>
              <w:top w:val="nil"/>
            </w:tcBorders>
            <w:noWrap w:val="0"/>
            <w:vAlign w:val="top"/>
          </w:tcPr>
          <w:p>
            <w:pPr>
              <w:shd w:val="clear"/>
              <w:rPr>
                <w:rFonts w:hint="eastAsia" w:ascii="仿宋" w:hAnsi="仿宋" w:eastAsia="仿宋" w:cs="仿宋"/>
                <w:sz w:val="21"/>
                <w:szCs w:val="21"/>
              </w:rPr>
            </w:pPr>
          </w:p>
        </w:tc>
        <w:tc>
          <w:tcPr>
            <w:tcW w:w="3345" w:type="dxa"/>
            <w:noWrap w:val="0"/>
            <w:vAlign w:val="center"/>
          </w:tcPr>
          <w:p>
            <w:pPr>
              <w:pStyle w:val="23"/>
              <w:shd w:val="clear"/>
              <w:spacing w:before="158"/>
              <w:ind w:left="107"/>
              <w:jc w:val="center"/>
              <w:rPr>
                <w:rFonts w:hint="eastAsia" w:ascii="仿宋" w:hAnsi="仿宋" w:eastAsia="仿宋" w:cs="仿宋"/>
                <w:sz w:val="21"/>
                <w:szCs w:val="21"/>
              </w:rPr>
            </w:pPr>
            <w:r>
              <w:rPr>
                <w:rFonts w:hint="eastAsia" w:ascii="仿宋" w:hAnsi="仿宋" w:eastAsia="仿宋" w:cs="仿宋"/>
                <w:sz w:val="21"/>
                <w:szCs w:val="21"/>
              </w:rPr>
              <w:t>及时松土、施肥、追肥</w:t>
            </w:r>
          </w:p>
        </w:tc>
        <w:tc>
          <w:tcPr>
            <w:tcW w:w="4745" w:type="dxa"/>
            <w:noWrap w:val="0"/>
            <w:vAlign w:val="center"/>
          </w:tcPr>
          <w:p>
            <w:pPr>
              <w:pStyle w:val="23"/>
              <w:shd w:val="clear"/>
              <w:spacing w:before="2"/>
              <w:ind w:right="113" w:rightChars="54"/>
              <w:jc w:val="both"/>
              <w:rPr>
                <w:rFonts w:hint="eastAsia" w:ascii="仿宋" w:hAnsi="仿宋" w:eastAsia="仿宋" w:cs="仿宋"/>
                <w:sz w:val="21"/>
                <w:szCs w:val="21"/>
              </w:rPr>
            </w:pPr>
            <w:r>
              <w:rPr>
                <w:rFonts w:hint="eastAsia" w:ascii="仿宋" w:hAnsi="仿宋" w:eastAsia="仿宋" w:cs="仿宋"/>
                <w:spacing w:val="0"/>
                <w:sz w:val="21"/>
                <w:szCs w:val="21"/>
              </w:rPr>
              <w:t>施肥每年至少2 次，每少1 次扣1 分；植株长势衰弱、观花植物开花效果不理想的，再扣1 分。</w:t>
            </w:r>
          </w:p>
        </w:tc>
        <w:tc>
          <w:tcPr>
            <w:tcW w:w="928" w:type="dxa"/>
            <w:noWrap w:val="0"/>
            <w:vAlign w:val="center"/>
          </w:tcPr>
          <w:p>
            <w:pPr>
              <w:pStyle w:val="23"/>
              <w:shd w:val="clear"/>
              <w:spacing w:before="158"/>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00" w:type="dxa"/>
            <w:noWrap w:val="0"/>
            <w:vAlign w:val="top"/>
          </w:tcPr>
          <w:p>
            <w:pPr>
              <w:pStyle w:val="23"/>
              <w:shd w:val="clear"/>
              <w:spacing w:before="158"/>
              <w:ind w:left="90" w:right="79"/>
              <w:jc w:val="center"/>
              <w:rPr>
                <w:rFonts w:hint="eastAsia" w:ascii="仿宋" w:hAnsi="仿宋" w:eastAsia="仿宋" w:cs="仿宋"/>
                <w:sz w:val="21"/>
                <w:szCs w:val="21"/>
              </w:rPr>
            </w:pPr>
            <w:r>
              <w:rPr>
                <w:rFonts w:hint="eastAsia" w:ascii="仿宋" w:hAnsi="仿宋" w:eastAsia="仿宋" w:cs="仿宋"/>
                <w:sz w:val="21"/>
                <w:szCs w:val="21"/>
              </w:rPr>
              <w:t>11</w:t>
            </w:r>
          </w:p>
        </w:tc>
        <w:tc>
          <w:tcPr>
            <w:tcW w:w="1210" w:type="dxa"/>
            <w:vMerge w:val="continue"/>
            <w:tcBorders>
              <w:top w:val="nil"/>
            </w:tcBorders>
            <w:noWrap w:val="0"/>
            <w:vAlign w:val="top"/>
          </w:tcPr>
          <w:p>
            <w:pPr>
              <w:shd w:val="clear"/>
              <w:rPr>
                <w:rFonts w:hint="eastAsia" w:ascii="仿宋" w:hAnsi="仿宋" w:eastAsia="仿宋" w:cs="仿宋"/>
                <w:sz w:val="21"/>
                <w:szCs w:val="21"/>
              </w:rPr>
            </w:pPr>
          </w:p>
        </w:tc>
        <w:tc>
          <w:tcPr>
            <w:tcW w:w="3345" w:type="dxa"/>
            <w:noWrap w:val="0"/>
            <w:vAlign w:val="center"/>
          </w:tcPr>
          <w:p>
            <w:pPr>
              <w:pStyle w:val="23"/>
              <w:shd w:val="clear"/>
              <w:spacing w:before="158"/>
              <w:ind w:left="107"/>
              <w:jc w:val="center"/>
              <w:rPr>
                <w:rFonts w:hint="eastAsia" w:ascii="仿宋" w:hAnsi="仿宋" w:eastAsia="仿宋" w:cs="仿宋"/>
                <w:sz w:val="21"/>
                <w:szCs w:val="21"/>
              </w:rPr>
            </w:pPr>
            <w:r>
              <w:rPr>
                <w:rFonts w:hint="eastAsia" w:ascii="仿宋" w:hAnsi="仿宋" w:eastAsia="仿宋" w:cs="仿宋"/>
                <w:sz w:val="21"/>
                <w:szCs w:val="21"/>
              </w:rPr>
              <w:t>适时浇水，及时抗旱、抗寒</w:t>
            </w:r>
          </w:p>
        </w:tc>
        <w:tc>
          <w:tcPr>
            <w:tcW w:w="4745" w:type="dxa"/>
            <w:noWrap w:val="0"/>
            <w:vAlign w:val="top"/>
          </w:tcPr>
          <w:p>
            <w:pPr>
              <w:pStyle w:val="23"/>
              <w:shd w:val="clear"/>
              <w:spacing w:before="4" w:line="290" w:lineRule="exact"/>
              <w:ind w:right="113" w:rightChars="54"/>
              <w:rPr>
                <w:rFonts w:hint="eastAsia" w:ascii="仿宋" w:hAnsi="仿宋" w:eastAsia="仿宋" w:cs="仿宋"/>
                <w:sz w:val="21"/>
                <w:szCs w:val="21"/>
              </w:rPr>
            </w:pPr>
            <w:r>
              <w:rPr>
                <w:rFonts w:hint="eastAsia" w:ascii="仿宋" w:hAnsi="仿宋" w:eastAsia="仿宋" w:cs="仿宋"/>
                <w:spacing w:val="0"/>
                <w:sz w:val="21"/>
                <w:szCs w:val="21"/>
              </w:rPr>
              <w:t>不及时抗旱、抗寒，造成植物严重缺水、冻伤，每发现1 处，扣1 分。</w:t>
            </w:r>
          </w:p>
        </w:tc>
        <w:tc>
          <w:tcPr>
            <w:tcW w:w="928" w:type="dxa"/>
            <w:noWrap w:val="0"/>
            <w:vAlign w:val="center"/>
          </w:tcPr>
          <w:p>
            <w:pPr>
              <w:pStyle w:val="23"/>
              <w:shd w:val="clear"/>
              <w:spacing w:before="158"/>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00" w:type="dxa"/>
            <w:noWrap w:val="0"/>
            <w:vAlign w:val="top"/>
          </w:tcPr>
          <w:p>
            <w:pPr>
              <w:pStyle w:val="23"/>
              <w:shd w:val="clear"/>
              <w:spacing w:before="160"/>
              <w:ind w:left="90" w:right="79"/>
              <w:jc w:val="center"/>
              <w:rPr>
                <w:rFonts w:hint="eastAsia" w:ascii="仿宋" w:hAnsi="仿宋" w:eastAsia="仿宋" w:cs="仿宋"/>
                <w:sz w:val="21"/>
                <w:szCs w:val="21"/>
              </w:rPr>
            </w:pPr>
            <w:r>
              <w:rPr>
                <w:rFonts w:hint="eastAsia" w:ascii="仿宋" w:hAnsi="仿宋" w:eastAsia="仿宋" w:cs="仿宋"/>
                <w:sz w:val="21"/>
                <w:szCs w:val="21"/>
              </w:rPr>
              <w:t>12</w:t>
            </w:r>
          </w:p>
        </w:tc>
        <w:tc>
          <w:tcPr>
            <w:tcW w:w="1210" w:type="dxa"/>
            <w:vMerge w:val="continue"/>
            <w:tcBorders>
              <w:top w:val="nil"/>
            </w:tcBorders>
            <w:noWrap w:val="0"/>
            <w:vAlign w:val="top"/>
          </w:tcPr>
          <w:p>
            <w:pPr>
              <w:shd w:val="clear"/>
              <w:rPr>
                <w:rFonts w:hint="eastAsia" w:ascii="仿宋" w:hAnsi="仿宋" w:eastAsia="仿宋" w:cs="仿宋"/>
                <w:sz w:val="21"/>
                <w:szCs w:val="21"/>
              </w:rPr>
            </w:pPr>
          </w:p>
        </w:tc>
        <w:tc>
          <w:tcPr>
            <w:tcW w:w="3345" w:type="dxa"/>
            <w:noWrap w:val="0"/>
            <w:vAlign w:val="center"/>
          </w:tcPr>
          <w:p>
            <w:pPr>
              <w:pStyle w:val="23"/>
              <w:shd w:val="clear"/>
              <w:spacing w:before="160"/>
              <w:ind w:left="107"/>
              <w:jc w:val="center"/>
              <w:rPr>
                <w:rFonts w:hint="eastAsia" w:ascii="仿宋" w:hAnsi="仿宋" w:eastAsia="仿宋" w:cs="仿宋"/>
                <w:sz w:val="21"/>
                <w:szCs w:val="21"/>
              </w:rPr>
            </w:pPr>
            <w:r>
              <w:rPr>
                <w:rFonts w:hint="eastAsia" w:ascii="仿宋" w:hAnsi="仿宋" w:eastAsia="仿宋" w:cs="仿宋"/>
                <w:sz w:val="21"/>
                <w:szCs w:val="21"/>
              </w:rPr>
              <w:t>植物生长区域排水良好</w:t>
            </w:r>
          </w:p>
        </w:tc>
        <w:tc>
          <w:tcPr>
            <w:tcW w:w="4745" w:type="dxa"/>
            <w:noWrap w:val="0"/>
            <w:vAlign w:val="top"/>
          </w:tcPr>
          <w:p>
            <w:pPr>
              <w:pStyle w:val="23"/>
              <w:shd w:val="clear"/>
              <w:spacing w:before="4" w:line="288" w:lineRule="exact"/>
              <w:ind w:right="113" w:rightChars="54"/>
              <w:rPr>
                <w:rFonts w:hint="eastAsia" w:ascii="仿宋" w:hAnsi="仿宋" w:eastAsia="仿宋" w:cs="仿宋"/>
                <w:sz w:val="21"/>
                <w:szCs w:val="21"/>
              </w:rPr>
            </w:pPr>
            <w:r>
              <w:rPr>
                <w:rFonts w:hint="eastAsia" w:ascii="仿宋" w:hAnsi="仿宋" w:eastAsia="仿宋" w:cs="仿宋"/>
                <w:spacing w:val="0"/>
                <w:sz w:val="21"/>
                <w:szCs w:val="21"/>
              </w:rPr>
              <w:t>造成植物周围积水的，每发现1 处扣0.5 分；水涝造成植物生长不良，甚至死亡的，每发现1 处扣1-2 分。</w:t>
            </w:r>
          </w:p>
        </w:tc>
        <w:tc>
          <w:tcPr>
            <w:tcW w:w="928" w:type="dxa"/>
            <w:noWrap w:val="0"/>
            <w:vAlign w:val="center"/>
          </w:tcPr>
          <w:p>
            <w:pPr>
              <w:pStyle w:val="23"/>
              <w:shd w:val="clear"/>
              <w:spacing w:before="160"/>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0" w:type="dxa"/>
            <w:noWrap w:val="0"/>
            <w:vAlign w:val="top"/>
          </w:tcPr>
          <w:p>
            <w:pPr>
              <w:pStyle w:val="23"/>
              <w:shd w:val="clear"/>
              <w:spacing w:before="159"/>
              <w:ind w:left="90" w:right="79"/>
              <w:jc w:val="center"/>
              <w:rPr>
                <w:rFonts w:hint="eastAsia" w:ascii="仿宋" w:hAnsi="仿宋" w:eastAsia="仿宋" w:cs="仿宋"/>
                <w:sz w:val="21"/>
                <w:szCs w:val="21"/>
              </w:rPr>
            </w:pPr>
            <w:r>
              <w:rPr>
                <w:rFonts w:hint="eastAsia" w:ascii="仿宋" w:hAnsi="仿宋" w:eastAsia="仿宋" w:cs="仿宋"/>
                <w:sz w:val="21"/>
                <w:szCs w:val="21"/>
              </w:rPr>
              <w:t>13</w:t>
            </w:r>
          </w:p>
        </w:tc>
        <w:tc>
          <w:tcPr>
            <w:tcW w:w="1210" w:type="dxa"/>
            <w:vMerge w:val="continue"/>
            <w:tcBorders>
              <w:top w:val="nil"/>
            </w:tcBorders>
            <w:noWrap w:val="0"/>
            <w:vAlign w:val="top"/>
          </w:tcPr>
          <w:p>
            <w:pPr>
              <w:shd w:val="clear"/>
              <w:rPr>
                <w:rFonts w:hint="eastAsia" w:ascii="仿宋" w:hAnsi="仿宋" w:eastAsia="仿宋" w:cs="仿宋"/>
                <w:sz w:val="21"/>
                <w:szCs w:val="21"/>
              </w:rPr>
            </w:pPr>
          </w:p>
        </w:tc>
        <w:tc>
          <w:tcPr>
            <w:tcW w:w="3345" w:type="dxa"/>
            <w:noWrap w:val="0"/>
            <w:vAlign w:val="center"/>
          </w:tcPr>
          <w:p>
            <w:pPr>
              <w:pStyle w:val="23"/>
              <w:shd w:val="clear"/>
              <w:spacing w:before="159"/>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绿地坡形保持自然流畅</w:t>
            </w:r>
          </w:p>
        </w:tc>
        <w:tc>
          <w:tcPr>
            <w:tcW w:w="4745" w:type="dxa"/>
            <w:noWrap w:val="0"/>
            <w:vAlign w:val="top"/>
          </w:tcPr>
          <w:p>
            <w:pPr>
              <w:pStyle w:val="23"/>
              <w:shd w:val="clear"/>
              <w:spacing w:before="5" w:line="288" w:lineRule="exact"/>
              <w:rPr>
                <w:rFonts w:hint="eastAsia" w:ascii="仿宋" w:hAnsi="仿宋" w:eastAsia="仿宋" w:cs="仿宋"/>
                <w:spacing w:val="0"/>
                <w:sz w:val="21"/>
                <w:szCs w:val="21"/>
              </w:rPr>
            </w:pPr>
            <w:r>
              <w:rPr>
                <w:rFonts w:hint="eastAsia" w:ascii="仿宋" w:hAnsi="仿宋" w:eastAsia="仿宋" w:cs="仿宋"/>
                <w:spacing w:val="0"/>
                <w:sz w:val="21"/>
                <w:szCs w:val="21"/>
              </w:rPr>
              <w:t>发现局部塌陷，应及时修复，保持绿地坡形自然流畅，泥土无裸露，否则视情扣分。</w:t>
            </w:r>
          </w:p>
        </w:tc>
        <w:tc>
          <w:tcPr>
            <w:tcW w:w="928" w:type="dxa"/>
            <w:noWrap w:val="0"/>
            <w:vAlign w:val="center"/>
          </w:tcPr>
          <w:p>
            <w:pPr>
              <w:pStyle w:val="23"/>
              <w:shd w:val="clear"/>
              <w:spacing w:before="159"/>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00" w:type="dxa"/>
            <w:noWrap w:val="0"/>
            <w:vAlign w:val="top"/>
          </w:tcPr>
          <w:p>
            <w:pPr>
              <w:pStyle w:val="23"/>
              <w:shd w:val="clear"/>
              <w:spacing w:before="2"/>
              <w:rPr>
                <w:rFonts w:hint="eastAsia" w:ascii="仿宋" w:hAnsi="仿宋" w:eastAsia="仿宋" w:cs="仿宋"/>
                <w:sz w:val="21"/>
                <w:szCs w:val="21"/>
              </w:rPr>
            </w:pPr>
          </w:p>
          <w:p>
            <w:pPr>
              <w:pStyle w:val="23"/>
              <w:shd w:val="clear"/>
              <w:ind w:left="90" w:right="79"/>
              <w:jc w:val="center"/>
              <w:rPr>
                <w:rFonts w:hint="eastAsia" w:ascii="仿宋" w:hAnsi="仿宋" w:eastAsia="仿宋" w:cs="仿宋"/>
                <w:sz w:val="21"/>
                <w:szCs w:val="21"/>
              </w:rPr>
            </w:pPr>
            <w:r>
              <w:rPr>
                <w:rFonts w:hint="eastAsia" w:ascii="仿宋" w:hAnsi="仿宋" w:eastAsia="仿宋" w:cs="仿宋"/>
                <w:sz w:val="21"/>
                <w:szCs w:val="21"/>
              </w:rPr>
              <w:t>14</w:t>
            </w:r>
          </w:p>
        </w:tc>
        <w:tc>
          <w:tcPr>
            <w:tcW w:w="1210" w:type="dxa"/>
            <w:vMerge w:val="restart"/>
            <w:noWrap w:val="0"/>
            <w:vAlign w:val="center"/>
          </w:tcPr>
          <w:p>
            <w:pPr>
              <w:pStyle w:val="23"/>
              <w:shd w:val="clear"/>
              <w:jc w:val="center"/>
              <w:rPr>
                <w:rFonts w:hint="eastAsia" w:ascii="仿宋" w:hAnsi="仿宋" w:eastAsia="仿宋" w:cs="仿宋"/>
                <w:sz w:val="21"/>
                <w:szCs w:val="21"/>
              </w:rPr>
            </w:pPr>
          </w:p>
          <w:p>
            <w:pPr>
              <w:pStyle w:val="23"/>
              <w:shd w:val="clear"/>
              <w:jc w:val="center"/>
              <w:rPr>
                <w:rFonts w:hint="eastAsia" w:ascii="仿宋" w:hAnsi="仿宋" w:eastAsia="仿宋" w:cs="仿宋"/>
                <w:sz w:val="21"/>
                <w:szCs w:val="21"/>
              </w:rPr>
            </w:pPr>
          </w:p>
          <w:p>
            <w:pPr>
              <w:pStyle w:val="23"/>
              <w:shd w:val="clear"/>
              <w:spacing w:before="7"/>
              <w:jc w:val="center"/>
              <w:rPr>
                <w:rFonts w:hint="eastAsia" w:ascii="仿宋" w:hAnsi="仿宋" w:eastAsia="仿宋" w:cs="仿宋"/>
                <w:sz w:val="21"/>
                <w:szCs w:val="21"/>
              </w:rPr>
            </w:pPr>
          </w:p>
          <w:p>
            <w:pPr>
              <w:pStyle w:val="23"/>
              <w:shd w:val="clear"/>
              <w:spacing w:line="357" w:lineRule="auto"/>
              <w:ind w:left="171" w:right="117" w:firstLine="43"/>
              <w:jc w:val="center"/>
              <w:rPr>
                <w:rFonts w:hint="eastAsia" w:ascii="仿宋" w:hAnsi="仿宋" w:eastAsia="仿宋" w:cs="仿宋"/>
                <w:sz w:val="21"/>
                <w:szCs w:val="21"/>
              </w:rPr>
            </w:pPr>
            <w:r>
              <w:rPr>
                <w:rFonts w:hint="eastAsia" w:ascii="仿宋" w:hAnsi="仿宋" w:eastAsia="仿宋" w:cs="仿宋"/>
                <w:sz w:val="21"/>
                <w:szCs w:val="21"/>
              </w:rPr>
              <w:t>景观线路通畅</w:t>
            </w:r>
          </w:p>
          <w:p>
            <w:pPr>
              <w:pStyle w:val="23"/>
              <w:shd w:val="clear"/>
              <w:spacing w:line="357" w:lineRule="auto"/>
              <w:ind w:left="171" w:right="117" w:firstLine="43"/>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12分</w:t>
            </w:r>
            <w:r>
              <w:rPr>
                <w:rFonts w:hint="eastAsia" w:ascii="仿宋" w:hAnsi="仿宋" w:eastAsia="仿宋" w:cs="仿宋"/>
                <w:sz w:val="21"/>
                <w:szCs w:val="21"/>
                <w:lang w:eastAsia="zh-CN"/>
              </w:rPr>
              <w:t>）</w:t>
            </w:r>
          </w:p>
        </w:tc>
        <w:tc>
          <w:tcPr>
            <w:tcW w:w="3345" w:type="dxa"/>
            <w:noWrap w:val="0"/>
            <w:vAlign w:val="center"/>
          </w:tcPr>
          <w:p>
            <w:pPr>
              <w:pStyle w:val="23"/>
              <w:shd w:val="clear"/>
              <w:spacing w:before="214" w:line="242" w:lineRule="auto"/>
              <w:ind w:left="107" w:right="1"/>
              <w:jc w:val="center"/>
              <w:rPr>
                <w:rFonts w:hint="eastAsia" w:ascii="仿宋" w:hAnsi="仿宋" w:eastAsia="仿宋" w:cs="仿宋"/>
                <w:spacing w:val="0"/>
                <w:sz w:val="21"/>
                <w:szCs w:val="21"/>
              </w:rPr>
            </w:pPr>
            <w:r>
              <w:rPr>
                <w:rFonts w:hint="eastAsia" w:ascii="仿宋" w:hAnsi="仿宋" w:eastAsia="仿宋" w:cs="仿宋"/>
                <w:spacing w:val="0"/>
                <w:sz w:val="21"/>
                <w:szCs w:val="21"/>
              </w:rPr>
              <w:t>景观线路通畅，与支干道有机衔接，路边无裸露泥土</w:t>
            </w:r>
          </w:p>
        </w:tc>
        <w:tc>
          <w:tcPr>
            <w:tcW w:w="4745" w:type="dxa"/>
            <w:noWrap w:val="0"/>
            <w:vAlign w:val="top"/>
          </w:tcPr>
          <w:p>
            <w:pPr>
              <w:pStyle w:val="23"/>
              <w:shd w:val="clear"/>
              <w:spacing w:before="58" w:line="242" w:lineRule="auto"/>
              <w:ind w:left="107" w:right="75"/>
              <w:rPr>
                <w:rFonts w:hint="eastAsia" w:ascii="仿宋" w:hAnsi="仿宋" w:eastAsia="仿宋" w:cs="仿宋"/>
                <w:spacing w:val="0"/>
                <w:sz w:val="21"/>
                <w:szCs w:val="21"/>
              </w:rPr>
            </w:pPr>
            <w:r>
              <w:rPr>
                <w:rFonts w:hint="eastAsia" w:ascii="仿宋" w:hAnsi="仿宋" w:eastAsia="仿宋" w:cs="仿宋"/>
                <w:spacing w:val="0"/>
                <w:sz w:val="21"/>
                <w:szCs w:val="21"/>
              </w:rPr>
              <w:t>线路不通畅，存在支干道交叉口连接修补不到位，每发现1 处扣0.5 分；路边有裸露土的，每发现1 处扣0.5 分。</w:t>
            </w:r>
          </w:p>
        </w:tc>
        <w:tc>
          <w:tcPr>
            <w:tcW w:w="928" w:type="dxa"/>
            <w:noWrap w:val="0"/>
            <w:vAlign w:val="center"/>
          </w:tcPr>
          <w:p>
            <w:pPr>
              <w:pStyle w:val="23"/>
              <w:shd w:val="clear"/>
              <w:spacing w:before="2"/>
              <w:jc w:val="center"/>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00" w:type="dxa"/>
            <w:noWrap w:val="0"/>
            <w:vAlign w:val="top"/>
          </w:tcPr>
          <w:p>
            <w:pPr>
              <w:pStyle w:val="23"/>
              <w:shd w:val="clear"/>
              <w:spacing w:before="6"/>
              <w:rPr>
                <w:rFonts w:hint="eastAsia" w:ascii="仿宋" w:hAnsi="仿宋" w:eastAsia="仿宋" w:cs="仿宋"/>
                <w:sz w:val="21"/>
                <w:szCs w:val="21"/>
              </w:rPr>
            </w:pPr>
          </w:p>
          <w:p>
            <w:pPr>
              <w:pStyle w:val="23"/>
              <w:shd w:val="clear"/>
              <w:ind w:left="90" w:right="79"/>
              <w:jc w:val="center"/>
              <w:rPr>
                <w:rFonts w:hint="eastAsia" w:ascii="仿宋" w:hAnsi="仿宋" w:eastAsia="仿宋" w:cs="仿宋"/>
                <w:sz w:val="21"/>
                <w:szCs w:val="21"/>
              </w:rPr>
            </w:pPr>
            <w:r>
              <w:rPr>
                <w:rFonts w:hint="eastAsia" w:ascii="仿宋" w:hAnsi="仿宋" w:eastAsia="仿宋" w:cs="仿宋"/>
                <w:sz w:val="21"/>
                <w:szCs w:val="21"/>
              </w:rPr>
              <w:t>15</w:t>
            </w:r>
          </w:p>
        </w:tc>
        <w:tc>
          <w:tcPr>
            <w:tcW w:w="1210" w:type="dxa"/>
            <w:vMerge w:val="continue"/>
            <w:tcBorders>
              <w:top w:val="nil"/>
            </w:tcBorders>
            <w:noWrap w:val="0"/>
            <w:vAlign w:val="top"/>
          </w:tcPr>
          <w:p>
            <w:pPr>
              <w:shd w:val="clear"/>
              <w:rPr>
                <w:rFonts w:hint="eastAsia" w:ascii="仿宋" w:hAnsi="仿宋" w:eastAsia="仿宋" w:cs="仿宋"/>
                <w:sz w:val="21"/>
                <w:szCs w:val="21"/>
              </w:rPr>
            </w:pPr>
          </w:p>
        </w:tc>
        <w:tc>
          <w:tcPr>
            <w:tcW w:w="3345" w:type="dxa"/>
            <w:noWrap w:val="0"/>
            <w:vAlign w:val="center"/>
          </w:tcPr>
          <w:p>
            <w:pPr>
              <w:pStyle w:val="23"/>
              <w:shd w:val="clear"/>
              <w:spacing w:before="80" w:line="242" w:lineRule="auto"/>
              <w:ind w:left="107" w:right="75"/>
              <w:jc w:val="center"/>
              <w:rPr>
                <w:rFonts w:hint="eastAsia" w:ascii="仿宋" w:hAnsi="仿宋" w:eastAsia="仿宋" w:cs="仿宋"/>
                <w:spacing w:val="0"/>
                <w:sz w:val="21"/>
                <w:szCs w:val="21"/>
              </w:rPr>
            </w:pPr>
            <w:r>
              <w:rPr>
                <w:rFonts w:hint="eastAsia" w:ascii="仿宋" w:hAnsi="仿宋" w:eastAsia="仿宋" w:cs="仿宋"/>
                <w:spacing w:val="0"/>
                <w:sz w:val="21"/>
                <w:szCs w:val="21"/>
              </w:rPr>
              <w:t>游步道、绿道路面平整，标示线清晰</w:t>
            </w:r>
          </w:p>
        </w:tc>
        <w:tc>
          <w:tcPr>
            <w:tcW w:w="4745" w:type="dxa"/>
            <w:noWrap w:val="0"/>
            <w:vAlign w:val="top"/>
          </w:tcPr>
          <w:p>
            <w:pPr>
              <w:pStyle w:val="23"/>
              <w:shd w:val="clear"/>
              <w:spacing w:before="6"/>
              <w:rPr>
                <w:rFonts w:hint="eastAsia" w:ascii="仿宋" w:hAnsi="仿宋" w:eastAsia="仿宋" w:cs="仿宋"/>
                <w:spacing w:val="0"/>
                <w:sz w:val="21"/>
                <w:szCs w:val="21"/>
              </w:rPr>
            </w:pPr>
          </w:p>
          <w:p>
            <w:pPr>
              <w:pStyle w:val="23"/>
              <w:shd w:val="clear"/>
              <w:ind w:left="107"/>
              <w:rPr>
                <w:rFonts w:hint="eastAsia" w:ascii="仿宋" w:hAnsi="仿宋" w:eastAsia="仿宋" w:cs="仿宋"/>
                <w:spacing w:val="0"/>
                <w:sz w:val="21"/>
                <w:szCs w:val="21"/>
              </w:rPr>
            </w:pPr>
            <w:r>
              <w:rPr>
                <w:rFonts w:hint="eastAsia" w:ascii="仿宋" w:hAnsi="仿宋" w:eastAsia="仿宋" w:cs="仿宋"/>
                <w:spacing w:val="0"/>
                <w:sz w:val="21"/>
                <w:szCs w:val="21"/>
              </w:rPr>
              <w:t>每发现1 处坑洼，扣1 分。</w:t>
            </w:r>
          </w:p>
        </w:tc>
        <w:tc>
          <w:tcPr>
            <w:tcW w:w="928" w:type="dxa"/>
            <w:noWrap w:val="0"/>
            <w:vAlign w:val="center"/>
          </w:tcPr>
          <w:p>
            <w:pPr>
              <w:pStyle w:val="23"/>
              <w:shd w:val="clear"/>
              <w:spacing w:before="6"/>
              <w:jc w:val="center"/>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00" w:type="dxa"/>
            <w:noWrap w:val="0"/>
            <w:vAlign w:val="top"/>
          </w:tcPr>
          <w:p>
            <w:pPr>
              <w:pStyle w:val="23"/>
              <w:shd w:val="clear"/>
              <w:rPr>
                <w:rFonts w:hint="eastAsia" w:ascii="仿宋" w:hAnsi="仿宋" w:eastAsia="仿宋" w:cs="仿宋"/>
                <w:sz w:val="21"/>
                <w:szCs w:val="21"/>
              </w:rPr>
            </w:pPr>
          </w:p>
          <w:p>
            <w:pPr>
              <w:pStyle w:val="23"/>
              <w:shd w:val="clear"/>
              <w:spacing w:before="8"/>
              <w:rPr>
                <w:rFonts w:hint="eastAsia" w:ascii="仿宋" w:hAnsi="仿宋" w:eastAsia="仿宋" w:cs="仿宋"/>
                <w:sz w:val="21"/>
                <w:szCs w:val="21"/>
              </w:rPr>
            </w:pPr>
          </w:p>
          <w:p>
            <w:pPr>
              <w:pStyle w:val="23"/>
              <w:shd w:val="clear"/>
              <w:ind w:left="90" w:right="79"/>
              <w:jc w:val="center"/>
              <w:rPr>
                <w:rFonts w:hint="eastAsia" w:ascii="仿宋" w:hAnsi="仿宋" w:eastAsia="仿宋" w:cs="仿宋"/>
                <w:sz w:val="21"/>
                <w:szCs w:val="21"/>
              </w:rPr>
            </w:pPr>
            <w:r>
              <w:rPr>
                <w:rFonts w:hint="eastAsia" w:ascii="仿宋" w:hAnsi="仿宋" w:eastAsia="仿宋" w:cs="仿宋"/>
                <w:sz w:val="21"/>
                <w:szCs w:val="21"/>
              </w:rPr>
              <w:t>16</w:t>
            </w:r>
          </w:p>
        </w:tc>
        <w:tc>
          <w:tcPr>
            <w:tcW w:w="1210" w:type="dxa"/>
            <w:vMerge w:val="continue"/>
            <w:tcBorders>
              <w:top w:val="nil"/>
            </w:tcBorders>
            <w:noWrap w:val="0"/>
            <w:vAlign w:val="top"/>
          </w:tcPr>
          <w:p>
            <w:pPr>
              <w:shd w:val="clear"/>
              <w:rPr>
                <w:rFonts w:hint="eastAsia" w:ascii="仿宋" w:hAnsi="仿宋" w:eastAsia="仿宋" w:cs="仿宋"/>
                <w:sz w:val="21"/>
                <w:szCs w:val="21"/>
              </w:rPr>
            </w:pPr>
          </w:p>
        </w:tc>
        <w:tc>
          <w:tcPr>
            <w:tcW w:w="3345" w:type="dxa"/>
            <w:noWrap w:val="0"/>
            <w:vAlign w:val="center"/>
          </w:tcPr>
          <w:p>
            <w:pPr>
              <w:pStyle w:val="23"/>
              <w:shd w:val="clear"/>
              <w:jc w:val="center"/>
              <w:rPr>
                <w:rFonts w:hint="eastAsia" w:ascii="仿宋" w:hAnsi="仿宋" w:eastAsia="仿宋" w:cs="仿宋"/>
                <w:spacing w:val="0"/>
                <w:sz w:val="21"/>
                <w:szCs w:val="21"/>
              </w:rPr>
            </w:pPr>
          </w:p>
          <w:p>
            <w:pPr>
              <w:pStyle w:val="23"/>
              <w:shd w:val="clear"/>
              <w:spacing w:before="2"/>
              <w:jc w:val="center"/>
              <w:rPr>
                <w:rFonts w:hint="eastAsia" w:ascii="仿宋" w:hAnsi="仿宋" w:eastAsia="仿宋" w:cs="仿宋"/>
                <w:spacing w:val="0"/>
                <w:sz w:val="21"/>
                <w:szCs w:val="21"/>
              </w:rPr>
            </w:pPr>
          </w:p>
          <w:p>
            <w:pPr>
              <w:pStyle w:val="23"/>
              <w:shd w:val="clear"/>
              <w:spacing w:line="242" w:lineRule="auto"/>
              <w:ind w:left="107" w:right="75"/>
              <w:jc w:val="center"/>
              <w:rPr>
                <w:rFonts w:hint="eastAsia" w:ascii="仿宋" w:hAnsi="仿宋" w:eastAsia="仿宋" w:cs="仿宋"/>
                <w:spacing w:val="0"/>
                <w:sz w:val="21"/>
                <w:szCs w:val="21"/>
              </w:rPr>
            </w:pPr>
            <w:r>
              <w:rPr>
                <w:rFonts w:hint="eastAsia" w:ascii="仿宋" w:hAnsi="仿宋" w:eastAsia="仿宋" w:cs="仿宋"/>
                <w:spacing w:val="0"/>
                <w:sz w:val="21"/>
                <w:szCs w:val="21"/>
              </w:rPr>
              <w:t>景观线纵向延伸，推进进村主干道景观绿化管养工作</w:t>
            </w:r>
          </w:p>
        </w:tc>
        <w:tc>
          <w:tcPr>
            <w:tcW w:w="4745" w:type="dxa"/>
            <w:noWrap w:val="0"/>
            <w:vAlign w:val="top"/>
          </w:tcPr>
          <w:p>
            <w:pPr>
              <w:pStyle w:val="23"/>
              <w:shd w:val="clear"/>
              <w:spacing w:before="63" w:line="242" w:lineRule="auto"/>
              <w:ind w:left="107" w:right="75"/>
              <w:rPr>
                <w:rFonts w:hint="eastAsia" w:ascii="仿宋" w:hAnsi="仿宋" w:eastAsia="仿宋" w:cs="仿宋"/>
                <w:spacing w:val="0"/>
                <w:sz w:val="21"/>
                <w:szCs w:val="21"/>
              </w:rPr>
            </w:pPr>
            <w:r>
              <w:rPr>
                <w:rFonts w:hint="eastAsia" w:ascii="仿宋" w:hAnsi="仿宋" w:eastAsia="仿宋" w:cs="仿宋"/>
                <w:spacing w:val="0"/>
                <w:sz w:val="21"/>
                <w:szCs w:val="21"/>
              </w:rPr>
              <w:t>推进景观线的绿化景观效果向村域延伸。持续抓好景观线道路岔口绿化的养护工作，若发现管理养护不到位， 则视情扣分。如果发现与美丽乡村景观线相连的美丽乡村精品路建设成果不理想、管护不到位的，应当及时向当地政府反馈。</w:t>
            </w:r>
          </w:p>
        </w:tc>
        <w:tc>
          <w:tcPr>
            <w:tcW w:w="928" w:type="dxa"/>
            <w:noWrap w:val="0"/>
            <w:vAlign w:val="center"/>
          </w:tcPr>
          <w:p>
            <w:pPr>
              <w:pStyle w:val="23"/>
              <w:shd w:val="clear"/>
              <w:jc w:val="center"/>
              <w:rPr>
                <w:rFonts w:hint="eastAsia" w:ascii="仿宋" w:hAnsi="仿宋" w:eastAsia="仿宋" w:cs="仿宋"/>
                <w:sz w:val="21"/>
                <w:szCs w:val="21"/>
              </w:rPr>
            </w:pPr>
          </w:p>
          <w:p>
            <w:pPr>
              <w:pStyle w:val="23"/>
              <w:shd w:val="clear"/>
              <w:spacing w:before="8"/>
              <w:jc w:val="center"/>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2</w:t>
            </w:r>
          </w:p>
        </w:tc>
      </w:tr>
    </w:tbl>
    <w:p>
      <w:pPr>
        <w:shd w:val="clear"/>
        <w:rPr>
          <w:rFonts w:hint="eastAsia" w:ascii="仿宋" w:hAnsi="仿宋" w:eastAsia="仿宋" w:cs="仿宋"/>
          <w:b/>
          <w:bCs/>
          <w:sz w:val="21"/>
          <w:szCs w:val="21"/>
        </w:rPr>
      </w:pPr>
    </w:p>
    <w:p>
      <w:pPr>
        <w:shd w:val="clear"/>
        <w:rPr>
          <w:rFonts w:hint="eastAsia" w:ascii="仿宋" w:hAnsi="仿宋" w:eastAsia="仿宋" w:cs="仿宋"/>
          <w:b/>
          <w:bCs/>
          <w:sz w:val="21"/>
          <w:szCs w:val="21"/>
        </w:rPr>
      </w:pPr>
    </w:p>
    <w:p>
      <w:pPr>
        <w:shd w:val="clear"/>
        <w:rPr>
          <w:rFonts w:hint="eastAsia" w:ascii="仿宋" w:hAnsi="仿宋" w:eastAsia="仿宋" w:cs="仿宋"/>
          <w:b/>
          <w:bCs/>
          <w:sz w:val="21"/>
          <w:szCs w:val="21"/>
        </w:rPr>
      </w:pPr>
    </w:p>
    <w:p>
      <w:pPr>
        <w:shd w:val="clear"/>
        <w:rPr>
          <w:rFonts w:hint="eastAsia" w:ascii="仿宋" w:hAnsi="仿宋" w:eastAsia="仿宋" w:cs="仿宋"/>
          <w:b/>
          <w:bCs/>
          <w:sz w:val="21"/>
          <w:szCs w:val="21"/>
        </w:rPr>
      </w:pPr>
    </w:p>
    <w:p>
      <w:pPr>
        <w:shd w:val="clear"/>
        <w:rPr>
          <w:rFonts w:hint="eastAsia" w:ascii="仿宋" w:hAnsi="仿宋" w:eastAsia="仿宋" w:cs="仿宋"/>
          <w:b/>
          <w:bCs/>
          <w:sz w:val="21"/>
          <w:szCs w:val="21"/>
        </w:rPr>
      </w:pPr>
    </w:p>
    <w:p>
      <w:pPr>
        <w:shd w:val="clear"/>
        <w:rPr>
          <w:rFonts w:hint="eastAsia" w:ascii="仿宋" w:hAnsi="仿宋" w:eastAsia="仿宋" w:cs="仿宋"/>
          <w:b/>
          <w:bCs/>
          <w:sz w:val="21"/>
          <w:szCs w:val="21"/>
        </w:rPr>
      </w:pPr>
    </w:p>
    <w:p>
      <w:pPr>
        <w:shd w:val="clear"/>
        <w:rPr>
          <w:rFonts w:hint="eastAsia" w:ascii="仿宋" w:hAnsi="仿宋" w:eastAsia="仿宋" w:cs="仿宋"/>
          <w:b/>
          <w:bCs/>
          <w:sz w:val="21"/>
          <w:szCs w:val="21"/>
        </w:rPr>
      </w:pPr>
    </w:p>
    <w:p>
      <w:pPr>
        <w:shd w:val="clear"/>
        <w:rPr>
          <w:rFonts w:hint="eastAsia" w:ascii="仿宋" w:hAnsi="仿宋" w:eastAsia="仿宋" w:cs="仿宋"/>
          <w:b/>
          <w:bCs/>
          <w:sz w:val="21"/>
          <w:szCs w:val="21"/>
        </w:rPr>
      </w:pPr>
    </w:p>
    <w:p>
      <w:pPr>
        <w:shd w:val="clear"/>
        <w:rPr>
          <w:rFonts w:hint="eastAsia" w:ascii="仿宋" w:hAnsi="仿宋" w:eastAsia="仿宋" w:cs="仿宋"/>
          <w:b/>
          <w:bCs/>
          <w:sz w:val="21"/>
          <w:szCs w:val="21"/>
        </w:rPr>
      </w:pPr>
    </w:p>
    <w:p>
      <w:pPr>
        <w:shd w:val="clear"/>
        <w:rPr>
          <w:rFonts w:hint="eastAsia" w:ascii="仿宋" w:hAnsi="仿宋" w:eastAsia="仿宋" w:cs="仿宋"/>
          <w:b/>
          <w:bCs/>
          <w:sz w:val="21"/>
          <w:szCs w:val="21"/>
        </w:rPr>
      </w:pPr>
    </w:p>
    <w:p>
      <w:pPr>
        <w:shd w:val="clear"/>
        <w:rPr>
          <w:rFonts w:hint="eastAsia" w:ascii="仿宋" w:hAnsi="仿宋" w:eastAsia="仿宋" w:cs="仿宋"/>
          <w:b/>
          <w:bCs/>
          <w:sz w:val="21"/>
          <w:szCs w:val="21"/>
        </w:rPr>
      </w:pPr>
    </w:p>
    <w:tbl>
      <w:tblPr>
        <w:tblStyle w:val="15"/>
        <w:tblpPr w:leftFromText="180" w:rightFromText="180" w:vertAnchor="text" w:horzAnchor="page" w:tblpX="507" w:tblpY="507"/>
        <w:tblOverlap w:val="never"/>
        <w:tblW w:w="10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65"/>
        <w:gridCol w:w="3330"/>
        <w:gridCol w:w="471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23"/>
              <w:shd w:val="clear"/>
              <w:spacing w:before="121"/>
              <w:ind w:left="90" w:right="79"/>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165" w:type="dxa"/>
            <w:noWrap w:val="0"/>
            <w:vAlign w:val="center"/>
          </w:tcPr>
          <w:p>
            <w:pPr>
              <w:pStyle w:val="23"/>
              <w:shd w:val="clear"/>
              <w:spacing w:before="121"/>
              <w:jc w:val="center"/>
              <w:rPr>
                <w:rFonts w:hint="eastAsia" w:ascii="仿宋" w:hAnsi="仿宋" w:eastAsia="仿宋" w:cs="仿宋"/>
                <w:b/>
                <w:bCs/>
                <w:sz w:val="21"/>
                <w:szCs w:val="21"/>
              </w:rPr>
            </w:pPr>
            <w:r>
              <w:rPr>
                <w:rFonts w:hint="eastAsia" w:ascii="仿宋" w:hAnsi="仿宋" w:eastAsia="仿宋" w:cs="仿宋"/>
                <w:b/>
                <w:bCs/>
                <w:sz w:val="21"/>
                <w:szCs w:val="21"/>
              </w:rPr>
              <w:t>考核内容</w:t>
            </w:r>
          </w:p>
        </w:tc>
        <w:tc>
          <w:tcPr>
            <w:tcW w:w="3330" w:type="dxa"/>
            <w:noWrap w:val="0"/>
            <w:vAlign w:val="center"/>
          </w:tcPr>
          <w:p>
            <w:pPr>
              <w:pStyle w:val="23"/>
              <w:shd w:val="clear"/>
              <w:spacing w:before="121"/>
              <w:ind w:left="80" w:right="72"/>
              <w:jc w:val="center"/>
              <w:rPr>
                <w:rFonts w:hint="eastAsia" w:ascii="仿宋" w:hAnsi="仿宋" w:eastAsia="仿宋" w:cs="仿宋"/>
                <w:b/>
                <w:bCs/>
                <w:sz w:val="21"/>
                <w:szCs w:val="21"/>
              </w:rPr>
            </w:pPr>
            <w:r>
              <w:rPr>
                <w:rFonts w:hint="eastAsia" w:ascii="仿宋" w:hAnsi="仿宋" w:eastAsia="仿宋" w:cs="仿宋"/>
                <w:b/>
                <w:bCs/>
                <w:sz w:val="21"/>
                <w:szCs w:val="21"/>
              </w:rPr>
              <w:t>管理要求</w:t>
            </w:r>
          </w:p>
        </w:tc>
        <w:tc>
          <w:tcPr>
            <w:tcW w:w="4715" w:type="dxa"/>
            <w:noWrap w:val="0"/>
            <w:vAlign w:val="center"/>
          </w:tcPr>
          <w:p>
            <w:pPr>
              <w:pStyle w:val="23"/>
              <w:shd w:val="clear"/>
              <w:spacing w:before="121"/>
              <w:ind w:right="2227"/>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870" w:type="dxa"/>
            <w:noWrap w:val="0"/>
            <w:vAlign w:val="center"/>
          </w:tcPr>
          <w:p>
            <w:pPr>
              <w:pStyle w:val="23"/>
              <w:shd w:val="clear"/>
              <w:spacing w:before="121"/>
              <w:ind w:left="177" w:right="168"/>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0" w:type="dxa"/>
            <w:noWrap w:val="0"/>
            <w:vAlign w:val="top"/>
          </w:tcPr>
          <w:p>
            <w:pPr>
              <w:pStyle w:val="23"/>
              <w:shd w:val="clear"/>
              <w:spacing w:before="158"/>
              <w:ind w:left="90" w:right="79"/>
              <w:jc w:val="center"/>
              <w:rPr>
                <w:rFonts w:hint="eastAsia" w:ascii="仿宋" w:hAnsi="仿宋" w:eastAsia="仿宋" w:cs="仿宋"/>
                <w:sz w:val="21"/>
                <w:szCs w:val="21"/>
              </w:rPr>
            </w:pPr>
            <w:r>
              <w:rPr>
                <w:rFonts w:hint="eastAsia" w:ascii="仿宋" w:hAnsi="仿宋" w:eastAsia="仿宋" w:cs="仿宋"/>
                <w:sz w:val="21"/>
                <w:szCs w:val="21"/>
              </w:rPr>
              <w:t>17</w:t>
            </w:r>
          </w:p>
        </w:tc>
        <w:tc>
          <w:tcPr>
            <w:tcW w:w="1165" w:type="dxa"/>
            <w:vMerge w:val="restart"/>
            <w:noWrap w:val="0"/>
            <w:vAlign w:val="top"/>
          </w:tcPr>
          <w:p>
            <w:pPr>
              <w:pStyle w:val="23"/>
              <w:shd w:val="clear"/>
              <w:rPr>
                <w:rFonts w:hint="eastAsia" w:ascii="仿宋" w:hAnsi="仿宋" w:eastAsia="仿宋" w:cs="仿宋"/>
                <w:sz w:val="21"/>
                <w:szCs w:val="21"/>
              </w:rPr>
            </w:pPr>
          </w:p>
        </w:tc>
        <w:tc>
          <w:tcPr>
            <w:tcW w:w="3330" w:type="dxa"/>
            <w:noWrap w:val="0"/>
            <w:vAlign w:val="center"/>
          </w:tcPr>
          <w:p>
            <w:pPr>
              <w:pStyle w:val="23"/>
              <w:shd w:val="clear"/>
              <w:spacing w:before="158"/>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维护汀步设施正常功能</w:t>
            </w:r>
          </w:p>
        </w:tc>
        <w:tc>
          <w:tcPr>
            <w:tcW w:w="4715" w:type="dxa"/>
            <w:noWrap w:val="0"/>
            <w:vAlign w:val="center"/>
          </w:tcPr>
          <w:p>
            <w:pPr>
              <w:pStyle w:val="23"/>
              <w:shd w:val="clear"/>
              <w:tabs>
                <w:tab w:val="left" w:pos="4620"/>
              </w:tabs>
              <w:spacing w:before="5" w:line="289" w:lineRule="exact"/>
              <w:ind w:right="185" w:rightChars="88"/>
              <w:jc w:val="both"/>
              <w:rPr>
                <w:rFonts w:hint="eastAsia" w:ascii="仿宋" w:hAnsi="仿宋" w:eastAsia="仿宋" w:cs="仿宋"/>
                <w:spacing w:val="0"/>
                <w:sz w:val="21"/>
                <w:szCs w:val="21"/>
              </w:rPr>
            </w:pPr>
            <w:r>
              <w:rPr>
                <w:rFonts w:hint="eastAsia" w:ascii="仿宋" w:hAnsi="仿宋" w:eastAsia="仿宋" w:cs="仿宋"/>
                <w:spacing w:val="0"/>
                <w:sz w:val="21"/>
                <w:szCs w:val="21"/>
              </w:rPr>
              <w:t>保持汀步设施、功能完善，对汀步损坏以至于造成绿化带踩踏的，每发现1 处扣0.5 分。</w:t>
            </w:r>
          </w:p>
        </w:tc>
        <w:tc>
          <w:tcPr>
            <w:tcW w:w="870" w:type="dxa"/>
            <w:noWrap w:val="0"/>
            <w:vAlign w:val="center"/>
          </w:tcPr>
          <w:p>
            <w:pPr>
              <w:pStyle w:val="23"/>
              <w:shd w:val="clear"/>
              <w:spacing w:before="158"/>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23"/>
              <w:shd w:val="clear"/>
              <w:spacing w:before="184"/>
              <w:ind w:left="90" w:right="79"/>
              <w:jc w:val="center"/>
              <w:rPr>
                <w:rFonts w:hint="eastAsia" w:ascii="仿宋" w:hAnsi="仿宋" w:eastAsia="仿宋" w:cs="仿宋"/>
                <w:sz w:val="21"/>
                <w:szCs w:val="21"/>
              </w:rPr>
            </w:pPr>
            <w:r>
              <w:rPr>
                <w:rFonts w:hint="eastAsia" w:ascii="仿宋" w:hAnsi="仿宋" w:eastAsia="仿宋" w:cs="仿宋"/>
                <w:sz w:val="21"/>
                <w:szCs w:val="21"/>
              </w:rPr>
              <w:t>18</w:t>
            </w:r>
          </w:p>
        </w:tc>
        <w:tc>
          <w:tcPr>
            <w:tcW w:w="1165" w:type="dxa"/>
            <w:vMerge w:val="continue"/>
            <w:tcBorders>
              <w:top w:val="nil"/>
            </w:tcBorders>
            <w:noWrap w:val="0"/>
            <w:vAlign w:val="top"/>
          </w:tcPr>
          <w:p>
            <w:pPr>
              <w:shd w:val="clear"/>
              <w:rPr>
                <w:rFonts w:hint="eastAsia" w:ascii="仿宋" w:hAnsi="仿宋" w:eastAsia="仿宋" w:cs="仿宋"/>
                <w:sz w:val="21"/>
                <w:szCs w:val="21"/>
              </w:rPr>
            </w:pPr>
          </w:p>
        </w:tc>
        <w:tc>
          <w:tcPr>
            <w:tcW w:w="3330" w:type="dxa"/>
            <w:noWrap w:val="0"/>
            <w:vAlign w:val="center"/>
          </w:tcPr>
          <w:p>
            <w:pPr>
              <w:pStyle w:val="23"/>
              <w:shd w:val="clear"/>
              <w:spacing w:before="184"/>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排水通畅，路面无积水</w:t>
            </w:r>
          </w:p>
        </w:tc>
        <w:tc>
          <w:tcPr>
            <w:tcW w:w="4715" w:type="dxa"/>
            <w:noWrap w:val="0"/>
            <w:vAlign w:val="center"/>
          </w:tcPr>
          <w:p>
            <w:pPr>
              <w:pStyle w:val="23"/>
              <w:shd w:val="clear"/>
              <w:spacing w:before="28" w:line="242" w:lineRule="auto"/>
              <w:ind w:right="85"/>
              <w:jc w:val="both"/>
              <w:rPr>
                <w:rFonts w:hint="eastAsia" w:ascii="仿宋" w:hAnsi="仿宋" w:eastAsia="仿宋" w:cs="仿宋"/>
                <w:spacing w:val="0"/>
                <w:sz w:val="21"/>
                <w:szCs w:val="21"/>
              </w:rPr>
            </w:pPr>
            <w:r>
              <w:rPr>
                <w:rFonts w:hint="eastAsia" w:ascii="仿宋" w:hAnsi="仿宋" w:eastAsia="仿宋" w:cs="仿宋"/>
                <w:spacing w:val="0"/>
                <w:sz w:val="21"/>
                <w:szCs w:val="21"/>
              </w:rPr>
              <w:t>排水通畅，各路段没有明显积水，每发现1 处积水扣1 分。</w:t>
            </w:r>
          </w:p>
        </w:tc>
        <w:tc>
          <w:tcPr>
            <w:tcW w:w="870" w:type="dxa"/>
            <w:noWrap w:val="0"/>
            <w:vAlign w:val="center"/>
          </w:tcPr>
          <w:p>
            <w:pPr>
              <w:pStyle w:val="23"/>
              <w:shd w:val="clear"/>
              <w:spacing w:before="184"/>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700" w:type="dxa"/>
            <w:noWrap w:val="0"/>
            <w:vAlign w:val="top"/>
          </w:tcPr>
          <w:p>
            <w:pPr>
              <w:pStyle w:val="23"/>
              <w:shd w:val="clear"/>
              <w:spacing w:before="1"/>
              <w:rPr>
                <w:rFonts w:hint="eastAsia" w:ascii="仿宋" w:hAnsi="仿宋" w:eastAsia="仿宋" w:cs="仿宋"/>
                <w:sz w:val="21"/>
                <w:szCs w:val="21"/>
              </w:rPr>
            </w:pPr>
          </w:p>
          <w:p>
            <w:pPr>
              <w:pStyle w:val="23"/>
              <w:shd w:val="clear"/>
              <w:ind w:left="90" w:right="79"/>
              <w:jc w:val="center"/>
              <w:rPr>
                <w:rFonts w:hint="eastAsia" w:ascii="仿宋" w:hAnsi="仿宋" w:eastAsia="仿宋" w:cs="仿宋"/>
                <w:sz w:val="21"/>
                <w:szCs w:val="21"/>
              </w:rPr>
            </w:pPr>
            <w:r>
              <w:rPr>
                <w:rFonts w:hint="eastAsia" w:ascii="仿宋" w:hAnsi="仿宋" w:eastAsia="仿宋" w:cs="仿宋"/>
                <w:sz w:val="21"/>
                <w:szCs w:val="21"/>
              </w:rPr>
              <w:t>19</w:t>
            </w:r>
          </w:p>
        </w:tc>
        <w:tc>
          <w:tcPr>
            <w:tcW w:w="1165" w:type="dxa"/>
            <w:vMerge w:val="restart"/>
            <w:noWrap w:val="0"/>
            <w:vAlign w:val="center"/>
          </w:tcPr>
          <w:p>
            <w:pPr>
              <w:pStyle w:val="23"/>
              <w:shd w:val="clear"/>
              <w:jc w:val="center"/>
              <w:rPr>
                <w:rFonts w:hint="eastAsia" w:ascii="仿宋" w:hAnsi="仿宋" w:eastAsia="仿宋" w:cs="仿宋"/>
                <w:sz w:val="21"/>
                <w:szCs w:val="21"/>
              </w:rPr>
            </w:pPr>
          </w:p>
          <w:p>
            <w:pPr>
              <w:pStyle w:val="23"/>
              <w:shd w:val="clear"/>
              <w:jc w:val="center"/>
              <w:rPr>
                <w:rFonts w:hint="eastAsia" w:ascii="仿宋" w:hAnsi="仿宋" w:eastAsia="仿宋" w:cs="仿宋"/>
                <w:sz w:val="21"/>
                <w:szCs w:val="21"/>
              </w:rPr>
            </w:pPr>
          </w:p>
          <w:p>
            <w:pPr>
              <w:pStyle w:val="23"/>
              <w:shd w:val="clear"/>
              <w:spacing w:before="5"/>
              <w:jc w:val="center"/>
              <w:rPr>
                <w:rFonts w:hint="eastAsia" w:ascii="仿宋" w:hAnsi="仿宋" w:eastAsia="仿宋" w:cs="仿宋"/>
                <w:sz w:val="21"/>
                <w:szCs w:val="21"/>
              </w:rPr>
            </w:pPr>
          </w:p>
          <w:p>
            <w:pPr>
              <w:pStyle w:val="23"/>
              <w:shd w:val="clear"/>
              <w:jc w:val="center"/>
              <w:rPr>
                <w:rFonts w:hint="eastAsia" w:ascii="仿宋" w:hAnsi="仿宋" w:eastAsia="仿宋" w:cs="仿宋"/>
                <w:sz w:val="21"/>
                <w:szCs w:val="21"/>
              </w:rPr>
            </w:pPr>
            <w:r>
              <w:rPr>
                <w:rFonts w:hint="eastAsia" w:ascii="仿宋" w:hAnsi="仿宋" w:eastAsia="仿宋" w:cs="仿宋"/>
                <w:sz w:val="21"/>
                <w:szCs w:val="21"/>
              </w:rPr>
              <w:t>环境卫生</w:t>
            </w:r>
          </w:p>
          <w:p>
            <w:pPr>
              <w:pStyle w:val="23"/>
              <w:shd w:val="clear"/>
              <w:spacing w:before="207"/>
              <w:jc w:val="center"/>
              <w:rPr>
                <w:rFonts w:hint="eastAsia" w:ascii="仿宋" w:hAnsi="仿宋" w:eastAsia="仿宋" w:cs="仿宋"/>
                <w:sz w:val="21"/>
                <w:szCs w:val="21"/>
              </w:rPr>
            </w:pPr>
            <w:r>
              <w:rPr>
                <w:rFonts w:hint="eastAsia" w:ascii="仿宋" w:hAnsi="仿宋" w:eastAsia="仿宋" w:cs="仿宋"/>
                <w:sz w:val="21"/>
                <w:szCs w:val="21"/>
              </w:rPr>
              <w:t>（15</w:t>
            </w:r>
            <w:r>
              <w:rPr>
                <w:rFonts w:hint="eastAsia" w:ascii="仿宋" w:hAnsi="仿宋" w:eastAsia="仿宋" w:cs="仿宋"/>
                <w:spacing w:val="-6"/>
                <w:sz w:val="21"/>
                <w:szCs w:val="21"/>
              </w:rPr>
              <w:t xml:space="preserve"> 分</w:t>
            </w:r>
            <w:r>
              <w:rPr>
                <w:rFonts w:hint="eastAsia" w:ascii="仿宋" w:hAnsi="仿宋" w:eastAsia="仿宋" w:cs="仿宋"/>
                <w:sz w:val="21"/>
                <w:szCs w:val="21"/>
              </w:rPr>
              <w:t>）</w:t>
            </w:r>
          </w:p>
        </w:tc>
        <w:tc>
          <w:tcPr>
            <w:tcW w:w="3330" w:type="dxa"/>
            <w:noWrap w:val="0"/>
            <w:vAlign w:val="center"/>
          </w:tcPr>
          <w:p>
            <w:pPr>
              <w:pStyle w:val="23"/>
              <w:shd w:val="clear"/>
              <w:spacing w:before="1"/>
              <w:jc w:val="center"/>
              <w:rPr>
                <w:rFonts w:hint="eastAsia" w:ascii="仿宋" w:hAnsi="仿宋" w:eastAsia="仿宋" w:cs="仿宋"/>
                <w:spacing w:val="0"/>
                <w:sz w:val="21"/>
                <w:szCs w:val="21"/>
              </w:rPr>
            </w:pPr>
          </w:p>
          <w:p>
            <w:pPr>
              <w:pStyle w:val="23"/>
              <w:shd w:val="clear"/>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绿化带干净整洁美观</w:t>
            </w:r>
          </w:p>
        </w:tc>
        <w:tc>
          <w:tcPr>
            <w:tcW w:w="4715" w:type="dxa"/>
            <w:noWrap w:val="0"/>
            <w:vAlign w:val="center"/>
          </w:tcPr>
          <w:p>
            <w:pPr>
              <w:pStyle w:val="23"/>
              <w:shd w:val="clear"/>
              <w:spacing w:before="179" w:line="242" w:lineRule="auto"/>
              <w:ind w:right="185" w:rightChars="0"/>
              <w:jc w:val="both"/>
              <w:rPr>
                <w:rFonts w:hint="eastAsia" w:ascii="仿宋" w:hAnsi="仿宋" w:eastAsia="仿宋" w:cs="仿宋"/>
                <w:spacing w:val="0"/>
                <w:sz w:val="21"/>
                <w:szCs w:val="21"/>
              </w:rPr>
            </w:pPr>
            <w:r>
              <w:rPr>
                <w:rFonts w:hint="eastAsia" w:ascii="仿宋" w:hAnsi="仿宋" w:eastAsia="仿宋" w:cs="仿宋"/>
                <w:spacing w:val="0"/>
                <w:sz w:val="21"/>
                <w:szCs w:val="21"/>
              </w:rPr>
              <w:t>绿化带范围内（含绿道、节点）环境干净整洁，每发现 1 处陈年垃圾，扣1 分；发现零星废弃物，3 处扣1 分。</w:t>
            </w:r>
          </w:p>
        </w:tc>
        <w:tc>
          <w:tcPr>
            <w:tcW w:w="870" w:type="dxa"/>
            <w:noWrap w:val="0"/>
            <w:vAlign w:val="center"/>
          </w:tcPr>
          <w:p>
            <w:pPr>
              <w:pStyle w:val="23"/>
              <w:shd w:val="clear"/>
              <w:spacing w:before="1"/>
              <w:jc w:val="center"/>
              <w:rPr>
                <w:rFonts w:hint="eastAsia" w:ascii="仿宋" w:hAnsi="仿宋" w:eastAsia="仿宋" w:cs="仿宋"/>
                <w:sz w:val="21"/>
                <w:szCs w:val="21"/>
              </w:rPr>
            </w:pPr>
          </w:p>
          <w:p>
            <w:pPr>
              <w:pStyle w:val="23"/>
              <w:shd w:val="clear"/>
              <w:ind w:left="177" w:right="168"/>
              <w:jc w:val="center"/>
              <w:rPr>
                <w:rFonts w:hint="eastAsia" w:ascii="仿宋" w:hAnsi="仿宋" w:eastAsia="仿宋" w:cs="仿宋"/>
                <w:sz w:val="21"/>
                <w:szCs w:val="21"/>
              </w:rPr>
            </w:pPr>
            <w:r>
              <w:rPr>
                <w:rFonts w:hint="eastAsia" w:ascii="仿宋" w:hAnsi="仿宋" w:eastAsia="仿宋" w:cs="仿宋"/>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700" w:type="dxa"/>
            <w:noWrap w:val="0"/>
            <w:vAlign w:val="top"/>
          </w:tcPr>
          <w:p>
            <w:pPr>
              <w:pStyle w:val="23"/>
              <w:shd w:val="clear"/>
              <w:spacing w:before="4"/>
              <w:rPr>
                <w:rFonts w:hint="eastAsia" w:ascii="仿宋" w:hAnsi="仿宋" w:eastAsia="仿宋" w:cs="仿宋"/>
                <w:sz w:val="21"/>
                <w:szCs w:val="21"/>
              </w:rPr>
            </w:pPr>
          </w:p>
          <w:p>
            <w:pPr>
              <w:pStyle w:val="23"/>
              <w:shd w:val="clear"/>
              <w:ind w:left="90" w:right="79"/>
              <w:jc w:val="center"/>
              <w:rPr>
                <w:rFonts w:hint="eastAsia" w:ascii="仿宋" w:hAnsi="仿宋" w:eastAsia="仿宋" w:cs="仿宋"/>
                <w:sz w:val="21"/>
                <w:szCs w:val="21"/>
              </w:rPr>
            </w:pPr>
            <w:r>
              <w:rPr>
                <w:rFonts w:hint="eastAsia" w:ascii="仿宋" w:hAnsi="仿宋" w:eastAsia="仿宋" w:cs="仿宋"/>
                <w:sz w:val="21"/>
                <w:szCs w:val="21"/>
              </w:rPr>
              <w:t>20</w:t>
            </w:r>
          </w:p>
        </w:tc>
        <w:tc>
          <w:tcPr>
            <w:tcW w:w="1165" w:type="dxa"/>
            <w:vMerge w:val="continue"/>
            <w:tcBorders>
              <w:top w:val="nil"/>
            </w:tcBorders>
            <w:noWrap w:val="0"/>
            <w:vAlign w:val="top"/>
          </w:tcPr>
          <w:p>
            <w:pPr>
              <w:shd w:val="clear"/>
              <w:rPr>
                <w:rFonts w:hint="eastAsia" w:ascii="仿宋" w:hAnsi="仿宋" w:eastAsia="仿宋" w:cs="仿宋"/>
                <w:sz w:val="21"/>
                <w:szCs w:val="21"/>
              </w:rPr>
            </w:pPr>
          </w:p>
        </w:tc>
        <w:tc>
          <w:tcPr>
            <w:tcW w:w="3330" w:type="dxa"/>
            <w:noWrap w:val="0"/>
            <w:vAlign w:val="center"/>
          </w:tcPr>
          <w:p>
            <w:pPr>
              <w:pStyle w:val="23"/>
              <w:shd w:val="clear"/>
              <w:spacing w:before="158" w:line="242" w:lineRule="auto"/>
              <w:ind w:left="107" w:right="1"/>
              <w:jc w:val="center"/>
              <w:rPr>
                <w:rFonts w:hint="eastAsia" w:ascii="仿宋" w:hAnsi="仿宋" w:eastAsia="仿宋" w:cs="仿宋"/>
                <w:spacing w:val="0"/>
                <w:sz w:val="21"/>
                <w:szCs w:val="21"/>
              </w:rPr>
            </w:pPr>
            <w:r>
              <w:rPr>
                <w:rFonts w:hint="eastAsia" w:ascii="仿宋" w:hAnsi="仿宋" w:eastAsia="仿宋" w:cs="仿宋"/>
                <w:spacing w:val="0"/>
                <w:sz w:val="21"/>
                <w:szCs w:val="21"/>
              </w:rPr>
              <w:t>沿线整洁有序，无乱设固定垃圾箱、垃圾回收房</w:t>
            </w:r>
          </w:p>
        </w:tc>
        <w:tc>
          <w:tcPr>
            <w:tcW w:w="4715" w:type="dxa"/>
            <w:noWrap w:val="0"/>
            <w:vAlign w:val="center"/>
          </w:tcPr>
          <w:p>
            <w:pPr>
              <w:pStyle w:val="23"/>
              <w:shd w:val="clear"/>
              <w:spacing w:before="2" w:line="289"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在景观线沿线，乱设置垃圾箱、垃圾桶等收集设施，影响环境整洁的，每发现1 处，扣1 分。发现路边乱设摊现象，及时反馈当地政府处理。</w:t>
            </w:r>
          </w:p>
        </w:tc>
        <w:tc>
          <w:tcPr>
            <w:tcW w:w="870" w:type="dxa"/>
            <w:noWrap w:val="0"/>
            <w:vAlign w:val="center"/>
          </w:tcPr>
          <w:p>
            <w:pPr>
              <w:pStyle w:val="23"/>
              <w:shd w:val="clear"/>
              <w:spacing w:before="4"/>
              <w:jc w:val="center"/>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700" w:type="dxa"/>
            <w:noWrap w:val="0"/>
            <w:vAlign w:val="top"/>
          </w:tcPr>
          <w:p>
            <w:pPr>
              <w:pStyle w:val="23"/>
              <w:shd w:val="clear"/>
              <w:rPr>
                <w:rFonts w:hint="eastAsia" w:ascii="仿宋" w:hAnsi="仿宋" w:eastAsia="仿宋" w:cs="仿宋"/>
                <w:sz w:val="21"/>
                <w:szCs w:val="21"/>
              </w:rPr>
            </w:pPr>
          </w:p>
          <w:p>
            <w:pPr>
              <w:pStyle w:val="23"/>
              <w:shd w:val="clear"/>
              <w:spacing w:before="194"/>
              <w:ind w:left="90" w:right="79"/>
              <w:jc w:val="center"/>
              <w:rPr>
                <w:rFonts w:hint="eastAsia" w:ascii="仿宋" w:hAnsi="仿宋" w:eastAsia="仿宋" w:cs="仿宋"/>
                <w:sz w:val="21"/>
                <w:szCs w:val="21"/>
              </w:rPr>
            </w:pPr>
            <w:r>
              <w:rPr>
                <w:rFonts w:hint="eastAsia" w:ascii="仿宋" w:hAnsi="仿宋" w:eastAsia="仿宋" w:cs="仿宋"/>
                <w:sz w:val="21"/>
                <w:szCs w:val="21"/>
              </w:rPr>
              <w:t>21</w:t>
            </w:r>
          </w:p>
        </w:tc>
        <w:tc>
          <w:tcPr>
            <w:tcW w:w="1165" w:type="dxa"/>
            <w:vMerge w:val="continue"/>
            <w:tcBorders>
              <w:top w:val="nil"/>
            </w:tcBorders>
            <w:noWrap w:val="0"/>
            <w:vAlign w:val="top"/>
          </w:tcPr>
          <w:p>
            <w:pPr>
              <w:shd w:val="clear"/>
              <w:rPr>
                <w:rFonts w:hint="eastAsia" w:ascii="仿宋" w:hAnsi="仿宋" w:eastAsia="仿宋" w:cs="仿宋"/>
                <w:sz w:val="21"/>
                <w:szCs w:val="21"/>
              </w:rPr>
            </w:pPr>
          </w:p>
        </w:tc>
        <w:tc>
          <w:tcPr>
            <w:tcW w:w="3330" w:type="dxa"/>
            <w:noWrap w:val="0"/>
            <w:vAlign w:val="center"/>
          </w:tcPr>
          <w:p>
            <w:pPr>
              <w:pStyle w:val="23"/>
              <w:shd w:val="clear"/>
              <w:spacing w:before="3"/>
              <w:jc w:val="center"/>
              <w:rPr>
                <w:rFonts w:hint="eastAsia" w:ascii="仿宋" w:hAnsi="仿宋" w:eastAsia="仿宋" w:cs="仿宋"/>
                <w:spacing w:val="0"/>
                <w:sz w:val="21"/>
                <w:szCs w:val="21"/>
              </w:rPr>
            </w:pPr>
          </w:p>
          <w:p>
            <w:pPr>
              <w:pStyle w:val="23"/>
              <w:shd w:val="clear"/>
              <w:spacing w:before="1" w:line="242" w:lineRule="auto"/>
              <w:ind w:left="107" w:right="75"/>
              <w:jc w:val="center"/>
              <w:rPr>
                <w:rFonts w:hint="eastAsia" w:ascii="仿宋" w:hAnsi="仿宋" w:eastAsia="仿宋" w:cs="仿宋"/>
                <w:spacing w:val="0"/>
                <w:sz w:val="21"/>
                <w:szCs w:val="21"/>
              </w:rPr>
            </w:pPr>
            <w:r>
              <w:rPr>
                <w:rFonts w:hint="eastAsia" w:ascii="仿宋" w:hAnsi="仿宋" w:eastAsia="仿宋" w:cs="仿宋"/>
                <w:spacing w:val="0"/>
                <w:sz w:val="21"/>
                <w:szCs w:val="21"/>
              </w:rPr>
              <w:t>水塘、河道干净整洁，节点内水塘水质较好</w:t>
            </w:r>
          </w:p>
        </w:tc>
        <w:tc>
          <w:tcPr>
            <w:tcW w:w="4715" w:type="dxa"/>
            <w:noWrap w:val="0"/>
            <w:vAlign w:val="center"/>
          </w:tcPr>
          <w:p>
            <w:pPr>
              <w:pStyle w:val="23"/>
              <w:shd w:val="clear"/>
              <w:spacing w:before="4" w:line="290" w:lineRule="exact"/>
              <w:ind w:right="185" w:rightChars="88"/>
              <w:jc w:val="both"/>
              <w:rPr>
                <w:rFonts w:hint="eastAsia" w:ascii="仿宋" w:hAnsi="仿宋" w:eastAsia="仿宋" w:cs="仿宋"/>
                <w:spacing w:val="0"/>
                <w:sz w:val="21"/>
                <w:szCs w:val="21"/>
              </w:rPr>
            </w:pPr>
            <w:r>
              <w:rPr>
                <w:rFonts w:hint="eastAsia" w:ascii="仿宋" w:hAnsi="仿宋" w:eastAsia="仿宋" w:cs="仿宋"/>
                <w:spacing w:val="0"/>
                <w:sz w:val="21"/>
                <w:szCs w:val="21"/>
              </w:rPr>
              <w:t>维持景观线绿化带、节点区域内水塘日常保洁，确保水岸无垃圾杂物，每发现1 处扣0.5 分；水质良好，否则酌情扣分。若发现沿线河道有明显漂浮物等影响景观的情况，及时反馈当地政府处理。</w:t>
            </w:r>
          </w:p>
        </w:tc>
        <w:tc>
          <w:tcPr>
            <w:tcW w:w="870" w:type="dxa"/>
            <w:noWrap w:val="0"/>
            <w:vAlign w:val="center"/>
          </w:tcPr>
          <w:p>
            <w:pPr>
              <w:pStyle w:val="23"/>
              <w:shd w:val="clear"/>
              <w:jc w:val="center"/>
              <w:rPr>
                <w:rFonts w:hint="eastAsia" w:ascii="仿宋" w:hAnsi="仿宋" w:eastAsia="仿宋" w:cs="仿宋"/>
                <w:sz w:val="21"/>
                <w:szCs w:val="21"/>
              </w:rPr>
            </w:pPr>
          </w:p>
          <w:p>
            <w:pPr>
              <w:pStyle w:val="23"/>
              <w:shd w:val="clear"/>
              <w:spacing w:before="194"/>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700" w:type="dxa"/>
            <w:noWrap w:val="0"/>
            <w:vAlign w:val="top"/>
          </w:tcPr>
          <w:p>
            <w:pPr>
              <w:pStyle w:val="23"/>
              <w:shd w:val="clear"/>
              <w:spacing w:before="2"/>
              <w:rPr>
                <w:rFonts w:hint="eastAsia" w:ascii="仿宋" w:hAnsi="仿宋" w:eastAsia="仿宋" w:cs="仿宋"/>
                <w:sz w:val="21"/>
                <w:szCs w:val="21"/>
              </w:rPr>
            </w:pPr>
          </w:p>
          <w:p>
            <w:pPr>
              <w:pStyle w:val="23"/>
              <w:shd w:val="clear"/>
              <w:ind w:left="90" w:right="79"/>
              <w:jc w:val="center"/>
              <w:rPr>
                <w:rFonts w:hint="eastAsia" w:ascii="仿宋" w:hAnsi="仿宋" w:eastAsia="仿宋" w:cs="仿宋"/>
                <w:sz w:val="21"/>
                <w:szCs w:val="21"/>
              </w:rPr>
            </w:pPr>
            <w:r>
              <w:rPr>
                <w:rFonts w:hint="eastAsia" w:ascii="仿宋" w:hAnsi="仿宋" w:eastAsia="仿宋" w:cs="仿宋"/>
                <w:sz w:val="21"/>
                <w:szCs w:val="21"/>
              </w:rPr>
              <w:t>22</w:t>
            </w:r>
          </w:p>
        </w:tc>
        <w:tc>
          <w:tcPr>
            <w:tcW w:w="1165" w:type="dxa"/>
            <w:vMerge w:val="restart"/>
            <w:noWrap w:val="0"/>
            <w:vAlign w:val="center"/>
          </w:tcPr>
          <w:p>
            <w:pPr>
              <w:pStyle w:val="23"/>
              <w:shd w:val="clear"/>
              <w:jc w:val="center"/>
              <w:rPr>
                <w:rFonts w:hint="eastAsia" w:ascii="仿宋" w:hAnsi="仿宋" w:eastAsia="仿宋" w:cs="仿宋"/>
                <w:sz w:val="21"/>
                <w:szCs w:val="21"/>
              </w:rPr>
            </w:pPr>
          </w:p>
          <w:p>
            <w:pPr>
              <w:pStyle w:val="23"/>
              <w:shd w:val="clear"/>
              <w:jc w:val="center"/>
              <w:rPr>
                <w:rFonts w:hint="eastAsia" w:ascii="仿宋" w:hAnsi="仿宋" w:eastAsia="仿宋" w:cs="仿宋"/>
                <w:sz w:val="21"/>
                <w:szCs w:val="21"/>
              </w:rPr>
            </w:pPr>
          </w:p>
          <w:p>
            <w:pPr>
              <w:pStyle w:val="23"/>
              <w:shd w:val="clear"/>
              <w:spacing w:before="120"/>
              <w:ind w:left="106" w:right="-15"/>
              <w:jc w:val="center"/>
              <w:rPr>
                <w:rFonts w:hint="eastAsia" w:ascii="仿宋" w:hAnsi="仿宋" w:eastAsia="仿宋" w:cs="仿宋"/>
                <w:sz w:val="21"/>
                <w:szCs w:val="21"/>
              </w:rPr>
            </w:pPr>
            <w:r>
              <w:rPr>
                <w:rFonts w:hint="eastAsia" w:ascii="仿宋" w:hAnsi="仿宋" w:eastAsia="仿宋" w:cs="仿宋"/>
                <w:sz w:val="21"/>
                <w:szCs w:val="21"/>
              </w:rPr>
              <w:t>环境与设施维护</w:t>
            </w:r>
          </w:p>
          <w:p>
            <w:pPr>
              <w:pStyle w:val="23"/>
              <w:shd w:val="clear"/>
              <w:spacing w:before="190"/>
              <w:jc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12分</w:t>
            </w:r>
            <w:r>
              <w:rPr>
                <w:rFonts w:hint="eastAsia" w:ascii="仿宋" w:hAnsi="仿宋" w:eastAsia="仿宋" w:cs="仿宋"/>
                <w:sz w:val="21"/>
                <w:szCs w:val="21"/>
                <w:lang w:eastAsia="zh-CN"/>
              </w:rPr>
              <w:t>）</w:t>
            </w:r>
          </w:p>
          <w:p>
            <w:pPr>
              <w:pStyle w:val="23"/>
              <w:shd w:val="clear"/>
              <w:spacing w:before="190"/>
              <w:jc w:val="center"/>
              <w:rPr>
                <w:rFonts w:hint="eastAsia" w:ascii="仿宋" w:hAnsi="仿宋" w:eastAsia="仿宋" w:cs="仿宋"/>
                <w:sz w:val="21"/>
                <w:szCs w:val="21"/>
              </w:rPr>
            </w:pPr>
          </w:p>
        </w:tc>
        <w:tc>
          <w:tcPr>
            <w:tcW w:w="3330" w:type="dxa"/>
            <w:noWrap w:val="0"/>
            <w:vAlign w:val="center"/>
          </w:tcPr>
          <w:p>
            <w:pPr>
              <w:pStyle w:val="23"/>
              <w:shd w:val="clear"/>
              <w:spacing w:before="2"/>
              <w:jc w:val="center"/>
              <w:rPr>
                <w:rFonts w:hint="eastAsia" w:ascii="仿宋" w:hAnsi="仿宋" w:eastAsia="仿宋" w:cs="仿宋"/>
                <w:spacing w:val="0"/>
                <w:sz w:val="21"/>
                <w:szCs w:val="21"/>
              </w:rPr>
            </w:pPr>
          </w:p>
          <w:p>
            <w:pPr>
              <w:pStyle w:val="23"/>
              <w:shd w:val="clear"/>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绿化带内、节点标识标牌维护齐全</w:t>
            </w:r>
          </w:p>
        </w:tc>
        <w:tc>
          <w:tcPr>
            <w:tcW w:w="4715" w:type="dxa"/>
            <w:noWrap w:val="0"/>
            <w:vAlign w:val="center"/>
          </w:tcPr>
          <w:p>
            <w:pPr>
              <w:pStyle w:val="23"/>
              <w:shd w:val="clear"/>
              <w:spacing w:before="179" w:line="242" w:lineRule="auto"/>
              <w:ind w:left="-199" w:leftChars="-95" w:right="75" w:firstLine="0" w:firstLineChars="0"/>
              <w:jc w:val="both"/>
              <w:rPr>
                <w:rFonts w:hint="eastAsia" w:ascii="仿宋" w:hAnsi="仿宋" w:eastAsia="仿宋" w:cs="仿宋"/>
                <w:spacing w:val="0"/>
                <w:sz w:val="21"/>
                <w:szCs w:val="21"/>
              </w:rPr>
            </w:pPr>
            <w:r>
              <w:rPr>
                <w:rFonts w:hint="eastAsia" w:ascii="仿宋" w:hAnsi="仿宋" w:eastAsia="仿宋" w:cs="仿宋"/>
                <w:spacing w:val="0"/>
                <w:sz w:val="21"/>
                <w:szCs w:val="21"/>
              </w:rPr>
              <w:t>绿化带内及节点标识标牌维护齐全，有损坏且维修不及时的，视具体情况扣0.5-3 分。</w:t>
            </w:r>
          </w:p>
        </w:tc>
        <w:tc>
          <w:tcPr>
            <w:tcW w:w="870" w:type="dxa"/>
            <w:noWrap w:val="0"/>
            <w:vAlign w:val="center"/>
          </w:tcPr>
          <w:p>
            <w:pPr>
              <w:pStyle w:val="23"/>
              <w:shd w:val="clear"/>
              <w:spacing w:before="2"/>
              <w:jc w:val="center"/>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00" w:type="dxa"/>
            <w:noWrap w:val="0"/>
            <w:vAlign w:val="top"/>
          </w:tcPr>
          <w:p>
            <w:pPr>
              <w:pStyle w:val="23"/>
              <w:shd w:val="clear"/>
              <w:spacing w:before="158"/>
              <w:ind w:left="90" w:right="79"/>
              <w:jc w:val="center"/>
              <w:rPr>
                <w:rFonts w:hint="eastAsia" w:ascii="仿宋" w:hAnsi="仿宋" w:eastAsia="仿宋" w:cs="仿宋"/>
                <w:sz w:val="21"/>
                <w:szCs w:val="21"/>
              </w:rPr>
            </w:pPr>
            <w:r>
              <w:rPr>
                <w:rFonts w:hint="eastAsia" w:ascii="仿宋" w:hAnsi="仿宋" w:eastAsia="仿宋" w:cs="仿宋"/>
                <w:sz w:val="21"/>
                <w:szCs w:val="21"/>
              </w:rPr>
              <w:t>23</w:t>
            </w:r>
          </w:p>
        </w:tc>
        <w:tc>
          <w:tcPr>
            <w:tcW w:w="1165" w:type="dxa"/>
            <w:vMerge w:val="continue"/>
            <w:tcBorders>
              <w:top w:val="nil"/>
            </w:tcBorders>
            <w:noWrap w:val="0"/>
            <w:vAlign w:val="top"/>
          </w:tcPr>
          <w:p>
            <w:pPr>
              <w:shd w:val="clear"/>
              <w:rPr>
                <w:rFonts w:hint="eastAsia" w:ascii="仿宋" w:hAnsi="仿宋" w:eastAsia="仿宋" w:cs="仿宋"/>
                <w:sz w:val="21"/>
                <w:szCs w:val="21"/>
              </w:rPr>
            </w:pPr>
          </w:p>
        </w:tc>
        <w:tc>
          <w:tcPr>
            <w:tcW w:w="3330" w:type="dxa"/>
            <w:noWrap w:val="0"/>
            <w:vAlign w:val="center"/>
          </w:tcPr>
          <w:p>
            <w:pPr>
              <w:pStyle w:val="23"/>
              <w:shd w:val="clear"/>
              <w:spacing w:before="158"/>
              <w:ind w:left="107"/>
              <w:jc w:val="center"/>
              <w:rPr>
                <w:rFonts w:hint="eastAsia" w:ascii="仿宋" w:hAnsi="仿宋" w:eastAsia="仿宋" w:cs="仿宋"/>
                <w:spacing w:val="0"/>
                <w:sz w:val="21"/>
                <w:szCs w:val="21"/>
              </w:rPr>
            </w:pPr>
            <w:r>
              <w:rPr>
                <w:rFonts w:hint="eastAsia" w:ascii="仿宋" w:hAnsi="仿宋" w:eastAsia="仿宋" w:cs="仿宋"/>
                <w:spacing w:val="0"/>
                <w:sz w:val="21"/>
                <w:szCs w:val="21"/>
              </w:rPr>
              <w:t>平侧石整齐完整</w:t>
            </w:r>
          </w:p>
        </w:tc>
        <w:tc>
          <w:tcPr>
            <w:tcW w:w="4715" w:type="dxa"/>
            <w:noWrap w:val="0"/>
            <w:vAlign w:val="center"/>
          </w:tcPr>
          <w:p>
            <w:pPr>
              <w:pStyle w:val="23"/>
              <w:shd w:val="clear"/>
              <w:spacing w:before="5" w:line="288"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发现侧石、平石松动、破损或倒塌，长时间不处理的，发现1 处扣0.5 分。</w:t>
            </w:r>
          </w:p>
        </w:tc>
        <w:tc>
          <w:tcPr>
            <w:tcW w:w="870" w:type="dxa"/>
            <w:noWrap w:val="0"/>
            <w:vAlign w:val="center"/>
          </w:tcPr>
          <w:p>
            <w:pPr>
              <w:pStyle w:val="23"/>
              <w:shd w:val="clear"/>
              <w:spacing w:before="158"/>
              <w:ind w:left="9"/>
              <w:jc w:val="center"/>
              <w:rPr>
                <w:rFonts w:hint="eastAsia" w:ascii="仿宋" w:hAnsi="仿宋" w:eastAsia="仿宋" w:cs="仿宋"/>
                <w:sz w:val="21"/>
                <w:szCs w:val="21"/>
              </w:rPr>
            </w:pPr>
            <w:r>
              <w:rPr>
                <w:rFonts w:hint="eastAsia" w:ascii="仿宋" w:hAnsi="仿宋" w:eastAsia="仿宋" w:cs="仿宋"/>
                <w:sz w:val="21"/>
                <w:szCs w:val="21"/>
              </w:rPr>
              <w:t>3</w:t>
            </w:r>
          </w:p>
        </w:tc>
      </w:tr>
    </w:tbl>
    <w:p>
      <w:pPr>
        <w:pStyle w:val="14"/>
        <w:pageBreakBefore/>
        <w:shd w:val="clear"/>
        <w:ind w:left="0" w:leftChars="0" w:firstLine="0" w:firstLineChars="0"/>
        <w:rPr>
          <w:rFonts w:hint="eastAsia" w:ascii="仿宋" w:hAnsi="仿宋" w:eastAsia="仿宋" w:cs="仿宋"/>
          <w:b/>
          <w:bCs/>
          <w:sz w:val="21"/>
          <w:szCs w:val="21"/>
        </w:rPr>
      </w:pPr>
    </w:p>
    <w:tbl>
      <w:tblPr>
        <w:tblStyle w:val="15"/>
        <w:tblpPr w:leftFromText="180" w:rightFromText="180" w:vertAnchor="text" w:horzAnchor="page" w:tblpX="631" w:tblpY="234"/>
        <w:tblOverlap w:val="never"/>
        <w:tblW w:w="107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015"/>
        <w:gridCol w:w="3375"/>
        <w:gridCol w:w="4785"/>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top"/>
          </w:tcPr>
          <w:p>
            <w:pPr>
              <w:pStyle w:val="23"/>
              <w:shd w:val="clear"/>
              <w:spacing w:before="121"/>
              <w:ind w:left="90" w:right="79"/>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015" w:type="dxa"/>
            <w:noWrap w:val="0"/>
            <w:vAlign w:val="top"/>
          </w:tcPr>
          <w:p>
            <w:pPr>
              <w:pStyle w:val="23"/>
              <w:shd w:val="clear"/>
              <w:spacing w:before="121"/>
              <w:rPr>
                <w:rFonts w:hint="eastAsia" w:ascii="仿宋" w:hAnsi="仿宋" w:eastAsia="仿宋" w:cs="仿宋"/>
                <w:b/>
                <w:bCs/>
                <w:sz w:val="21"/>
                <w:szCs w:val="21"/>
              </w:rPr>
            </w:pPr>
            <w:r>
              <w:rPr>
                <w:rFonts w:hint="eastAsia" w:ascii="仿宋" w:hAnsi="仿宋" w:eastAsia="仿宋" w:cs="仿宋"/>
                <w:b/>
                <w:bCs/>
                <w:sz w:val="21"/>
                <w:szCs w:val="21"/>
              </w:rPr>
              <w:t>考核内容</w:t>
            </w:r>
          </w:p>
        </w:tc>
        <w:tc>
          <w:tcPr>
            <w:tcW w:w="3375" w:type="dxa"/>
            <w:noWrap w:val="0"/>
            <w:vAlign w:val="top"/>
          </w:tcPr>
          <w:p>
            <w:pPr>
              <w:pStyle w:val="23"/>
              <w:shd w:val="clear"/>
              <w:spacing w:before="121"/>
              <w:ind w:left="80" w:right="72"/>
              <w:jc w:val="center"/>
              <w:rPr>
                <w:rFonts w:hint="eastAsia" w:ascii="仿宋" w:hAnsi="仿宋" w:eastAsia="仿宋" w:cs="仿宋"/>
                <w:b/>
                <w:bCs/>
                <w:sz w:val="21"/>
                <w:szCs w:val="21"/>
              </w:rPr>
            </w:pPr>
            <w:r>
              <w:rPr>
                <w:rFonts w:hint="eastAsia" w:ascii="仿宋" w:hAnsi="仿宋" w:eastAsia="仿宋" w:cs="仿宋"/>
                <w:b/>
                <w:bCs/>
                <w:sz w:val="21"/>
                <w:szCs w:val="21"/>
              </w:rPr>
              <w:t>管理要求</w:t>
            </w:r>
          </w:p>
        </w:tc>
        <w:tc>
          <w:tcPr>
            <w:tcW w:w="4785" w:type="dxa"/>
            <w:noWrap w:val="0"/>
            <w:vAlign w:val="center"/>
          </w:tcPr>
          <w:p>
            <w:pPr>
              <w:pStyle w:val="23"/>
              <w:shd w:val="clear"/>
              <w:spacing w:before="121"/>
              <w:ind w:right="2227"/>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858" w:type="dxa"/>
            <w:noWrap w:val="0"/>
            <w:vAlign w:val="top"/>
          </w:tcPr>
          <w:p>
            <w:pPr>
              <w:pStyle w:val="23"/>
              <w:shd w:val="clear"/>
              <w:spacing w:before="121"/>
              <w:ind w:left="177" w:right="168"/>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700" w:type="dxa"/>
            <w:noWrap w:val="0"/>
            <w:vAlign w:val="top"/>
          </w:tcPr>
          <w:p>
            <w:pPr>
              <w:pStyle w:val="23"/>
              <w:shd w:val="clear"/>
              <w:rPr>
                <w:rFonts w:hint="eastAsia" w:ascii="仿宋" w:hAnsi="仿宋" w:eastAsia="仿宋" w:cs="仿宋"/>
                <w:sz w:val="21"/>
                <w:szCs w:val="21"/>
              </w:rPr>
            </w:pPr>
          </w:p>
          <w:p>
            <w:pPr>
              <w:pStyle w:val="23"/>
              <w:shd w:val="clear"/>
              <w:rPr>
                <w:rFonts w:hint="eastAsia" w:ascii="仿宋" w:hAnsi="仿宋" w:eastAsia="仿宋" w:cs="仿宋"/>
                <w:sz w:val="21"/>
                <w:szCs w:val="21"/>
              </w:rPr>
            </w:pPr>
          </w:p>
          <w:p>
            <w:pPr>
              <w:pStyle w:val="23"/>
              <w:shd w:val="clear"/>
              <w:spacing w:before="168"/>
              <w:ind w:left="90" w:right="79"/>
              <w:jc w:val="center"/>
              <w:rPr>
                <w:rFonts w:hint="eastAsia" w:ascii="仿宋" w:hAnsi="仿宋" w:eastAsia="仿宋" w:cs="仿宋"/>
                <w:sz w:val="21"/>
                <w:szCs w:val="21"/>
              </w:rPr>
            </w:pPr>
            <w:r>
              <w:rPr>
                <w:rFonts w:hint="eastAsia" w:ascii="仿宋" w:hAnsi="仿宋" w:eastAsia="仿宋" w:cs="仿宋"/>
                <w:sz w:val="21"/>
                <w:szCs w:val="21"/>
              </w:rPr>
              <w:t>24</w:t>
            </w:r>
          </w:p>
        </w:tc>
        <w:tc>
          <w:tcPr>
            <w:tcW w:w="1015" w:type="dxa"/>
            <w:vMerge w:val="restart"/>
            <w:noWrap w:val="0"/>
            <w:vAlign w:val="top"/>
          </w:tcPr>
          <w:p>
            <w:pPr>
              <w:pStyle w:val="23"/>
              <w:shd w:val="clear"/>
              <w:spacing w:before="120"/>
              <w:ind w:left="106" w:right="-15"/>
              <w:rPr>
                <w:rFonts w:hint="eastAsia" w:ascii="仿宋" w:hAnsi="仿宋" w:eastAsia="仿宋" w:cs="仿宋"/>
                <w:sz w:val="21"/>
                <w:szCs w:val="21"/>
              </w:rPr>
            </w:pPr>
          </w:p>
        </w:tc>
        <w:tc>
          <w:tcPr>
            <w:tcW w:w="3375" w:type="dxa"/>
            <w:noWrap w:val="0"/>
            <w:vAlign w:val="center"/>
          </w:tcPr>
          <w:p>
            <w:pPr>
              <w:pStyle w:val="23"/>
              <w:shd w:val="clear"/>
              <w:spacing w:before="168"/>
              <w:jc w:val="center"/>
              <w:rPr>
                <w:rFonts w:hint="eastAsia" w:ascii="仿宋" w:hAnsi="仿宋" w:eastAsia="仿宋" w:cs="仿宋"/>
                <w:sz w:val="21"/>
                <w:szCs w:val="21"/>
              </w:rPr>
            </w:pPr>
            <w:r>
              <w:rPr>
                <w:rFonts w:hint="eastAsia" w:ascii="仿宋" w:hAnsi="仿宋" w:eastAsia="仿宋" w:cs="仿宋"/>
                <w:sz w:val="21"/>
                <w:szCs w:val="21"/>
              </w:rPr>
              <w:t>沿线违法建筑管控</w:t>
            </w:r>
          </w:p>
        </w:tc>
        <w:tc>
          <w:tcPr>
            <w:tcW w:w="4785" w:type="dxa"/>
            <w:noWrap w:val="0"/>
            <w:vAlign w:val="top"/>
          </w:tcPr>
          <w:p>
            <w:pPr>
              <w:pStyle w:val="23"/>
              <w:shd w:val="clear"/>
              <w:spacing w:before="10"/>
              <w:rPr>
                <w:rFonts w:hint="eastAsia" w:ascii="仿宋" w:hAnsi="仿宋" w:eastAsia="仿宋" w:cs="仿宋"/>
                <w:spacing w:val="0"/>
                <w:sz w:val="21"/>
                <w:szCs w:val="21"/>
              </w:rPr>
            </w:pPr>
          </w:p>
          <w:p>
            <w:pPr>
              <w:pStyle w:val="23"/>
              <w:shd w:val="clear"/>
              <w:spacing w:before="1" w:line="242" w:lineRule="auto"/>
              <w:ind w:left="0" w:leftChars="0" w:right="73"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加强日常巡查，绿化带范围内不得新增违法建筑，发现新增问题点位，管理养护单位须及时向当地政府反馈。如果发现新增问题点位未及时向当地政府反馈的，1 处扣1 分。</w:t>
            </w:r>
          </w:p>
        </w:tc>
        <w:tc>
          <w:tcPr>
            <w:tcW w:w="858" w:type="dxa"/>
            <w:noWrap w:val="0"/>
            <w:vAlign w:val="top"/>
          </w:tcPr>
          <w:p>
            <w:pPr>
              <w:pStyle w:val="23"/>
              <w:shd w:val="clear"/>
              <w:rPr>
                <w:rFonts w:hint="eastAsia" w:ascii="仿宋" w:hAnsi="仿宋" w:eastAsia="仿宋" w:cs="仿宋"/>
                <w:sz w:val="21"/>
                <w:szCs w:val="21"/>
              </w:rPr>
            </w:pPr>
          </w:p>
          <w:p>
            <w:pPr>
              <w:pStyle w:val="23"/>
              <w:shd w:val="clear"/>
              <w:rPr>
                <w:rFonts w:hint="eastAsia" w:ascii="仿宋" w:hAnsi="仿宋" w:eastAsia="仿宋" w:cs="仿宋"/>
                <w:sz w:val="21"/>
                <w:szCs w:val="21"/>
              </w:rPr>
            </w:pPr>
          </w:p>
          <w:p>
            <w:pPr>
              <w:pStyle w:val="23"/>
              <w:shd w:val="clear"/>
              <w:spacing w:before="168"/>
              <w:ind w:left="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700" w:type="dxa"/>
            <w:noWrap w:val="0"/>
            <w:vAlign w:val="top"/>
          </w:tcPr>
          <w:p>
            <w:pPr>
              <w:pStyle w:val="23"/>
              <w:shd w:val="clear"/>
              <w:spacing w:before="5"/>
              <w:rPr>
                <w:rFonts w:hint="eastAsia" w:ascii="仿宋" w:hAnsi="仿宋" w:eastAsia="仿宋" w:cs="仿宋"/>
                <w:sz w:val="21"/>
                <w:szCs w:val="21"/>
              </w:rPr>
            </w:pPr>
          </w:p>
          <w:p>
            <w:pPr>
              <w:pStyle w:val="23"/>
              <w:shd w:val="clear"/>
              <w:ind w:left="90" w:right="79"/>
              <w:jc w:val="center"/>
              <w:rPr>
                <w:rFonts w:hint="eastAsia" w:ascii="仿宋" w:hAnsi="仿宋" w:eastAsia="仿宋" w:cs="仿宋"/>
                <w:sz w:val="21"/>
                <w:szCs w:val="21"/>
              </w:rPr>
            </w:pPr>
            <w:r>
              <w:rPr>
                <w:rFonts w:hint="eastAsia" w:ascii="仿宋" w:hAnsi="仿宋" w:eastAsia="仿宋" w:cs="仿宋"/>
                <w:sz w:val="21"/>
                <w:szCs w:val="21"/>
              </w:rPr>
              <w:t>25</w:t>
            </w:r>
          </w:p>
        </w:tc>
        <w:tc>
          <w:tcPr>
            <w:tcW w:w="1015" w:type="dxa"/>
            <w:vMerge w:val="continue"/>
            <w:tcBorders>
              <w:top w:val="nil"/>
            </w:tcBorders>
            <w:noWrap w:val="0"/>
            <w:vAlign w:val="top"/>
          </w:tcPr>
          <w:p>
            <w:pPr>
              <w:shd w:val="clear"/>
              <w:rPr>
                <w:rFonts w:hint="eastAsia" w:ascii="仿宋" w:hAnsi="仿宋" w:eastAsia="仿宋" w:cs="仿宋"/>
                <w:sz w:val="21"/>
                <w:szCs w:val="21"/>
              </w:rPr>
            </w:pPr>
          </w:p>
        </w:tc>
        <w:tc>
          <w:tcPr>
            <w:tcW w:w="3375" w:type="dxa"/>
            <w:noWrap w:val="0"/>
            <w:vAlign w:val="center"/>
          </w:tcPr>
          <w:p>
            <w:pPr>
              <w:pStyle w:val="23"/>
              <w:shd w:val="clear"/>
              <w:jc w:val="center"/>
              <w:rPr>
                <w:rFonts w:hint="eastAsia" w:ascii="仿宋" w:hAnsi="仿宋" w:eastAsia="仿宋" w:cs="仿宋"/>
                <w:sz w:val="21"/>
                <w:szCs w:val="21"/>
              </w:rPr>
            </w:pPr>
            <w:r>
              <w:rPr>
                <w:rFonts w:hint="eastAsia" w:ascii="仿宋" w:hAnsi="仿宋" w:eastAsia="仿宋" w:cs="仿宋"/>
                <w:sz w:val="21"/>
                <w:szCs w:val="21"/>
              </w:rPr>
              <w:t>空间线缆管控</w:t>
            </w:r>
          </w:p>
        </w:tc>
        <w:tc>
          <w:tcPr>
            <w:tcW w:w="4785" w:type="dxa"/>
            <w:noWrap w:val="0"/>
            <w:vAlign w:val="center"/>
          </w:tcPr>
          <w:p>
            <w:pPr>
              <w:pStyle w:val="23"/>
              <w:shd w:val="clear"/>
              <w:spacing w:before="3" w:line="288"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弱电线缆全部实现下埋，有乱拉电线情况的，及时反馈当地政府；发现乱拉电线线缆，但未及时反馈的，每发现1 处扣0.5 分。</w:t>
            </w:r>
          </w:p>
        </w:tc>
        <w:tc>
          <w:tcPr>
            <w:tcW w:w="858" w:type="dxa"/>
            <w:noWrap w:val="0"/>
            <w:vAlign w:val="top"/>
          </w:tcPr>
          <w:p>
            <w:pPr>
              <w:pStyle w:val="23"/>
              <w:shd w:val="clear"/>
              <w:spacing w:before="5"/>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700" w:type="dxa"/>
            <w:noWrap w:val="0"/>
            <w:vAlign w:val="top"/>
          </w:tcPr>
          <w:p>
            <w:pPr>
              <w:pStyle w:val="23"/>
              <w:shd w:val="clear"/>
              <w:spacing w:before="5"/>
              <w:rPr>
                <w:rFonts w:hint="eastAsia" w:ascii="仿宋" w:hAnsi="仿宋" w:eastAsia="仿宋" w:cs="仿宋"/>
                <w:sz w:val="21"/>
                <w:szCs w:val="21"/>
              </w:rPr>
            </w:pPr>
          </w:p>
          <w:p>
            <w:pPr>
              <w:pStyle w:val="23"/>
              <w:shd w:val="clear"/>
              <w:ind w:left="90" w:right="79"/>
              <w:jc w:val="center"/>
              <w:rPr>
                <w:rFonts w:hint="eastAsia" w:ascii="仿宋" w:hAnsi="仿宋" w:eastAsia="仿宋" w:cs="仿宋"/>
                <w:sz w:val="21"/>
                <w:szCs w:val="21"/>
              </w:rPr>
            </w:pPr>
            <w:r>
              <w:rPr>
                <w:rFonts w:hint="eastAsia" w:ascii="仿宋" w:hAnsi="仿宋" w:eastAsia="仿宋" w:cs="仿宋"/>
                <w:sz w:val="21"/>
                <w:szCs w:val="21"/>
              </w:rPr>
              <w:t>26</w:t>
            </w:r>
          </w:p>
        </w:tc>
        <w:tc>
          <w:tcPr>
            <w:tcW w:w="1015" w:type="dxa"/>
            <w:vMerge w:val="continue"/>
            <w:tcBorders>
              <w:top w:val="nil"/>
            </w:tcBorders>
            <w:noWrap w:val="0"/>
            <w:vAlign w:val="top"/>
          </w:tcPr>
          <w:p>
            <w:pPr>
              <w:shd w:val="clear"/>
              <w:rPr>
                <w:rFonts w:hint="eastAsia" w:ascii="仿宋" w:hAnsi="仿宋" w:eastAsia="仿宋" w:cs="仿宋"/>
                <w:sz w:val="21"/>
                <w:szCs w:val="21"/>
              </w:rPr>
            </w:pPr>
          </w:p>
        </w:tc>
        <w:tc>
          <w:tcPr>
            <w:tcW w:w="3375" w:type="dxa"/>
            <w:noWrap w:val="0"/>
            <w:vAlign w:val="center"/>
          </w:tcPr>
          <w:p>
            <w:pPr>
              <w:pStyle w:val="23"/>
              <w:shd w:val="clear"/>
              <w:jc w:val="center"/>
              <w:rPr>
                <w:rFonts w:hint="eastAsia" w:ascii="仿宋" w:hAnsi="仿宋" w:eastAsia="仿宋" w:cs="仿宋"/>
                <w:sz w:val="21"/>
                <w:szCs w:val="21"/>
              </w:rPr>
            </w:pPr>
            <w:r>
              <w:rPr>
                <w:rFonts w:hint="eastAsia" w:ascii="仿宋" w:hAnsi="仿宋" w:eastAsia="仿宋" w:cs="仿宋"/>
                <w:sz w:val="21"/>
                <w:szCs w:val="21"/>
              </w:rPr>
              <w:t>灯光、桌椅等设施维护及时</w:t>
            </w:r>
          </w:p>
        </w:tc>
        <w:tc>
          <w:tcPr>
            <w:tcW w:w="4785" w:type="dxa"/>
            <w:noWrap w:val="0"/>
            <w:vAlign w:val="center"/>
          </w:tcPr>
          <w:p>
            <w:pPr>
              <w:pStyle w:val="23"/>
              <w:shd w:val="clear"/>
              <w:spacing w:before="3" w:line="288"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重要节点区域照明设施、座椅、景观小品等设施维护良好，景墙无破损，无违法广告，每年至少开展2 次全面检修。对存在明显问题的，每处扣0.5 分。</w:t>
            </w:r>
          </w:p>
        </w:tc>
        <w:tc>
          <w:tcPr>
            <w:tcW w:w="858" w:type="dxa"/>
            <w:noWrap w:val="0"/>
            <w:vAlign w:val="top"/>
          </w:tcPr>
          <w:p>
            <w:pPr>
              <w:pStyle w:val="23"/>
              <w:shd w:val="clear"/>
              <w:spacing w:before="5"/>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23"/>
              <w:shd w:val="clear"/>
              <w:spacing w:before="4"/>
              <w:rPr>
                <w:rFonts w:hint="eastAsia" w:ascii="仿宋" w:hAnsi="仿宋" w:eastAsia="仿宋" w:cs="仿宋"/>
                <w:sz w:val="21"/>
                <w:szCs w:val="21"/>
              </w:rPr>
            </w:pPr>
          </w:p>
          <w:p>
            <w:pPr>
              <w:pStyle w:val="23"/>
              <w:shd w:val="clear"/>
              <w:ind w:left="90" w:right="79"/>
              <w:jc w:val="center"/>
              <w:rPr>
                <w:rFonts w:hint="eastAsia" w:ascii="仿宋" w:hAnsi="仿宋" w:eastAsia="仿宋" w:cs="仿宋"/>
                <w:sz w:val="21"/>
                <w:szCs w:val="21"/>
              </w:rPr>
            </w:pPr>
            <w:r>
              <w:rPr>
                <w:rFonts w:hint="eastAsia" w:ascii="仿宋" w:hAnsi="仿宋" w:eastAsia="仿宋" w:cs="仿宋"/>
                <w:sz w:val="21"/>
                <w:szCs w:val="21"/>
              </w:rPr>
              <w:t>27</w:t>
            </w:r>
          </w:p>
        </w:tc>
        <w:tc>
          <w:tcPr>
            <w:tcW w:w="1015" w:type="dxa"/>
            <w:vMerge w:val="restart"/>
            <w:noWrap w:val="0"/>
            <w:vAlign w:val="center"/>
          </w:tcPr>
          <w:p>
            <w:pPr>
              <w:pStyle w:val="23"/>
              <w:shd w:val="clear"/>
              <w:jc w:val="center"/>
              <w:rPr>
                <w:rFonts w:hint="eastAsia" w:ascii="仿宋" w:hAnsi="仿宋" w:eastAsia="仿宋" w:cs="仿宋"/>
                <w:sz w:val="21"/>
                <w:szCs w:val="21"/>
              </w:rPr>
            </w:pPr>
          </w:p>
          <w:p>
            <w:pPr>
              <w:pStyle w:val="23"/>
              <w:shd w:val="clear"/>
              <w:jc w:val="center"/>
              <w:rPr>
                <w:rFonts w:hint="eastAsia" w:ascii="仿宋" w:hAnsi="仿宋" w:eastAsia="仿宋" w:cs="仿宋"/>
                <w:sz w:val="21"/>
                <w:szCs w:val="21"/>
              </w:rPr>
            </w:pPr>
          </w:p>
          <w:p>
            <w:pPr>
              <w:pStyle w:val="23"/>
              <w:shd w:val="clear"/>
              <w:spacing w:before="1"/>
              <w:jc w:val="center"/>
              <w:rPr>
                <w:rFonts w:hint="eastAsia" w:ascii="仿宋" w:hAnsi="仿宋" w:eastAsia="仿宋" w:cs="仿宋"/>
                <w:sz w:val="21"/>
                <w:szCs w:val="21"/>
              </w:rPr>
            </w:pPr>
          </w:p>
          <w:p>
            <w:pPr>
              <w:pStyle w:val="23"/>
              <w:shd w:val="clear"/>
              <w:jc w:val="center"/>
              <w:rPr>
                <w:rFonts w:hint="eastAsia" w:ascii="仿宋" w:hAnsi="仿宋" w:eastAsia="仿宋" w:cs="仿宋"/>
                <w:sz w:val="21"/>
                <w:szCs w:val="21"/>
              </w:rPr>
            </w:pPr>
            <w:r>
              <w:rPr>
                <w:rFonts w:hint="eastAsia" w:ascii="仿宋" w:hAnsi="仿宋" w:eastAsia="仿宋" w:cs="仿宋"/>
                <w:sz w:val="21"/>
                <w:szCs w:val="21"/>
              </w:rPr>
              <w:t>规范管理</w:t>
            </w:r>
          </w:p>
          <w:p>
            <w:pPr>
              <w:pStyle w:val="23"/>
              <w:shd w:val="clear"/>
              <w:spacing w:before="206"/>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pacing w:val="-5"/>
                <w:sz w:val="21"/>
                <w:szCs w:val="21"/>
              </w:rPr>
              <w:t xml:space="preserve"> 分</w:t>
            </w:r>
            <w:r>
              <w:rPr>
                <w:rFonts w:hint="eastAsia" w:ascii="仿宋" w:hAnsi="仿宋" w:eastAsia="仿宋" w:cs="仿宋"/>
                <w:sz w:val="21"/>
                <w:szCs w:val="21"/>
              </w:rPr>
              <w:t>）</w:t>
            </w:r>
          </w:p>
        </w:tc>
        <w:tc>
          <w:tcPr>
            <w:tcW w:w="3375" w:type="dxa"/>
            <w:noWrap w:val="0"/>
            <w:vAlign w:val="center"/>
          </w:tcPr>
          <w:p>
            <w:pPr>
              <w:pStyle w:val="23"/>
              <w:shd w:val="clear"/>
              <w:jc w:val="center"/>
              <w:rPr>
                <w:rFonts w:hint="eastAsia" w:ascii="仿宋" w:hAnsi="仿宋" w:eastAsia="仿宋" w:cs="仿宋"/>
                <w:sz w:val="21"/>
                <w:szCs w:val="21"/>
              </w:rPr>
            </w:pPr>
            <w:r>
              <w:rPr>
                <w:rFonts w:hint="eastAsia" w:ascii="仿宋" w:hAnsi="仿宋" w:eastAsia="仿宋" w:cs="仿宋"/>
                <w:sz w:val="21"/>
                <w:szCs w:val="21"/>
              </w:rPr>
              <w:t>专业养护管理</w:t>
            </w:r>
          </w:p>
        </w:tc>
        <w:tc>
          <w:tcPr>
            <w:tcW w:w="4785" w:type="dxa"/>
            <w:noWrap w:val="0"/>
            <w:vAlign w:val="center"/>
          </w:tcPr>
          <w:p>
            <w:pPr>
              <w:pStyle w:val="23"/>
              <w:shd w:val="clear"/>
              <w:spacing w:before="3" w:line="289"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编制可行性管理养护方案，并交属地政府审核；建立长效专业养护队伍，养护措施齐全，对养护不规范，甚至懈怠的，扣1-2 分。</w:t>
            </w:r>
          </w:p>
        </w:tc>
        <w:tc>
          <w:tcPr>
            <w:tcW w:w="858" w:type="dxa"/>
            <w:noWrap w:val="0"/>
            <w:vAlign w:val="top"/>
          </w:tcPr>
          <w:p>
            <w:pPr>
              <w:pStyle w:val="23"/>
              <w:shd w:val="clear"/>
              <w:spacing w:before="4"/>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700" w:type="dxa"/>
            <w:noWrap w:val="0"/>
            <w:vAlign w:val="top"/>
          </w:tcPr>
          <w:p>
            <w:pPr>
              <w:pStyle w:val="23"/>
              <w:shd w:val="clear"/>
              <w:spacing w:before="10"/>
              <w:rPr>
                <w:rFonts w:hint="eastAsia" w:ascii="仿宋" w:hAnsi="仿宋" w:eastAsia="仿宋" w:cs="仿宋"/>
                <w:sz w:val="21"/>
                <w:szCs w:val="21"/>
              </w:rPr>
            </w:pPr>
          </w:p>
          <w:p>
            <w:pPr>
              <w:pStyle w:val="23"/>
              <w:shd w:val="clear"/>
              <w:ind w:left="90" w:right="79"/>
              <w:jc w:val="center"/>
              <w:rPr>
                <w:rFonts w:hint="eastAsia" w:ascii="仿宋" w:hAnsi="仿宋" w:eastAsia="仿宋" w:cs="仿宋"/>
                <w:sz w:val="21"/>
                <w:szCs w:val="21"/>
              </w:rPr>
            </w:pPr>
            <w:r>
              <w:rPr>
                <w:rFonts w:hint="eastAsia" w:ascii="仿宋" w:hAnsi="仿宋" w:eastAsia="仿宋" w:cs="仿宋"/>
                <w:sz w:val="21"/>
                <w:szCs w:val="21"/>
              </w:rPr>
              <w:t>28</w:t>
            </w:r>
          </w:p>
        </w:tc>
        <w:tc>
          <w:tcPr>
            <w:tcW w:w="1015" w:type="dxa"/>
            <w:vMerge w:val="continue"/>
            <w:tcBorders>
              <w:top w:val="nil"/>
            </w:tcBorders>
            <w:noWrap w:val="0"/>
            <w:vAlign w:val="top"/>
          </w:tcPr>
          <w:p>
            <w:pPr>
              <w:shd w:val="clear"/>
              <w:rPr>
                <w:rFonts w:hint="eastAsia" w:ascii="仿宋" w:hAnsi="仿宋" w:eastAsia="仿宋" w:cs="仿宋"/>
                <w:sz w:val="21"/>
                <w:szCs w:val="21"/>
              </w:rPr>
            </w:pPr>
          </w:p>
        </w:tc>
        <w:tc>
          <w:tcPr>
            <w:tcW w:w="3375" w:type="dxa"/>
            <w:noWrap w:val="0"/>
            <w:vAlign w:val="center"/>
          </w:tcPr>
          <w:p>
            <w:pPr>
              <w:pStyle w:val="23"/>
              <w:shd w:val="clear"/>
              <w:jc w:val="center"/>
              <w:rPr>
                <w:rFonts w:hint="eastAsia" w:ascii="仿宋" w:hAnsi="仿宋" w:eastAsia="仿宋" w:cs="仿宋"/>
                <w:sz w:val="21"/>
                <w:szCs w:val="21"/>
              </w:rPr>
            </w:pPr>
            <w:r>
              <w:rPr>
                <w:rFonts w:hint="eastAsia" w:ascii="仿宋" w:hAnsi="仿宋" w:eastAsia="仿宋" w:cs="仿宋"/>
                <w:sz w:val="21"/>
                <w:szCs w:val="21"/>
              </w:rPr>
              <w:t>养护项目管理规范</w:t>
            </w:r>
          </w:p>
        </w:tc>
        <w:tc>
          <w:tcPr>
            <w:tcW w:w="4785" w:type="dxa"/>
            <w:noWrap w:val="0"/>
            <w:vAlign w:val="center"/>
          </w:tcPr>
          <w:p>
            <w:pPr>
              <w:pStyle w:val="23"/>
              <w:shd w:val="clear"/>
              <w:spacing w:before="142" w:line="242" w:lineRule="auto"/>
              <w:ind w:right="155" w:rightChars="0"/>
              <w:jc w:val="both"/>
              <w:rPr>
                <w:rFonts w:hint="eastAsia" w:ascii="仿宋" w:hAnsi="仿宋" w:eastAsia="仿宋" w:cs="仿宋"/>
                <w:spacing w:val="0"/>
                <w:sz w:val="21"/>
                <w:szCs w:val="21"/>
              </w:rPr>
            </w:pPr>
            <w:r>
              <w:rPr>
                <w:rFonts w:hint="eastAsia" w:ascii="仿宋" w:hAnsi="仿宋" w:eastAsia="仿宋" w:cs="仿宋"/>
                <w:spacing w:val="0"/>
                <w:sz w:val="21"/>
                <w:szCs w:val="21"/>
              </w:rPr>
              <w:t>管理养护的台账要收集保存齐全。养护项目管理按规定执行，管理资金使用规范，对未达到要求的，酌情扣分。</w:t>
            </w:r>
          </w:p>
        </w:tc>
        <w:tc>
          <w:tcPr>
            <w:tcW w:w="858" w:type="dxa"/>
            <w:noWrap w:val="0"/>
            <w:vAlign w:val="top"/>
          </w:tcPr>
          <w:p>
            <w:pPr>
              <w:pStyle w:val="23"/>
              <w:shd w:val="clear"/>
              <w:spacing w:before="10"/>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700" w:type="dxa"/>
            <w:noWrap w:val="0"/>
            <w:vAlign w:val="top"/>
          </w:tcPr>
          <w:p>
            <w:pPr>
              <w:pStyle w:val="23"/>
              <w:shd w:val="clear"/>
              <w:spacing w:before="9"/>
              <w:rPr>
                <w:rFonts w:hint="eastAsia" w:ascii="仿宋" w:hAnsi="仿宋" w:eastAsia="仿宋" w:cs="仿宋"/>
                <w:sz w:val="21"/>
                <w:szCs w:val="21"/>
              </w:rPr>
            </w:pPr>
          </w:p>
          <w:p>
            <w:pPr>
              <w:pStyle w:val="23"/>
              <w:shd w:val="clear"/>
              <w:ind w:left="90" w:right="79"/>
              <w:jc w:val="center"/>
              <w:rPr>
                <w:rFonts w:hint="eastAsia" w:ascii="仿宋" w:hAnsi="仿宋" w:eastAsia="仿宋" w:cs="仿宋"/>
                <w:sz w:val="21"/>
                <w:szCs w:val="21"/>
              </w:rPr>
            </w:pPr>
            <w:r>
              <w:rPr>
                <w:rFonts w:hint="eastAsia" w:ascii="仿宋" w:hAnsi="仿宋" w:eastAsia="仿宋" w:cs="仿宋"/>
                <w:sz w:val="21"/>
                <w:szCs w:val="21"/>
              </w:rPr>
              <w:t>29</w:t>
            </w:r>
          </w:p>
        </w:tc>
        <w:tc>
          <w:tcPr>
            <w:tcW w:w="1015" w:type="dxa"/>
            <w:vMerge w:val="continue"/>
            <w:tcBorders>
              <w:top w:val="nil"/>
            </w:tcBorders>
            <w:noWrap w:val="0"/>
            <w:vAlign w:val="top"/>
          </w:tcPr>
          <w:p>
            <w:pPr>
              <w:shd w:val="clear"/>
              <w:rPr>
                <w:rFonts w:hint="eastAsia" w:ascii="仿宋" w:hAnsi="仿宋" w:eastAsia="仿宋" w:cs="仿宋"/>
                <w:sz w:val="21"/>
                <w:szCs w:val="21"/>
              </w:rPr>
            </w:pPr>
          </w:p>
        </w:tc>
        <w:tc>
          <w:tcPr>
            <w:tcW w:w="3375" w:type="dxa"/>
            <w:noWrap w:val="0"/>
            <w:vAlign w:val="center"/>
          </w:tcPr>
          <w:p>
            <w:pPr>
              <w:pStyle w:val="23"/>
              <w:shd w:val="clear"/>
              <w:jc w:val="center"/>
              <w:rPr>
                <w:rFonts w:hint="eastAsia" w:ascii="仿宋" w:hAnsi="仿宋" w:eastAsia="仿宋" w:cs="仿宋"/>
                <w:sz w:val="21"/>
                <w:szCs w:val="21"/>
              </w:rPr>
            </w:pPr>
            <w:r>
              <w:rPr>
                <w:rFonts w:hint="eastAsia" w:ascii="仿宋" w:hAnsi="仿宋" w:eastAsia="仿宋" w:cs="仿宋"/>
                <w:sz w:val="21"/>
                <w:szCs w:val="21"/>
              </w:rPr>
              <w:t>安全管理</w:t>
            </w:r>
          </w:p>
        </w:tc>
        <w:tc>
          <w:tcPr>
            <w:tcW w:w="4785" w:type="dxa"/>
            <w:noWrap w:val="0"/>
            <w:vAlign w:val="center"/>
          </w:tcPr>
          <w:p>
            <w:pPr>
              <w:pStyle w:val="23"/>
              <w:shd w:val="clear"/>
              <w:spacing w:before="72" w:line="242" w:lineRule="auto"/>
              <w:ind w:right="75"/>
              <w:jc w:val="both"/>
              <w:rPr>
                <w:rFonts w:hint="eastAsia" w:ascii="仿宋" w:hAnsi="仿宋" w:eastAsia="仿宋" w:cs="仿宋"/>
                <w:spacing w:val="0"/>
                <w:sz w:val="21"/>
                <w:szCs w:val="21"/>
              </w:rPr>
            </w:pPr>
            <w:r>
              <w:rPr>
                <w:rFonts w:hint="eastAsia" w:ascii="仿宋" w:hAnsi="仿宋" w:eastAsia="仿宋" w:cs="仿宋"/>
                <w:spacing w:val="0"/>
                <w:sz w:val="21"/>
                <w:szCs w:val="21"/>
              </w:rPr>
              <w:t>采取有效防患措施，确保无安全隐患，若发生安全事故的，不得分。</w:t>
            </w:r>
          </w:p>
        </w:tc>
        <w:tc>
          <w:tcPr>
            <w:tcW w:w="858" w:type="dxa"/>
            <w:noWrap w:val="0"/>
            <w:vAlign w:val="top"/>
          </w:tcPr>
          <w:p>
            <w:pPr>
              <w:pStyle w:val="23"/>
              <w:shd w:val="clear"/>
              <w:spacing w:before="9"/>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00" w:type="dxa"/>
            <w:noWrap w:val="0"/>
            <w:vAlign w:val="top"/>
          </w:tcPr>
          <w:p>
            <w:pPr>
              <w:pStyle w:val="23"/>
              <w:shd w:val="clear"/>
              <w:spacing w:before="276"/>
              <w:ind w:left="89" w:right="79"/>
              <w:jc w:val="center"/>
              <w:rPr>
                <w:rFonts w:hint="eastAsia" w:ascii="仿宋" w:hAnsi="仿宋" w:eastAsia="仿宋" w:cs="仿宋"/>
                <w:sz w:val="21"/>
                <w:szCs w:val="21"/>
              </w:rPr>
            </w:pPr>
            <w:r>
              <w:rPr>
                <w:rFonts w:hint="eastAsia" w:ascii="仿宋" w:hAnsi="仿宋" w:eastAsia="仿宋" w:cs="仿宋"/>
                <w:sz w:val="21"/>
                <w:szCs w:val="21"/>
              </w:rPr>
              <w:t>30</w:t>
            </w:r>
          </w:p>
        </w:tc>
        <w:tc>
          <w:tcPr>
            <w:tcW w:w="1015" w:type="dxa"/>
            <w:vMerge w:val="continue"/>
            <w:tcBorders>
              <w:top w:val="nil"/>
            </w:tcBorders>
            <w:noWrap w:val="0"/>
            <w:vAlign w:val="top"/>
          </w:tcPr>
          <w:p>
            <w:pPr>
              <w:shd w:val="clear"/>
              <w:rPr>
                <w:rFonts w:hint="eastAsia" w:ascii="仿宋" w:hAnsi="仿宋" w:eastAsia="仿宋" w:cs="仿宋"/>
                <w:sz w:val="21"/>
                <w:szCs w:val="21"/>
              </w:rPr>
            </w:pPr>
          </w:p>
        </w:tc>
        <w:tc>
          <w:tcPr>
            <w:tcW w:w="3375" w:type="dxa"/>
            <w:noWrap w:val="0"/>
            <w:vAlign w:val="center"/>
          </w:tcPr>
          <w:p>
            <w:pPr>
              <w:pStyle w:val="23"/>
              <w:shd w:val="clear"/>
              <w:jc w:val="center"/>
              <w:rPr>
                <w:rFonts w:hint="eastAsia" w:ascii="仿宋" w:hAnsi="仿宋" w:eastAsia="仿宋" w:cs="仿宋"/>
                <w:sz w:val="21"/>
                <w:szCs w:val="21"/>
              </w:rPr>
            </w:pPr>
            <w:r>
              <w:rPr>
                <w:rFonts w:hint="eastAsia" w:ascii="仿宋" w:hAnsi="仿宋" w:eastAsia="仿宋" w:cs="仿宋"/>
                <w:sz w:val="21"/>
                <w:szCs w:val="21"/>
              </w:rPr>
              <w:t>应急处理</w:t>
            </w:r>
          </w:p>
        </w:tc>
        <w:tc>
          <w:tcPr>
            <w:tcW w:w="4785" w:type="dxa"/>
            <w:noWrap w:val="0"/>
            <w:vAlign w:val="center"/>
          </w:tcPr>
          <w:p>
            <w:pPr>
              <w:pStyle w:val="23"/>
              <w:shd w:val="clear"/>
              <w:spacing w:before="2" w:line="287" w:lineRule="exact"/>
              <w:jc w:val="both"/>
              <w:rPr>
                <w:rFonts w:hint="eastAsia" w:ascii="仿宋" w:hAnsi="仿宋" w:eastAsia="仿宋" w:cs="仿宋"/>
                <w:spacing w:val="0"/>
                <w:sz w:val="21"/>
                <w:szCs w:val="21"/>
              </w:rPr>
            </w:pPr>
            <w:r>
              <w:rPr>
                <w:rFonts w:hint="eastAsia" w:ascii="仿宋" w:hAnsi="仿宋" w:eastAsia="仿宋" w:cs="仿宋"/>
                <w:spacing w:val="0"/>
                <w:sz w:val="21"/>
                <w:szCs w:val="21"/>
              </w:rPr>
              <w:t>做好防台风、暴雨、大雪等极端天气的应对工作，因措施不及时、不到位，造成景观线绿化及景观设施严重损失的，不得分。</w:t>
            </w:r>
          </w:p>
        </w:tc>
        <w:tc>
          <w:tcPr>
            <w:tcW w:w="858" w:type="dxa"/>
            <w:noWrap w:val="0"/>
            <w:vAlign w:val="top"/>
          </w:tcPr>
          <w:p>
            <w:pPr>
              <w:pStyle w:val="23"/>
              <w:shd w:val="clear"/>
              <w:spacing w:before="4"/>
              <w:rPr>
                <w:rFonts w:hint="eastAsia" w:ascii="仿宋" w:hAnsi="仿宋" w:eastAsia="仿宋" w:cs="仿宋"/>
                <w:sz w:val="21"/>
                <w:szCs w:val="21"/>
              </w:rPr>
            </w:pPr>
          </w:p>
          <w:p>
            <w:pPr>
              <w:pStyle w:val="23"/>
              <w:shd w:val="clear"/>
              <w:ind w:left="9"/>
              <w:jc w:val="center"/>
              <w:rPr>
                <w:rFonts w:hint="eastAsia" w:ascii="仿宋" w:hAnsi="仿宋" w:eastAsia="仿宋" w:cs="仿宋"/>
                <w:sz w:val="21"/>
                <w:szCs w:val="21"/>
              </w:rPr>
            </w:pPr>
            <w:r>
              <w:rPr>
                <w:rFonts w:hint="eastAsia" w:ascii="仿宋" w:hAnsi="仿宋" w:eastAsia="仿宋" w:cs="仿宋"/>
                <w:sz w:val="21"/>
                <w:szCs w:val="21"/>
              </w:rPr>
              <w:t>2</w:t>
            </w:r>
          </w:p>
        </w:tc>
      </w:tr>
    </w:tbl>
    <w:p>
      <w:pPr>
        <w:pStyle w:val="14"/>
        <w:shd w:val="clear"/>
        <w:ind w:left="0" w:leftChars="0" w:firstLine="0" w:firstLineChars="0"/>
        <w:rPr>
          <w:rFonts w:hint="eastAsia" w:ascii="仿宋" w:hAnsi="仿宋" w:eastAsia="仿宋" w:cs="仿宋"/>
          <w:b/>
          <w:bCs/>
          <w:sz w:val="21"/>
          <w:szCs w:val="21"/>
        </w:rPr>
      </w:pPr>
    </w:p>
    <w:p>
      <w:pPr>
        <w:pStyle w:val="14"/>
        <w:shd w:val="clear"/>
        <w:ind w:left="0" w:leftChars="0" w:firstLine="0" w:firstLineChars="0"/>
        <w:rPr>
          <w:rFonts w:hint="eastAsia" w:ascii="仿宋" w:hAnsi="仿宋" w:eastAsia="仿宋" w:cs="仿宋"/>
          <w:b/>
          <w:bCs/>
          <w:sz w:val="21"/>
          <w:szCs w:val="21"/>
        </w:rPr>
      </w:pPr>
    </w:p>
    <w:p>
      <w:pPr>
        <w:pStyle w:val="14"/>
        <w:shd w:val="clear"/>
        <w:ind w:left="0" w:leftChars="0" w:firstLine="0" w:firstLineChars="0"/>
        <w:rPr>
          <w:rFonts w:hint="eastAsia" w:ascii="仿宋" w:hAnsi="仿宋" w:eastAsia="仿宋" w:cs="仿宋"/>
          <w:b/>
          <w:bCs/>
          <w:sz w:val="21"/>
          <w:szCs w:val="21"/>
        </w:rPr>
      </w:pPr>
    </w:p>
    <w:tbl>
      <w:tblPr>
        <w:tblStyle w:val="15"/>
        <w:tblpPr w:leftFromText="180" w:rightFromText="180" w:vertAnchor="text" w:horzAnchor="page" w:tblpX="657" w:tblpY="16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04"/>
        <w:gridCol w:w="3071"/>
        <w:gridCol w:w="442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23"/>
              <w:shd w:val="clear"/>
              <w:spacing w:before="121"/>
              <w:ind w:right="79"/>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304" w:type="dxa"/>
            <w:noWrap w:val="0"/>
            <w:vAlign w:val="center"/>
          </w:tcPr>
          <w:p>
            <w:pPr>
              <w:pStyle w:val="23"/>
              <w:shd w:val="clear"/>
              <w:spacing w:before="121"/>
              <w:ind w:right="304"/>
              <w:jc w:val="center"/>
              <w:rPr>
                <w:rFonts w:hint="eastAsia" w:ascii="仿宋" w:hAnsi="仿宋" w:eastAsia="仿宋" w:cs="仿宋"/>
                <w:b/>
                <w:bCs/>
                <w:sz w:val="21"/>
                <w:szCs w:val="21"/>
              </w:rPr>
            </w:pPr>
            <w:r>
              <w:rPr>
                <w:rFonts w:hint="eastAsia" w:ascii="仿宋" w:hAnsi="仿宋" w:eastAsia="仿宋" w:cs="仿宋"/>
                <w:b/>
                <w:bCs/>
                <w:sz w:val="21"/>
                <w:szCs w:val="21"/>
              </w:rPr>
              <w:t>考核内容</w:t>
            </w:r>
          </w:p>
        </w:tc>
        <w:tc>
          <w:tcPr>
            <w:tcW w:w="3071" w:type="dxa"/>
            <w:noWrap w:val="0"/>
            <w:vAlign w:val="center"/>
          </w:tcPr>
          <w:p>
            <w:pPr>
              <w:pStyle w:val="23"/>
              <w:shd w:val="clear"/>
              <w:spacing w:before="121"/>
              <w:ind w:left="80" w:right="72"/>
              <w:jc w:val="center"/>
              <w:rPr>
                <w:rFonts w:hint="eastAsia" w:ascii="仿宋" w:hAnsi="仿宋" w:eastAsia="仿宋" w:cs="仿宋"/>
                <w:b/>
                <w:bCs/>
                <w:sz w:val="21"/>
                <w:szCs w:val="21"/>
              </w:rPr>
            </w:pPr>
            <w:r>
              <w:rPr>
                <w:rFonts w:hint="eastAsia" w:ascii="仿宋" w:hAnsi="仿宋" w:eastAsia="仿宋" w:cs="仿宋"/>
                <w:b/>
                <w:bCs/>
                <w:sz w:val="21"/>
                <w:szCs w:val="21"/>
              </w:rPr>
              <w:t>管理要求</w:t>
            </w:r>
          </w:p>
        </w:tc>
        <w:tc>
          <w:tcPr>
            <w:tcW w:w="4428" w:type="dxa"/>
            <w:noWrap w:val="0"/>
            <w:vAlign w:val="center"/>
          </w:tcPr>
          <w:p>
            <w:pPr>
              <w:pStyle w:val="23"/>
              <w:shd w:val="clear"/>
              <w:spacing w:before="121"/>
              <w:ind w:right="2227"/>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992" w:type="dxa"/>
            <w:noWrap w:val="0"/>
            <w:vAlign w:val="center"/>
          </w:tcPr>
          <w:p>
            <w:pPr>
              <w:pStyle w:val="23"/>
              <w:shd w:val="clear"/>
              <w:spacing w:before="121"/>
              <w:ind w:left="177" w:right="168"/>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0" w:type="dxa"/>
            <w:noWrap w:val="0"/>
            <w:vAlign w:val="top"/>
          </w:tcPr>
          <w:p>
            <w:pPr>
              <w:pStyle w:val="23"/>
              <w:shd w:val="clear"/>
              <w:rPr>
                <w:rFonts w:hint="eastAsia" w:ascii="仿宋" w:hAnsi="仿宋" w:eastAsia="仿宋" w:cs="仿宋"/>
                <w:sz w:val="21"/>
                <w:szCs w:val="21"/>
              </w:rPr>
            </w:pPr>
          </w:p>
          <w:p>
            <w:pPr>
              <w:pStyle w:val="23"/>
              <w:shd w:val="clear"/>
              <w:spacing w:before="8"/>
              <w:rPr>
                <w:rFonts w:hint="eastAsia" w:ascii="仿宋" w:hAnsi="仿宋" w:eastAsia="仿宋" w:cs="仿宋"/>
                <w:sz w:val="21"/>
                <w:szCs w:val="21"/>
              </w:rPr>
            </w:pPr>
          </w:p>
          <w:p>
            <w:pPr>
              <w:pStyle w:val="23"/>
              <w:shd w:val="clear"/>
              <w:ind w:left="89" w:right="79"/>
              <w:jc w:val="center"/>
              <w:rPr>
                <w:rFonts w:hint="eastAsia" w:ascii="仿宋" w:hAnsi="仿宋" w:eastAsia="仿宋" w:cs="仿宋"/>
                <w:sz w:val="21"/>
                <w:szCs w:val="21"/>
              </w:rPr>
            </w:pPr>
            <w:r>
              <w:rPr>
                <w:rFonts w:hint="eastAsia" w:ascii="仿宋" w:hAnsi="仿宋" w:eastAsia="仿宋" w:cs="仿宋"/>
                <w:sz w:val="21"/>
                <w:szCs w:val="21"/>
              </w:rPr>
              <w:t>31</w:t>
            </w:r>
          </w:p>
        </w:tc>
        <w:tc>
          <w:tcPr>
            <w:tcW w:w="1304" w:type="dxa"/>
            <w:noWrap w:val="0"/>
            <w:vAlign w:val="center"/>
          </w:tcPr>
          <w:p>
            <w:pPr>
              <w:pStyle w:val="23"/>
              <w:shd w:val="clear"/>
              <w:spacing w:before="207"/>
              <w:jc w:val="center"/>
              <w:rPr>
                <w:rFonts w:hint="eastAsia" w:ascii="仿宋" w:hAnsi="仿宋" w:eastAsia="仿宋" w:cs="仿宋"/>
                <w:sz w:val="21"/>
                <w:szCs w:val="21"/>
              </w:rPr>
            </w:pPr>
            <w:r>
              <w:rPr>
                <w:rFonts w:hint="eastAsia" w:ascii="仿宋" w:hAnsi="仿宋" w:eastAsia="仿宋" w:cs="仿宋"/>
                <w:sz w:val="21"/>
                <w:szCs w:val="21"/>
              </w:rPr>
              <w:t>社会影响与监理评介</w:t>
            </w:r>
          </w:p>
          <w:p>
            <w:pPr>
              <w:pStyle w:val="23"/>
              <w:shd w:val="clear"/>
              <w:spacing w:before="206"/>
              <w:ind w:left="106"/>
              <w:jc w:val="center"/>
              <w:rPr>
                <w:rFonts w:hint="eastAsia" w:ascii="仿宋" w:hAnsi="仿宋" w:eastAsia="仿宋" w:cs="仿宋"/>
                <w:sz w:val="21"/>
                <w:szCs w:val="21"/>
              </w:rPr>
            </w:pPr>
            <w:r>
              <w:rPr>
                <w:rFonts w:hint="eastAsia" w:ascii="仿宋" w:hAnsi="仿宋" w:eastAsia="仿宋" w:cs="仿宋"/>
                <w:sz w:val="21"/>
                <w:szCs w:val="21"/>
              </w:rPr>
              <w:t>（3 分）</w:t>
            </w:r>
          </w:p>
        </w:tc>
        <w:tc>
          <w:tcPr>
            <w:tcW w:w="3071" w:type="dxa"/>
            <w:noWrap w:val="0"/>
            <w:vAlign w:val="center"/>
          </w:tcPr>
          <w:p>
            <w:pPr>
              <w:pStyle w:val="23"/>
              <w:shd w:val="clear"/>
              <w:spacing w:before="1"/>
              <w:ind w:right="72"/>
              <w:jc w:val="center"/>
              <w:rPr>
                <w:rFonts w:hint="eastAsia" w:ascii="仿宋" w:hAnsi="仿宋" w:eastAsia="仿宋" w:cs="仿宋"/>
                <w:spacing w:val="0"/>
                <w:sz w:val="21"/>
                <w:szCs w:val="21"/>
              </w:rPr>
            </w:pPr>
            <w:r>
              <w:rPr>
                <w:rFonts w:hint="eastAsia" w:ascii="仿宋" w:hAnsi="仿宋" w:eastAsia="仿宋" w:cs="仿宋"/>
                <w:spacing w:val="0"/>
                <w:sz w:val="21"/>
                <w:szCs w:val="21"/>
              </w:rPr>
              <w:t>社会公众评价、监理单位信息反馈</w:t>
            </w:r>
          </w:p>
        </w:tc>
        <w:tc>
          <w:tcPr>
            <w:tcW w:w="4428" w:type="dxa"/>
            <w:noWrap w:val="0"/>
            <w:vAlign w:val="center"/>
          </w:tcPr>
          <w:p>
            <w:pPr>
              <w:pStyle w:val="23"/>
              <w:shd w:val="clear"/>
              <w:spacing w:before="1" w:line="242" w:lineRule="auto"/>
              <w:ind w:right="75"/>
              <w:jc w:val="both"/>
              <w:rPr>
                <w:rFonts w:hint="eastAsia" w:ascii="仿宋" w:hAnsi="仿宋" w:eastAsia="仿宋" w:cs="仿宋"/>
                <w:spacing w:val="0"/>
                <w:sz w:val="21"/>
                <w:szCs w:val="21"/>
              </w:rPr>
            </w:pPr>
            <w:r>
              <w:rPr>
                <w:rFonts w:hint="eastAsia" w:ascii="仿宋" w:hAnsi="仿宋" w:eastAsia="仿宋" w:cs="仿宋"/>
                <w:spacing w:val="0"/>
                <w:sz w:val="21"/>
                <w:szCs w:val="21"/>
              </w:rPr>
              <w:t>体现经常性管理，接受监理单位监督及群众评议，若有不良反映与社会舆情的，酌情扣1-3 分。</w:t>
            </w:r>
          </w:p>
        </w:tc>
        <w:tc>
          <w:tcPr>
            <w:tcW w:w="992" w:type="dxa"/>
            <w:noWrap w:val="0"/>
            <w:vAlign w:val="center"/>
          </w:tcPr>
          <w:p>
            <w:pPr>
              <w:pStyle w:val="23"/>
              <w:shd w:val="clear"/>
              <w:spacing w:before="1"/>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noWrap w:val="0"/>
            <w:vAlign w:val="top"/>
          </w:tcPr>
          <w:p>
            <w:pPr>
              <w:pStyle w:val="23"/>
              <w:shd w:val="clear"/>
              <w:spacing w:before="120"/>
              <w:ind w:left="90" w:right="79"/>
              <w:jc w:val="center"/>
              <w:rPr>
                <w:rFonts w:hint="eastAsia" w:ascii="仿宋" w:hAnsi="仿宋" w:eastAsia="仿宋" w:cs="仿宋"/>
                <w:sz w:val="21"/>
                <w:szCs w:val="21"/>
              </w:rPr>
            </w:pPr>
            <w:r>
              <w:rPr>
                <w:rFonts w:hint="eastAsia" w:ascii="仿宋" w:hAnsi="仿宋" w:eastAsia="仿宋" w:cs="仿宋"/>
                <w:sz w:val="21"/>
                <w:szCs w:val="21"/>
              </w:rPr>
              <w:t>合计</w:t>
            </w:r>
          </w:p>
        </w:tc>
        <w:tc>
          <w:tcPr>
            <w:tcW w:w="1304" w:type="dxa"/>
            <w:noWrap w:val="0"/>
            <w:vAlign w:val="top"/>
          </w:tcPr>
          <w:p>
            <w:pPr>
              <w:pStyle w:val="23"/>
              <w:shd w:val="clear"/>
              <w:spacing w:before="120"/>
              <w:ind w:left="314" w:right="302"/>
              <w:jc w:val="center"/>
              <w:rPr>
                <w:rFonts w:hint="eastAsia" w:ascii="仿宋" w:hAnsi="仿宋" w:eastAsia="仿宋" w:cs="仿宋"/>
                <w:sz w:val="21"/>
                <w:szCs w:val="21"/>
              </w:rPr>
            </w:pPr>
            <w:r>
              <w:rPr>
                <w:rFonts w:hint="eastAsia" w:ascii="仿宋" w:hAnsi="仿宋" w:eastAsia="仿宋" w:cs="仿宋"/>
                <w:sz w:val="21"/>
                <w:szCs w:val="21"/>
              </w:rPr>
              <w:t>100</w:t>
            </w:r>
          </w:p>
        </w:tc>
        <w:tc>
          <w:tcPr>
            <w:tcW w:w="3071" w:type="dxa"/>
            <w:noWrap w:val="0"/>
            <w:vAlign w:val="top"/>
          </w:tcPr>
          <w:p>
            <w:pPr>
              <w:pStyle w:val="23"/>
              <w:shd w:val="clear"/>
              <w:rPr>
                <w:rFonts w:hint="eastAsia" w:ascii="仿宋" w:hAnsi="仿宋" w:eastAsia="仿宋" w:cs="仿宋"/>
                <w:sz w:val="21"/>
                <w:szCs w:val="21"/>
              </w:rPr>
            </w:pPr>
          </w:p>
        </w:tc>
        <w:tc>
          <w:tcPr>
            <w:tcW w:w="4428" w:type="dxa"/>
            <w:noWrap w:val="0"/>
            <w:vAlign w:val="top"/>
          </w:tcPr>
          <w:p>
            <w:pPr>
              <w:pStyle w:val="23"/>
              <w:shd w:val="clear"/>
              <w:rPr>
                <w:rFonts w:hint="eastAsia" w:ascii="仿宋" w:hAnsi="仿宋" w:eastAsia="仿宋" w:cs="仿宋"/>
                <w:sz w:val="21"/>
                <w:szCs w:val="21"/>
              </w:rPr>
            </w:pPr>
          </w:p>
        </w:tc>
        <w:tc>
          <w:tcPr>
            <w:tcW w:w="992" w:type="dxa"/>
            <w:noWrap w:val="0"/>
            <w:vAlign w:val="top"/>
          </w:tcPr>
          <w:p>
            <w:pPr>
              <w:pStyle w:val="23"/>
              <w:shd w:val="clear"/>
              <w:spacing w:before="120"/>
              <w:ind w:left="177" w:right="166"/>
              <w:jc w:val="center"/>
              <w:rPr>
                <w:rFonts w:hint="eastAsia" w:ascii="仿宋" w:hAnsi="仿宋" w:eastAsia="仿宋" w:cs="仿宋"/>
                <w:sz w:val="21"/>
                <w:szCs w:val="21"/>
              </w:rPr>
            </w:pPr>
            <w:r>
              <w:rPr>
                <w:rFonts w:hint="eastAsia" w:ascii="仿宋" w:hAnsi="仿宋" w:eastAsia="仿宋" w:cs="仿宋"/>
                <w:sz w:val="21"/>
                <w:szCs w:val="21"/>
              </w:rPr>
              <w:t>100</w:t>
            </w:r>
          </w:p>
        </w:tc>
      </w:tr>
    </w:tbl>
    <w:p>
      <w:pPr>
        <w:pageBreakBefore/>
        <w:shd w:val="clea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绿地养护管理季度考核情况汇总</w:t>
      </w:r>
    </w:p>
    <w:p>
      <w:pPr>
        <w:shd w:val="clea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（第___季）</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72"/>
        <w:gridCol w:w="2464"/>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hd w:val="clea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2072" w:type="dxa"/>
            <w:noWrap w:val="0"/>
            <w:vAlign w:val="center"/>
          </w:tcPr>
          <w:p>
            <w:pPr>
              <w:shd w:val="clea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类别</w:t>
            </w:r>
          </w:p>
        </w:tc>
        <w:tc>
          <w:tcPr>
            <w:tcW w:w="2464" w:type="dxa"/>
            <w:noWrap w:val="0"/>
            <w:vAlign w:val="center"/>
          </w:tcPr>
          <w:p>
            <w:pPr>
              <w:shd w:val="clea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考核时间</w:t>
            </w:r>
          </w:p>
        </w:tc>
        <w:tc>
          <w:tcPr>
            <w:tcW w:w="1984" w:type="dxa"/>
            <w:noWrap w:val="0"/>
            <w:vAlign w:val="center"/>
          </w:tcPr>
          <w:p>
            <w:pPr>
              <w:shd w:val="clea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实得分</w:t>
            </w:r>
          </w:p>
        </w:tc>
        <w:tc>
          <w:tcPr>
            <w:tcW w:w="1276" w:type="dxa"/>
            <w:noWrap w:val="0"/>
            <w:vAlign w:val="center"/>
          </w:tcPr>
          <w:p>
            <w:pPr>
              <w:shd w:val="clear"/>
              <w:spacing w:line="500" w:lineRule="exact"/>
              <w:jc w:val="center"/>
              <w:rPr>
                <w:rFonts w:hint="eastAsia" w:ascii="仿宋" w:hAnsi="仿宋" w:eastAsia="仿宋" w:cs="仿宋"/>
                <w:b/>
                <w:bCs/>
                <w:sz w:val="21"/>
                <w:szCs w:val="21"/>
              </w:rPr>
            </w:pPr>
            <w:r>
              <w:rPr>
                <w:rFonts w:hint="eastAsia" w:ascii="仿宋" w:hAnsi="仿宋" w:eastAsia="仿宋" w:cs="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restart"/>
            <w:noWrap w:val="0"/>
            <w:vAlign w:val="center"/>
          </w:tcPr>
          <w:p>
            <w:pPr>
              <w:shd w:val="clea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一</w:t>
            </w:r>
          </w:p>
        </w:tc>
        <w:tc>
          <w:tcPr>
            <w:tcW w:w="2072" w:type="dxa"/>
            <w:vMerge w:val="restart"/>
            <w:noWrap w:val="0"/>
            <w:vAlign w:val="center"/>
          </w:tcPr>
          <w:p>
            <w:pPr>
              <w:shd w:val="clea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月考核</w:t>
            </w:r>
          </w:p>
        </w:tc>
        <w:tc>
          <w:tcPr>
            <w:tcW w:w="2464" w:type="dxa"/>
            <w:noWrap w:val="0"/>
            <w:vAlign w:val="center"/>
          </w:tcPr>
          <w:p>
            <w:pPr>
              <w:shd w:val="clear"/>
              <w:spacing w:line="500" w:lineRule="exact"/>
              <w:jc w:val="center"/>
              <w:rPr>
                <w:rFonts w:hint="eastAsia" w:ascii="仿宋" w:hAnsi="仿宋" w:eastAsia="仿宋" w:cs="仿宋"/>
                <w:sz w:val="21"/>
                <w:szCs w:val="21"/>
              </w:rPr>
            </w:pPr>
          </w:p>
        </w:tc>
        <w:tc>
          <w:tcPr>
            <w:tcW w:w="1984" w:type="dxa"/>
            <w:noWrap w:val="0"/>
            <w:vAlign w:val="center"/>
          </w:tcPr>
          <w:p>
            <w:pPr>
              <w:shd w:val="clear"/>
              <w:spacing w:line="500" w:lineRule="exact"/>
              <w:jc w:val="center"/>
              <w:rPr>
                <w:rFonts w:hint="eastAsia" w:ascii="仿宋" w:hAnsi="仿宋" w:eastAsia="仿宋" w:cs="仿宋"/>
                <w:sz w:val="21"/>
                <w:szCs w:val="21"/>
              </w:rPr>
            </w:pPr>
          </w:p>
        </w:tc>
        <w:tc>
          <w:tcPr>
            <w:tcW w:w="1276" w:type="dxa"/>
            <w:noWrap w:val="0"/>
            <w:vAlign w:val="center"/>
          </w:tcPr>
          <w:p>
            <w:pPr>
              <w:shd w:val="clear"/>
              <w:spacing w:line="5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hd w:val="clear"/>
              <w:spacing w:line="500" w:lineRule="exact"/>
              <w:jc w:val="center"/>
              <w:rPr>
                <w:rFonts w:hint="eastAsia" w:ascii="仿宋" w:hAnsi="仿宋" w:eastAsia="仿宋" w:cs="仿宋"/>
                <w:b/>
                <w:sz w:val="21"/>
                <w:szCs w:val="21"/>
              </w:rPr>
            </w:pPr>
          </w:p>
        </w:tc>
        <w:tc>
          <w:tcPr>
            <w:tcW w:w="2072" w:type="dxa"/>
            <w:vMerge w:val="continue"/>
            <w:noWrap w:val="0"/>
            <w:vAlign w:val="center"/>
          </w:tcPr>
          <w:p>
            <w:pPr>
              <w:shd w:val="clear"/>
              <w:spacing w:line="500" w:lineRule="exact"/>
              <w:jc w:val="center"/>
              <w:rPr>
                <w:rFonts w:hint="eastAsia" w:ascii="仿宋" w:hAnsi="仿宋" w:eastAsia="仿宋" w:cs="仿宋"/>
                <w:sz w:val="21"/>
                <w:szCs w:val="21"/>
              </w:rPr>
            </w:pPr>
          </w:p>
        </w:tc>
        <w:tc>
          <w:tcPr>
            <w:tcW w:w="2464" w:type="dxa"/>
            <w:noWrap w:val="0"/>
            <w:vAlign w:val="center"/>
          </w:tcPr>
          <w:p>
            <w:pPr>
              <w:shd w:val="clear"/>
              <w:spacing w:line="500" w:lineRule="exact"/>
              <w:jc w:val="center"/>
              <w:rPr>
                <w:rFonts w:hint="eastAsia" w:ascii="仿宋" w:hAnsi="仿宋" w:eastAsia="仿宋" w:cs="仿宋"/>
                <w:sz w:val="21"/>
                <w:szCs w:val="21"/>
              </w:rPr>
            </w:pPr>
          </w:p>
        </w:tc>
        <w:tc>
          <w:tcPr>
            <w:tcW w:w="1984" w:type="dxa"/>
            <w:noWrap w:val="0"/>
            <w:vAlign w:val="center"/>
          </w:tcPr>
          <w:p>
            <w:pPr>
              <w:shd w:val="clear"/>
              <w:spacing w:line="500" w:lineRule="exact"/>
              <w:jc w:val="center"/>
              <w:rPr>
                <w:rFonts w:hint="eastAsia" w:ascii="仿宋" w:hAnsi="仿宋" w:eastAsia="仿宋" w:cs="仿宋"/>
                <w:sz w:val="21"/>
                <w:szCs w:val="21"/>
              </w:rPr>
            </w:pPr>
          </w:p>
        </w:tc>
        <w:tc>
          <w:tcPr>
            <w:tcW w:w="1276" w:type="dxa"/>
            <w:noWrap w:val="0"/>
            <w:vAlign w:val="center"/>
          </w:tcPr>
          <w:p>
            <w:pPr>
              <w:shd w:val="clear"/>
              <w:spacing w:line="5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hd w:val="clear"/>
              <w:spacing w:line="500" w:lineRule="exact"/>
              <w:jc w:val="center"/>
              <w:rPr>
                <w:rFonts w:hint="eastAsia" w:ascii="仿宋" w:hAnsi="仿宋" w:eastAsia="仿宋" w:cs="仿宋"/>
                <w:b/>
                <w:sz w:val="21"/>
                <w:szCs w:val="21"/>
              </w:rPr>
            </w:pPr>
          </w:p>
        </w:tc>
        <w:tc>
          <w:tcPr>
            <w:tcW w:w="2072" w:type="dxa"/>
            <w:vMerge w:val="continue"/>
            <w:noWrap w:val="0"/>
            <w:vAlign w:val="center"/>
          </w:tcPr>
          <w:p>
            <w:pPr>
              <w:shd w:val="clear"/>
              <w:spacing w:line="500" w:lineRule="exact"/>
              <w:jc w:val="center"/>
              <w:rPr>
                <w:rFonts w:hint="eastAsia" w:ascii="仿宋" w:hAnsi="仿宋" w:eastAsia="仿宋" w:cs="仿宋"/>
                <w:sz w:val="21"/>
                <w:szCs w:val="21"/>
              </w:rPr>
            </w:pPr>
          </w:p>
        </w:tc>
        <w:tc>
          <w:tcPr>
            <w:tcW w:w="2464" w:type="dxa"/>
            <w:noWrap w:val="0"/>
            <w:vAlign w:val="center"/>
          </w:tcPr>
          <w:p>
            <w:pPr>
              <w:shd w:val="clear"/>
              <w:spacing w:line="500" w:lineRule="exact"/>
              <w:jc w:val="center"/>
              <w:rPr>
                <w:rFonts w:hint="eastAsia" w:ascii="仿宋" w:hAnsi="仿宋" w:eastAsia="仿宋" w:cs="仿宋"/>
                <w:sz w:val="21"/>
                <w:szCs w:val="21"/>
              </w:rPr>
            </w:pPr>
          </w:p>
        </w:tc>
        <w:tc>
          <w:tcPr>
            <w:tcW w:w="1984" w:type="dxa"/>
            <w:noWrap w:val="0"/>
            <w:vAlign w:val="center"/>
          </w:tcPr>
          <w:p>
            <w:pPr>
              <w:shd w:val="clear"/>
              <w:spacing w:line="500" w:lineRule="exact"/>
              <w:jc w:val="center"/>
              <w:rPr>
                <w:rFonts w:hint="eastAsia" w:ascii="仿宋" w:hAnsi="仿宋" w:eastAsia="仿宋" w:cs="仿宋"/>
                <w:sz w:val="21"/>
                <w:szCs w:val="21"/>
              </w:rPr>
            </w:pPr>
          </w:p>
        </w:tc>
        <w:tc>
          <w:tcPr>
            <w:tcW w:w="1276" w:type="dxa"/>
            <w:noWrap w:val="0"/>
            <w:vAlign w:val="center"/>
          </w:tcPr>
          <w:p>
            <w:pPr>
              <w:shd w:val="clear"/>
              <w:spacing w:line="5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hd w:val="clea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二</w:t>
            </w:r>
          </w:p>
        </w:tc>
        <w:tc>
          <w:tcPr>
            <w:tcW w:w="2072" w:type="dxa"/>
            <w:noWrap w:val="0"/>
            <w:vAlign w:val="center"/>
          </w:tcPr>
          <w:p>
            <w:pPr>
              <w:shd w:val="clear"/>
              <w:spacing w:line="500" w:lineRule="exact"/>
              <w:jc w:val="center"/>
              <w:rPr>
                <w:rFonts w:hint="eastAsia" w:ascii="仿宋" w:hAnsi="仿宋" w:eastAsia="仿宋" w:cs="仿宋"/>
                <w:sz w:val="21"/>
                <w:szCs w:val="21"/>
              </w:rPr>
            </w:pPr>
            <w:r>
              <w:rPr>
                <w:rFonts w:hint="eastAsia" w:ascii="仿宋" w:hAnsi="仿宋" w:eastAsia="仿宋" w:cs="仿宋"/>
                <w:b/>
                <w:sz w:val="21"/>
                <w:szCs w:val="21"/>
              </w:rPr>
              <w:t>季度平均考核分</w:t>
            </w:r>
          </w:p>
        </w:tc>
        <w:tc>
          <w:tcPr>
            <w:tcW w:w="5724" w:type="dxa"/>
            <w:gridSpan w:val="3"/>
            <w:noWrap w:val="0"/>
            <w:vAlign w:val="center"/>
          </w:tcPr>
          <w:p>
            <w:pPr>
              <w:shd w:val="clear"/>
              <w:spacing w:line="5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031" w:type="dxa"/>
            <w:noWrap w:val="0"/>
            <w:vAlign w:val="center"/>
          </w:tcPr>
          <w:p>
            <w:pPr>
              <w:shd w:val="clea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三</w:t>
            </w:r>
          </w:p>
        </w:tc>
        <w:tc>
          <w:tcPr>
            <w:tcW w:w="2072" w:type="dxa"/>
            <w:noWrap w:val="0"/>
            <w:vAlign w:val="center"/>
          </w:tcPr>
          <w:p>
            <w:pPr>
              <w:shd w:val="clear"/>
              <w:spacing w:line="500" w:lineRule="exact"/>
              <w:jc w:val="center"/>
              <w:rPr>
                <w:rFonts w:hint="eastAsia" w:ascii="仿宋" w:hAnsi="仿宋" w:eastAsia="仿宋" w:cs="仿宋"/>
                <w:b/>
                <w:sz w:val="21"/>
                <w:szCs w:val="21"/>
              </w:rPr>
            </w:pPr>
            <w:r>
              <w:rPr>
                <w:rFonts w:hint="eastAsia" w:ascii="仿宋" w:hAnsi="仿宋" w:eastAsia="仿宋" w:cs="仿宋"/>
                <w:b/>
                <w:sz w:val="21"/>
                <w:szCs w:val="21"/>
              </w:rPr>
              <w:t>直接扣款项</w:t>
            </w:r>
          </w:p>
        </w:tc>
        <w:tc>
          <w:tcPr>
            <w:tcW w:w="5724" w:type="dxa"/>
            <w:gridSpan w:val="3"/>
            <w:noWrap w:val="0"/>
            <w:vAlign w:val="center"/>
          </w:tcPr>
          <w:p>
            <w:pPr>
              <w:shd w:val="clear"/>
              <w:spacing w:line="500" w:lineRule="exact"/>
              <w:jc w:val="center"/>
              <w:rPr>
                <w:rFonts w:hint="eastAsia" w:ascii="仿宋" w:hAnsi="仿宋" w:eastAsia="仿宋" w:cs="仿宋"/>
                <w:sz w:val="21"/>
                <w:szCs w:val="21"/>
              </w:rPr>
            </w:pPr>
          </w:p>
          <w:p>
            <w:pPr>
              <w:shd w:val="clear"/>
              <w:spacing w:line="500" w:lineRule="exact"/>
              <w:jc w:val="center"/>
              <w:rPr>
                <w:rFonts w:hint="eastAsia" w:ascii="仿宋" w:hAnsi="仿宋" w:eastAsia="仿宋" w:cs="仿宋"/>
                <w:sz w:val="21"/>
                <w:szCs w:val="21"/>
              </w:rPr>
            </w:pPr>
          </w:p>
          <w:p>
            <w:pPr>
              <w:shd w:val="clear"/>
              <w:spacing w:line="500" w:lineRule="exact"/>
              <w:jc w:val="center"/>
              <w:rPr>
                <w:rFonts w:hint="eastAsia" w:ascii="仿宋" w:hAnsi="仿宋" w:eastAsia="仿宋" w:cs="仿宋"/>
                <w:sz w:val="21"/>
                <w:szCs w:val="21"/>
              </w:rPr>
            </w:pPr>
          </w:p>
          <w:p>
            <w:pPr>
              <w:shd w:val="clear"/>
              <w:spacing w:line="500" w:lineRule="exact"/>
              <w:jc w:val="center"/>
              <w:rPr>
                <w:rFonts w:hint="eastAsia" w:ascii="仿宋" w:hAnsi="仿宋" w:eastAsia="仿宋" w:cs="仿宋"/>
                <w:sz w:val="21"/>
                <w:szCs w:val="21"/>
              </w:rPr>
            </w:pPr>
          </w:p>
          <w:p>
            <w:pPr>
              <w:shd w:val="clear"/>
              <w:spacing w:line="500" w:lineRule="exact"/>
              <w:jc w:val="center"/>
              <w:rPr>
                <w:rFonts w:hint="eastAsia" w:ascii="仿宋" w:hAnsi="仿宋" w:eastAsia="仿宋" w:cs="仿宋"/>
                <w:sz w:val="21"/>
                <w:szCs w:val="21"/>
              </w:rPr>
            </w:pPr>
          </w:p>
          <w:p>
            <w:pPr>
              <w:shd w:val="clear"/>
              <w:spacing w:line="500" w:lineRule="exact"/>
              <w:jc w:val="center"/>
              <w:rPr>
                <w:rFonts w:hint="eastAsia" w:ascii="仿宋" w:hAnsi="仿宋" w:eastAsia="仿宋" w:cs="仿宋"/>
                <w:sz w:val="21"/>
                <w:szCs w:val="21"/>
              </w:rPr>
            </w:pPr>
          </w:p>
          <w:p>
            <w:pPr>
              <w:shd w:val="clear"/>
              <w:spacing w:line="500" w:lineRule="exact"/>
              <w:jc w:val="center"/>
              <w:rPr>
                <w:rFonts w:hint="eastAsia" w:ascii="仿宋" w:hAnsi="仿宋" w:eastAsia="仿宋" w:cs="仿宋"/>
                <w:sz w:val="21"/>
                <w:szCs w:val="21"/>
              </w:rPr>
            </w:pPr>
          </w:p>
          <w:p>
            <w:pPr>
              <w:shd w:val="clear"/>
              <w:spacing w:line="500" w:lineRule="exact"/>
              <w:jc w:val="center"/>
              <w:rPr>
                <w:rFonts w:hint="eastAsia" w:ascii="仿宋" w:hAnsi="仿宋" w:eastAsia="仿宋" w:cs="仿宋"/>
                <w:sz w:val="21"/>
                <w:szCs w:val="21"/>
              </w:rPr>
            </w:pPr>
          </w:p>
          <w:p>
            <w:pPr>
              <w:shd w:val="clear"/>
              <w:spacing w:line="500" w:lineRule="exact"/>
              <w:jc w:val="center"/>
              <w:rPr>
                <w:rFonts w:hint="eastAsia" w:ascii="仿宋" w:hAnsi="仿宋" w:eastAsia="仿宋" w:cs="仿宋"/>
                <w:sz w:val="21"/>
                <w:szCs w:val="21"/>
              </w:rPr>
            </w:pPr>
          </w:p>
        </w:tc>
      </w:tr>
    </w:tbl>
    <w:p>
      <w:pPr>
        <w:shd w:val="clear"/>
        <w:rPr>
          <w:rFonts w:hint="eastAsia" w:eastAsia="宋体"/>
          <w:highlight w:val="none"/>
          <w:lang w:val="en-US" w:eastAsia="zh-CN"/>
        </w:rPr>
      </w:pPr>
    </w:p>
    <w:p>
      <w:pPr>
        <w:pStyle w:val="6"/>
        <w:keepNext w:val="0"/>
        <w:keepLines w:val="0"/>
        <w:pageBreakBefore w:val="0"/>
        <w:widowControl/>
        <w:shd w:val="clear"/>
        <w:kinsoku/>
        <w:wordWrap/>
        <w:overflowPunct/>
        <w:topLinePunct w:val="0"/>
        <w:autoSpaceDE/>
        <w:autoSpaceDN/>
        <w:bidi w:val="0"/>
        <w:adjustRightInd/>
        <w:snapToGrid/>
        <w:spacing w:after="0" w:afterLines="0" w:line="540" w:lineRule="exact"/>
        <w:ind w:left="0" w:leftChars="0" w:firstLine="0" w:firstLineChars="0"/>
        <w:jc w:val="both"/>
        <w:textAlignment w:val="auto"/>
        <w:rPr>
          <w:rFonts w:hint="eastAsia" w:ascii="仿宋_GB2312" w:hAnsi="仿宋_GB2312" w:eastAsia="仿宋_GB2312" w:cs="仿宋_GB2312"/>
          <w:color w:val="auto"/>
          <w:sz w:val="28"/>
          <w:szCs w:val="28"/>
          <w:lang w:val="en-US" w:eastAsia="zh-CN"/>
        </w:rPr>
      </w:pPr>
    </w:p>
    <w:sectPr>
      <w:headerReference r:id="rId4" w:type="default"/>
      <w:footerReference r:id="rId5" w:type="default"/>
      <w:pgSz w:w="11906" w:h="16838"/>
      <w:pgMar w:top="1440" w:right="1264" w:bottom="1440" w:left="1179"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MGU0ZjJiZjgxYzBhZTU0M2E5YjZjNjU4ODAzYjMifQ=="/>
  </w:docVars>
  <w:rsids>
    <w:rsidRoot w:val="4D72579F"/>
    <w:rsid w:val="02BC5875"/>
    <w:rsid w:val="049A17B3"/>
    <w:rsid w:val="060D2627"/>
    <w:rsid w:val="0664493D"/>
    <w:rsid w:val="08A300C3"/>
    <w:rsid w:val="08FB4D60"/>
    <w:rsid w:val="09E26ADC"/>
    <w:rsid w:val="0A2B40C2"/>
    <w:rsid w:val="0ABC1138"/>
    <w:rsid w:val="0ABC39D8"/>
    <w:rsid w:val="0AFF3BCF"/>
    <w:rsid w:val="0B752576"/>
    <w:rsid w:val="0BD4252C"/>
    <w:rsid w:val="0C31218F"/>
    <w:rsid w:val="0C756913"/>
    <w:rsid w:val="0C763753"/>
    <w:rsid w:val="0C922583"/>
    <w:rsid w:val="0D8B3083"/>
    <w:rsid w:val="0DD759F4"/>
    <w:rsid w:val="0E213296"/>
    <w:rsid w:val="0FFB54E4"/>
    <w:rsid w:val="10D10E88"/>
    <w:rsid w:val="128C4F28"/>
    <w:rsid w:val="134C478E"/>
    <w:rsid w:val="137E475D"/>
    <w:rsid w:val="1405706D"/>
    <w:rsid w:val="14461C2C"/>
    <w:rsid w:val="150838E9"/>
    <w:rsid w:val="15DC3A19"/>
    <w:rsid w:val="15ED1922"/>
    <w:rsid w:val="16090468"/>
    <w:rsid w:val="16D80B50"/>
    <w:rsid w:val="172401FC"/>
    <w:rsid w:val="17F90A1F"/>
    <w:rsid w:val="18FD3554"/>
    <w:rsid w:val="193A4DB9"/>
    <w:rsid w:val="19485DAF"/>
    <w:rsid w:val="1A4E2884"/>
    <w:rsid w:val="1AA2738A"/>
    <w:rsid w:val="1B8D5A62"/>
    <w:rsid w:val="1E4C1AE7"/>
    <w:rsid w:val="20966027"/>
    <w:rsid w:val="20E32234"/>
    <w:rsid w:val="224204F7"/>
    <w:rsid w:val="224A2101"/>
    <w:rsid w:val="23D2508A"/>
    <w:rsid w:val="240C6FC1"/>
    <w:rsid w:val="25AC1A52"/>
    <w:rsid w:val="25AC3ECC"/>
    <w:rsid w:val="25CC4F38"/>
    <w:rsid w:val="25EA5C1B"/>
    <w:rsid w:val="263878E4"/>
    <w:rsid w:val="263B38DF"/>
    <w:rsid w:val="273F34FA"/>
    <w:rsid w:val="275B50F8"/>
    <w:rsid w:val="27DB510D"/>
    <w:rsid w:val="280C22E7"/>
    <w:rsid w:val="28E86610"/>
    <w:rsid w:val="29814368"/>
    <w:rsid w:val="29931E14"/>
    <w:rsid w:val="29DF5F05"/>
    <w:rsid w:val="2A1D189D"/>
    <w:rsid w:val="2A264807"/>
    <w:rsid w:val="2A5C1303"/>
    <w:rsid w:val="2A76033E"/>
    <w:rsid w:val="2BB62C95"/>
    <w:rsid w:val="2BF235E5"/>
    <w:rsid w:val="2CA46F92"/>
    <w:rsid w:val="2D89296C"/>
    <w:rsid w:val="2DDD275B"/>
    <w:rsid w:val="2EA60DD6"/>
    <w:rsid w:val="2EE96484"/>
    <w:rsid w:val="2EED2E72"/>
    <w:rsid w:val="2F7B4131"/>
    <w:rsid w:val="2FA57809"/>
    <w:rsid w:val="30B874AF"/>
    <w:rsid w:val="311D0F11"/>
    <w:rsid w:val="31244B7C"/>
    <w:rsid w:val="33D97ECE"/>
    <w:rsid w:val="33F548A7"/>
    <w:rsid w:val="34525BA1"/>
    <w:rsid w:val="34C66947"/>
    <w:rsid w:val="3559707B"/>
    <w:rsid w:val="359C2C35"/>
    <w:rsid w:val="375905E2"/>
    <w:rsid w:val="38543A22"/>
    <w:rsid w:val="39A02164"/>
    <w:rsid w:val="39C872B8"/>
    <w:rsid w:val="3A8373E6"/>
    <w:rsid w:val="3B1E43B3"/>
    <w:rsid w:val="3B790C66"/>
    <w:rsid w:val="3B795970"/>
    <w:rsid w:val="3CCF61D5"/>
    <w:rsid w:val="3EE94E91"/>
    <w:rsid w:val="3F4D64AC"/>
    <w:rsid w:val="3F9B0AE4"/>
    <w:rsid w:val="401933BF"/>
    <w:rsid w:val="40E66024"/>
    <w:rsid w:val="415B1F16"/>
    <w:rsid w:val="41E03A3A"/>
    <w:rsid w:val="424E077F"/>
    <w:rsid w:val="42F8027F"/>
    <w:rsid w:val="432503A2"/>
    <w:rsid w:val="43DB70C2"/>
    <w:rsid w:val="44743BF0"/>
    <w:rsid w:val="448A4217"/>
    <w:rsid w:val="45466415"/>
    <w:rsid w:val="478247F7"/>
    <w:rsid w:val="47B5637A"/>
    <w:rsid w:val="485479A6"/>
    <w:rsid w:val="4865408E"/>
    <w:rsid w:val="48AD296E"/>
    <w:rsid w:val="491C0EDF"/>
    <w:rsid w:val="4933371F"/>
    <w:rsid w:val="49ED1B20"/>
    <w:rsid w:val="4AF72C27"/>
    <w:rsid w:val="4BEB1F7F"/>
    <w:rsid w:val="4C95730F"/>
    <w:rsid w:val="4CB64358"/>
    <w:rsid w:val="4D72579F"/>
    <w:rsid w:val="4ED11A10"/>
    <w:rsid w:val="4F0602B0"/>
    <w:rsid w:val="4F196FD1"/>
    <w:rsid w:val="4F2C520F"/>
    <w:rsid w:val="4F3B50DC"/>
    <w:rsid w:val="4F9801E7"/>
    <w:rsid w:val="4FEC74E1"/>
    <w:rsid w:val="50812FC2"/>
    <w:rsid w:val="50F0256A"/>
    <w:rsid w:val="51EC5472"/>
    <w:rsid w:val="526B23B2"/>
    <w:rsid w:val="528A4494"/>
    <w:rsid w:val="53184ED7"/>
    <w:rsid w:val="55C40BDA"/>
    <w:rsid w:val="5640393A"/>
    <w:rsid w:val="567E228F"/>
    <w:rsid w:val="56A8472D"/>
    <w:rsid w:val="57376AD1"/>
    <w:rsid w:val="57522A51"/>
    <w:rsid w:val="580C6F3F"/>
    <w:rsid w:val="582078C7"/>
    <w:rsid w:val="5B4F29BB"/>
    <w:rsid w:val="5B555238"/>
    <w:rsid w:val="5B73507F"/>
    <w:rsid w:val="5C1678E0"/>
    <w:rsid w:val="5E4E0A40"/>
    <w:rsid w:val="5F614678"/>
    <w:rsid w:val="5FE96A57"/>
    <w:rsid w:val="60301C33"/>
    <w:rsid w:val="609360DE"/>
    <w:rsid w:val="60DF0082"/>
    <w:rsid w:val="61083DAF"/>
    <w:rsid w:val="61990971"/>
    <w:rsid w:val="62825D0D"/>
    <w:rsid w:val="63665421"/>
    <w:rsid w:val="66221F5E"/>
    <w:rsid w:val="669E0497"/>
    <w:rsid w:val="66C953FE"/>
    <w:rsid w:val="67121B6C"/>
    <w:rsid w:val="671E64BD"/>
    <w:rsid w:val="67A75212"/>
    <w:rsid w:val="67B31BB7"/>
    <w:rsid w:val="680E6F72"/>
    <w:rsid w:val="689950F9"/>
    <w:rsid w:val="69244882"/>
    <w:rsid w:val="69DD59B8"/>
    <w:rsid w:val="6A3D0EFF"/>
    <w:rsid w:val="6AB563C0"/>
    <w:rsid w:val="6ACB5B2B"/>
    <w:rsid w:val="6AE61F48"/>
    <w:rsid w:val="6B552A6B"/>
    <w:rsid w:val="6B731339"/>
    <w:rsid w:val="6C4C1F00"/>
    <w:rsid w:val="6D6544DC"/>
    <w:rsid w:val="6D7E0B5E"/>
    <w:rsid w:val="6D902D2A"/>
    <w:rsid w:val="6E244BCE"/>
    <w:rsid w:val="6FA663F0"/>
    <w:rsid w:val="6FDD7C1E"/>
    <w:rsid w:val="72044E22"/>
    <w:rsid w:val="722A6743"/>
    <w:rsid w:val="73D20082"/>
    <w:rsid w:val="74B67236"/>
    <w:rsid w:val="74FF0A52"/>
    <w:rsid w:val="750232A8"/>
    <w:rsid w:val="75F16FE0"/>
    <w:rsid w:val="75F82D28"/>
    <w:rsid w:val="760A70EF"/>
    <w:rsid w:val="76937EF5"/>
    <w:rsid w:val="77CC339C"/>
    <w:rsid w:val="786F2912"/>
    <w:rsid w:val="78F018E3"/>
    <w:rsid w:val="795448E4"/>
    <w:rsid w:val="7A1B7966"/>
    <w:rsid w:val="7ACD4519"/>
    <w:rsid w:val="7B1303D2"/>
    <w:rsid w:val="7B5B445D"/>
    <w:rsid w:val="7B65103C"/>
    <w:rsid w:val="7CB1418D"/>
    <w:rsid w:val="7D490F85"/>
    <w:rsid w:val="7E4E5490"/>
    <w:rsid w:val="7F9078A1"/>
    <w:rsid w:val="7F976276"/>
    <w:rsid w:val="7FE2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next w:val="6"/>
    <w:autoRedefine/>
    <w:unhideWhenUsed/>
    <w:qFormat/>
    <w:uiPriority w:val="99"/>
    <w:pPr>
      <w:spacing w:after="120" w:afterLines="0" w:afterAutospacing="0"/>
    </w:pPr>
  </w:style>
  <w:style w:type="paragraph" w:styleId="6">
    <w:name w:val="Body Text First Indent"/>
    <w:basedOn w:val="5"/>
    <w:next w:val="1"/>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autoRedefine/>
    <w:qFormat/>
    <w:uiPriority w:val="0"/>
    <w:pPr>
      <w:spacing w:after="120"/>
      <w:ind w:left="420" w:leftChars="200"/>
    </w:pPr>
    <w:rPr>
      <w:kern w:val="0"/>
      <w:sz w:val="20"/>
      <w:szCs w:val="24"/>
    </w:rPr>
  </w:style>
  <w:style w:type="paragraph" w:styleId="8">
    <w:name w:val="Plain Text"/>
    <w:basedOn w:val="1"/>
    <w:autoRedefine/>
    <w:qFormat/>
    <w:uiPriority w:val="0"/>
    <w:pPr>
      <w:widowControl/>
      <w:spacing w:before="100" w:beforeAutospacing="1" w:after="100" w:afterAutospacing="1"/>
      <w:jc w:val="left"/>
    </w:pPr>
    <w:rPr>
      <w:rFonts w:ascii="Arial Unicode MS" w:hAnsi="Arial Unicode MS"/>
      <w:kern w:val="0"/>
      <w:sz w:val="24"/>
    </w:rPr>
  </w:style>
  <w:style w:type="paragraph" w:styleId="9">
    <w:name w:val="footer"/>
    <w:basedOn w:val="1"/>
    <w:autoRedefine/>
    <w:unhideWhenUsed/>
    <w:qFormat/>
    <w:uiPriority w:val="0"/>
    <w:pPr>
      <w:tabs>
        <w:tab w:val="center" w:pos="4153"/>
        <w:tab w:val="right" w:pos="8306"/>
      </w:tabs>
      <w:snapToGrid w:val="0"/>
      <w:jc w:val="left"/>
    </w:pPr>
    <w:rPr>
      <w:kern w:val="0"/>
      <w:sz w:val="18"/>
      <w:szCs w:val="18"/>
    </w:rPr>
  </w:style>
  <w:style w:type="paragraph" w:styleId="10">
    <w:name w:val="envelope return"/>
    <w:basedOn w:val="1"/>
    <w:autoRedefine/>
    <w:qFormat/>
    <w:uiPriority w:val="0"/>
    <w:pPr>
      <w:snapToGrid w:val="0"/>
    </w:pPr>
    <w:rPr>
      <w:rFonts w:ascii="Arial" w:hAnsi="Arial"/>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autoRedefine/>
    <w:qFormat/>
    <w:uiPriority w:val="99"/>
    <w:pPr>
      <w:ind w:left="2100" w:leftChars="1000"/>
    </w:pPr>
    <w:rPr>
      <w:rFonts w:ascii="Calibri" w:hAnsi="Calibri"/>
      <w:szCs w:val="22"/>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7"/>
    <w:autoRedefine/>
    <w:qFormat/>
    <w:uiPriority w:val="0"/>
    <w:pPr>
      <w:tabs>
        <w:tab w:val="left" w:pos="0"/>
        <w:tab w:val="left" w:pos="993"/>
        <w:tab w:val="left" w:pos="1134"/>
        <w:tab w:val="left" w:pos="7060"/>
      </w:tabs>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
    <w:next w:val="1"/>
    <w:autoRedefine/>
    <w:qFormat/>
    <w:uiPriority w:val="0"/>
    <w:rPr>
      <w:rFonts w:ascii="Calibri" w:hAnsi="Calibri" w:eastAsia="宋体" w:cs="Times New Roman"/>
      <w:kern w:val="2"/>
      <w:sz w:val="28"/>
      <w:szCs w:val="22"/>
      <w:lang w:val="en-US" w:eastAsia="zh-CN" w:bidi="ar-SA"/>
    </w:rPr>
  </w:style>
  <w:style w:type="paragraph" w:customStyle="1" w:styleId="19">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20">
    <w:name w:val="普通正文"/>
    <w:basedOn w:val="1"/>
    <w:autoRedefine/>
    <w:qFormat/>
    <w:uiPriority w:val="0"/>
    <w:pPr>
      <w:spacing w:line="360" w:lineRule="auto"/>
      <w:ind w:firstLine="480" w:firstLineChars="200"/>
    </w:pPr>
    <w:rPr>
      <w:rFonts w:ascii="仿宋" w:hAnsi="仿宋" w:eastAsia="仿宋"/>
      <w:sz w:val="24"/>
      <w:szCs w:val="24"/>
    </w:rPr>
  </w:style>
  <w:style w:type="paragraph" w:customStyle="1" w:styleId="21">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6-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
      <w:docPartPr>
        <w:name w:val="{9f15ccbf-f79a-40d5-ba0f-0355499d14ad}"/>
        <w:style w:val=""/>
        <w:category>
          <w:name w:val="常规"/>
          <w:gallery w:val="placeholder"/>
        </w:category>
        <w:types>
          <w:type w:val="bbPlcHdr"/>
        </w:types>
        <w:behaviors>
          <w:behavior w:val="content"/>
        </w:behaviors>
        <w:description w:val=""/>
        <w:guid w:val="{9f15ccbf-f79a-40d5-ba0f-0355499d14ad}"/>
      </w:docPartPr>
      <w:docPartBody>
        <w:p>
          <w:r>
            <w:rPr>
              <w:color w:val="808080"/>
            </w:rPr>
            <w:t>单击此处输入文字。</w:t>
          </w:r>
        </w:p>
      </w:docPartBody>
    </w:docPart>
    <w:docPart>
      <w:docPartPr>
        <w:name w:val="{42ac9b59-10b5-4ce1-bc92-61ffcddad1ca}"/>
        <w:style w:val=""/>
        <w:category>
          <w:name w:val="常规"/>
          <w:gallery w:val="placeholder"/>
        </w:category>
        <w:types>
          <w:type w:val="bbPlcHdr"/>
        </w:types>
        <w:behaviors>
          <w:behavior w:val="content"/>
        </w:behaviors>
        <w:description w:val=""/>
        <w:guid w:val="{42ac9b59-10b5-4ce1-bc92-61ffcddad1ca}"/>
      </w:docPartPr>
      <w:docPartBody>
        <w:p>
          <w:r>
            <w:rPr>
              <w:color w:val="808080"/>
            </w:rPr>
            <w:t>单击此处输入文字。</w:t>
          </w:r>
        </w:p>
      </w:docPartBody>
    </w:docPart>
    <w:docPart>
      <w:docPartPr>
        <w:name w:val="{17b39c87-156f-4f46-9ed3-2978971d5eac}"/>
        <w:style w:val=""/>
        <w:category>
          <w:name w:val="常规"/>
          <w:gallery w:val="placeholder"/>
        </w:category>
        <w:types>
          <w:type w:val="bbPlcHdr"/>
        </w:types>
        <w:behaviors>
          <w:behavior w:val="content"/>
        </w:behaviors>
        <w:description w:val=""/>
        <w:guid w:val="{17b39c87-156f-4f46-9ed3-2978971d5eac}"/>
      </w:docPartPr>
      <w:docPartBody>
        <w:p>
          <w:r>
            <w:rPr>
              <w:color w:val="808080"/>
            </w:rPr>
            <w:t>单击此处输入文字。</w:t>
          </w:r>
        </w:p>
      </w:docPartBody>
    </w:docPart>
    <w:docPart>
      <w:docPartPr>
        <w:name w:val="{2398bf7c-a38a-42ce-ae29-800d23f94a86}"/>
        <w:style w:val=""/>
        <w:category>
          <w:name w:val="常规"/>
          <w:gallery w:val="placeholder"/>
        </w:category>
        <w:types>
          <w:type w:val="bbPlcHdr"/>
        </w:types>
        <w:behaviors>
          <w:behavior w:val="content"/>
        </w:behaviors>
        <w:description w:val=""/>
        <w:guid w:val="{2398bf7c-a38a-42ce-ae29-800d23f94a8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34127</Words>
  <Characters>35393</Characters>
  <Lines>0</Lines>
  <Paragraphs>0</Paragraphs>
  <TotalTime>19</TotalTime>
  <ScaleCrop>false</ScaleCrop>
  <LinksUpToDate>false</LinksUpToDate>
  <CharactersWithSpaces>36923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年终根据考核结果及收到业主款项后根据结算方式支付。</dc:creator>
  <dc:description>湖州市南浔区</dc:description>
  <cp:keywords>2024年美丽乡村景观线绿化养护工程</cp:keywords>
  <cp:lastModifiedBy>SJ</cp:lastModifiedBy>
  <cp:lastPrinted>2024-06-25T01:04:00Z</cp:lastPrinted>
  <dcterms:modified xsi:type="dcterms:W3CDTF">2024-06-25T10:53:08Z</dcterms:modified>
  <dc:subject>1、养护内容：①绿化养护，景观线绿化带除草、病虫害防治、水肥管理、苗木补植等项目的管护；②环境卫生保洁, 绿化带环境卫生保洁，绿化带边坡清理；③设施维护, 绿道、平侧石、灯光设施、座椅、公交驿站、旅游驿站、旅游标识、停车场、 景观节点等设施管理维修（包括材料）；④排水系统日常维护， 明沟、暗沟、沟盖板、排水井等维护；（包括附属设施及材料）⑤其它绿化带范围内的建筑设施等。管护范围不包括主干路的路基、路面的养护。2、养护范围：美丽乡村景观线绿化带（一般 15 米左右，不超过 30 米）范围内，景观节点宽度可适当延伸。管护范围：美丽乡村景观线建设区级财政补助区域，具体由镇（开发区） 在景观线与周边农田、鱼塘、村庄设定界桩，并以区交通局提供的测绘数据为准。3、养护单位需负责养护区域的四季草花种植。4、以招标人对上合同中约定的内容为准。</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5461467D4B894F18ACF9B43F5060056F_13</vt:lpwstr>
  </property>
</Properties>
</file>