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7085674"/>
      <w:bookmarkStart w:id="1" w:name="_Toc246996160"/>
      <w:bookmarkStart w:id="2" w:name="_Toc179632530"/>
      <w:bookmarkStart w:id="3" w:name="_Toc144974482"/>
      <w:bookmarkStart w:id="4" w:name="_Toc152042290"/>
      <w:bookmarkStart w:id="5" w:name="_Toc449509649"/>
      <w:bookmarkStart w:id="6" w:name="_Toc246996903"/>
      <w:bookmarkStart w:id="7" w:name="_Toc15204551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南浔生态宜居排水系统改造工程-生态酒店体育场设施提升项目--土建劳务</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3"/>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2024-N-076-下02  </w:t>
      </w:r>
    </w:p>
    <w:p w14:paraId="1AC5167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代理机构：</w:t>
      </w:r>
      <w:r>
        <w:rPr>
          <w:rFonts w:hint="eastAsia" w:ascii="仿宋_GB2312" w:hAnsi="仿宋_GB2312" w:eastAsia="仿宋_GB2312" w:cs="仿宋_GB2312"/>
          <w:b w:val="0"/>
          <w:bCs w:val="0"/>
          <w:sz w:val="32"/>
          <w:szCs w:val="32"/>
          <w:highlight w:val="none"/>
          <w:u w:val="single"/>
          <w:vertAlign w:val="baseline"/>
          <w:lang w:val="en-US" w:eastAsia="zh-CN"/>
        </w:rPr>
        <w:t>浙江金业管理咨询有限公司 （盖章）</w:t>
      </w:r>
    </w:p>
    <w:p w14:paraId="6FE4B2C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2024年11月 </w:t>
      </w:r>
    </w:p>
    <w:p w14:paraId="0A48687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E36714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F75DD7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5685BE2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5A925D9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64E3A1A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658402A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BD48D7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BCE7FC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842021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FA9403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0728B79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dxa"/>
            <w:noWrap w:val="0"/>
            <w:vAlign w:val="center"/>
          </w:tcPr>
          <w:p w14:paraId="6A677CD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南浔生态宜居排水系统改造工程-生态酒店体育场设施提升项目--土建劳务</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yellow"/>
                <w:vertAlign w:val="baseline"/>
                <w:lang w:val="en-US" w:eastAsia="zh-CN"/>
              </w:rPr>
              <w:t>湖州南浔城投资产经营集团有限公司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土建</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9" w:name="OLE_LINK4"/>
            <w:r>
              <w:rPr>
                <w:rFonts w:hint="eastAsia" w:ascii="仿宋_GB2312" w:hAnsi="仿宋_GB2312" w:eastAsia="仿宋_GB2312" w:cs="仿宋_GB2312"/>
                <w:sz w:val="28"/>
                <w:szCs w:val="28"/>
                <w:highlight w:val="none"/>
                <w:u w:val="single"/>
                <w:vertAlign w:val="baseline"/>
                <w:lang w:val="en-US" w:eastAsia="zh-CN"/>
              </w:rPr>
              <w:t>1766800元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湖州市南浔区生态酒店旁（招标人指定地点）</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sz w:val="28"/>
              <w:szCs w:val="28"/>
              <w:highlight w:val="none"/>
              <w:vertAlign w:val="baseline"/>
              <w:lang w:val="en-US" w:eastAsia="zh-CN"/>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本工程为网球场土建项目，具体施工内容以工程量清单为准，最终以招标人及业主单位要求为准，直至本工程满足功能性要求及设计单位、业主单位要求并竣工验收合格为止。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kern w:val="0"/>
                <w:sz w:val="28"/>
                <w:szCs w:val="28"/>
                <w:highlight w:val="none"/>
                <w:u w:val="single"/>
                <w:vertAlign w:val="baseline"/>
                <w:lang w:val="en-US" w:eastAsia="zh-CN" w:bidi="ar-SA"/>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钢筋，混凝土</w:t>
                </w:r>
              </w:sdtContent>
            </w:sdt>
            <w:r>
              <w:rPr>
                <w:rFonts w:hint="eastAsia" w:ascii="仿宋_GB2312" w:hAnsi="仿宋_GB2312" w:eastAsia="仿宋_GB2312" w:cs="仿宋_GB2312"/>
                <w:kern w:val="0"/>
                <w:sz w:val="28"/>
                <w:szCs w:val="28"/>
                <w:highlight w:val="none"/>
                <w:u w:val="single"/>
                <w:vertAlign w:val="baseline"/>
                <w:lang w:val="en-US" w:eastAsia="zh-CN" w:bidi="ar-SA"/>
              </w:rPr>
              <w:t xml:space="preserve"> </w:t>
            </w:r>
          </w:p>
          <w:p w14:paraId="4EB98406">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7" w:type="dxa"/>
            <w:noWrap w:val="0"/>
            <w:vAlign w:val="center"/>
          </w:tcPr>
          <w:p w14:paraId="4416EF3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6468BB42">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w:t>
            </w:r>
          </w:p>
          <w:p w14:paraId="08F2CC14">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5DEE3E27">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336649A2">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yellow"/>
                <w:u w:val="single"/>
                <w:vertAlign w:val="baseline"/>
                <w:lang w:val="en-US" w:eastAsia="zh-CN"/>
              </w:rPr>
              <w:t>劳务</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施工劳务资质 </w:t>
            </w:r>
            <w:r>
              <w:rPr>
                <w:rFonts w:hint="eastAsia" w:ascii="仿宋_GB2312" w:hAnsi="仿宋_GB2312" w:eastAsia="仿宋_GB2312" w:cs="仿宋_GB2312"/>
                <w:sz w:val="28"/>
                <w:szCs w:val="28"/>
                <w:highlight w:val="none"/>
                <w:u w:val="none"/>
                <w:vertAlign w:val="baseline"/>
                <w:lang w:val="en-US" w:eastAsia="zh-CN"/>
              </w:rPr>
              <w:t>。</w:t>
            </w:r>
          </w:p>
          <w:p w14:paraId="0AEF60B3">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注：二者满足其一即可。</w:t>
            </w:r>
            <w:r>
              <w:rPr>
                <w:rFonts w:hint="default" w:ascii="仿宋_GB2312" w:hAnsi="仿宋_GB2312" w:eastAsia="仿宋_GB2312" w:cs="仿宋_GB2312"/>
                <w:i w:val="0"/>
                <w:iCs w:val="0"/>
                <w:caps w:val="0"/>
                <w:color w:val="000000"/>
                <w:spacing w:val="0"/>
                <w:sz w:val="28"/>
                <w:szCs w:val="28"/>
                <w:highlight w:val="none"/>
                <w:shd w:val="clear"/>
              </w:rPr>
              <w:t>本</w:t>
            </w:r>
            <w:r>
              <w:rPr>
                <w:rFonts w:hint="default" w:ascii="仿宋_GB2312" w:hAnsi="仿宋_GB2312" w:eastAsia="仿宋_GB2312" w:cs="仿宋_GB2312"/>
                <w:i w:val="0"/>
                <w:iCs w:val="0"/>
                <w:caps w:val="0"/>
                <w:spacing w:val="0"/>
                <w:sz w:val="28"/>
                <w:szCs w:val="28"/>
                <w:highlight w:val="none"/>
                <w:u w:val="none"/>
                <w:shd w:val="clear"/>
              </w:rPr>
              <w:t>项目拒绝接受被录入检察机关行贿犯罪档案的投标人；拒绝被有关行政监管部门通报限制投标且在限制期内的投标人</w:t>
            </w:r>
            <w:r>
              <w:rPr>
                <w:rFonts w:hint="default" w:ascii="仿宋_GB2312" w:hAnsi="仿宋_GB2312" w:eastAsia="仿宋_GB2312" w:cs="仿宋_GB2312"/>
                <w:i w:val="0"/>
                <w:iCs w:val="0"/>
                <w:caps w:val="0"/>
                <w:spacing w:val="0"/>
                <w:sz w:val="28"/>
                <w:szCs w:val="28"/>
                <w:highlight w:val="none"/>
                <w:u w:val="none"/>
                <w:shd w:val="clear"/>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lang w:val="en-US" w:eastAsia="zh-CN"/>
              </w:rPr>
              <w:t>无</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10.5%</w:t>
            </w:r>
            <w:r>
              <w:rPr>
                <w:rFonts w:hint="eastAsia" w:ascii="仿宋_GB2312" w:hAnsi="仿宋_GB2312" w:eastAsia="仿宋_GB2312" w:cs="仿宋_GB2312"/>
                <w:color w:val="000000"/>
                <w:sz w:val="28"/>
                <w:szCs w:val="28"/>
                <w:highlight w:val="yellow"/>
                <w:lang w:val="en-US" w:eastAsia="zh-CN"/>
              </w:rPr>
              <w:t>（不含招标人与业主单位的合同下浮费率 6%）</w:t>
            </w:r>
            <w:r>
              <w:rPr>
                <w:rFonts w:hint="eastAsia" w:ascii="仿宋_GB2312" w:hAnsi="仿宋_GB2312" w:eastAsia="仿宋_GB2312" w:cs="仿宋_GB2312"/>
                <w:color w:val="000000"/>
                <w:sz w:val="28"/>
                <w:szCs w:val="28"/>
                <w:highlight w:val="none"/>
                <w:lang w:val="en-US" w:eastAsia="zh-CN"/>
              </w:rPr>
              <w:t>，投标报价不得小于招标控制价基础下浮率，否则作为废标处理。</w:t>
            </w:r>
          </w:p>
          <w:p w14:paraId="134A3CD9">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p w14:paraId="59852B77">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yellow"/>
                <w:lang w:val="en-US" w:eastAsia="zh-CN"/>
              </w:rPr>
              <w:t>注：该项目的围挡建设费用由中标单位支付，费用按本项目最终成交价占生态酒店土建劳务、地面及围网、膜结构项目这三个项目的总费用的比例来计算</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6147</w:t>
            </w:r>
            <w:r>
              <w:rPr>
                <w:rFonts w:hint="eastAsia" w:ascii="仿宋_GB2312" w:hAnsi="仿宋_GB2312" w:eastAsia="仿宋_GB2312" w:cs="仿宋_GB2312"/>
                <w:b/>
                <w:bCs/>
                <w:color w:val="auto"/>
                <w:sz w:val="28"/>
                <w:szCs w:val="28"/>
                <w:highlight w:val="none"/>
                <w:lang w:val="en-US" w:eastAsia="zh-CN"/>
              </w:rPr>
              <w:t>元，由中标单位承担。</w:t>
            </w:r>
          </w:p>
        </w:tc>
      </w:tr>
    </w:tbl>
    <w:p w14:paraId="7DB1605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7250"/>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top"/>
          </w:tcPr>
          <w:p w14:paraId="745C671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2" w:type="pct"/>
            <w:noWrap w:val="0"/>
            <w:vAlign w:val="center"/>
          </w:tcPr>
          <w:p w14:paraId="287BB62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2C29D84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2" w:type="pct"/>
            <w:noWrap w:val="0"/>
            <w:vAlign w:val="center"/>
          </w:tcPr>
          <w:p w14:paraId="484E9FF6">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11</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8</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13</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2706B1A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2" w:type="pct"/>
            <w:noWrap w:val="0"/>
            <w:vAlign w:val="center"/>
          </w:tcPr>
          <w:p w14:paraId="6621AB7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p w14:paraId="650328D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浙江金业管理咨询有限公司：王天择 0572-2558688</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575DF94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2" w:type="pct"/>
            <w:noWrap w:val="0"/>
            <w:vAlign w:val="center"/>
          </w:tcPr>
          <w:p w14:paraId="649399A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湖州南浔城投城市建设集团有限公司二</w:t>
            </w:r>
            <w:r>
              <w:rPr>
                <w:rFonts w:hint="eastAsia" w:ascii="仿宋_GB2312" w:hAnsi="仿宋_GB2312" w:eastAsia="仿宋_GB2312" w:cs="仿宋_GB2312"/>
                <w:sz w:val="28"/>
                <w:szCs w:val="28"/>
                <w:highlight w:val="none"/>
                <w:u w:val="none"/>
                <w:lang w:eastAsia="zh-CN"/>
              </w:rPr>
              <w:t>楼开标室</w:t>
            </w:r>
            <w:r>
              <w:rPr>
                <w:rFonts w:hint="eastAsia" w:ascii="仿宋_GB2312" w:hAnsi="仿宋_GB2312" w:eastAsia="仿宋_GB2312" w:cs="仿宋_GB2312"/>
                <w:sz w:val="28"/>
                <w:szCs w:val="28"/>
                <w:highlight w:val="none"/>
                <w:u w:val="none"/>
                <w:lang w:val="en-US" w:eastAsia="zh-CN"/>
              </w:rPr>
              <w:t>(214</w:t>
            </w:r>
            <w:bookmarkStart w:id="12" w:name="_GoBack"/>
            <w:bookmarkEnd w:id="12"/>
            <w:r>
              <w:rPr>
                <w:rFonts w:hint="eastAsia" w:ascii="仿宋_GB2312" w:hAnsi="仿宋_GB2312" w:eastAsia="仿宋_GB2312" w:cs="仿宋_GB2312"/>
                <w:sz w:val="28"/>
                <w:szCs w:val="28"/>
                <w:highlight w:val="none"/>
                <w:u w:val="none"/>
                <w:lang w:val="en-US" w:eastAsia="zh-CN"/>
              </w:rPr>
              <w:t>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7A7CDA9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2" w:type="pct"/>
            <w:noWrap w:val="0"/>
            <w:vAlign w:val="center"/>
          </w:tcPr>
          <w:p w14:paraId="7BAE2F8C">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noWrap w:val="0"/>
            <w:vAlign w:val="center"/>
          </w:tcPr>
          <w:p w14:paraId="015A079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2" w:type="pct"/>
            <w:noWrap w:val="0"/>
            <w:vAlign w:val="center"/>
          </w:tcPr>
          <w:p w14:paraId="098CA5A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资格部分</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6F52FDE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7F1A57C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1、工商营业执照复印件</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97" w:type="pct"/>
            <w:vMerge w:val="continue"/>
            <w:noWrap w:val="0"/>
            <w:vAlign w:val="top"/>
          </w:tcPr>
          <w:p w14:paraId="2ED72C0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09CE72C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2、资质证书复印件、安全生产许可证复印件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073E8CA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58267AB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3、法定代表人身份证明</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5A48946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6100E52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4、法定代表人授权委托书</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4759276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121460C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5、《承诺书》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26BBD5C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2CB0067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6、《安全生产目标管理责任书》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0516287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1E8AF8D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7、《廉洁自律承诺书》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65FE5DF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6EBAD38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8、《不参与围标串标承诺书》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74305A3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3B35C3A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3B0A78A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4CDE648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10、项目管理机构配备情况表</w:t>
            </w:r>
          </w:p>
        </w:tc>
      </w:tr>
      <w:tr w14:paraId="55D7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14B9BFA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32218D1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技术部分</w:t>
            </w:r>
          </w:p>
        </w:tc>
      </w:tr>
      <w:tr w14:paraId="7CBA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125DB2E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01EB00A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11、服务方案</w:t>
            </w:r>
          </w:p>
        </w:tc>
      </w:tr>
      <w:tr w14:paraId="2EEC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7EA0152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1365DF9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12、重点难点分析</w:t>
            </w:r>
          </w:p>
        </w:tc>
      </w:tr>
      <w:tr w14:paraId="61F6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636A7DA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254C200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13、拟投入项目人员</w:t>
            </w:r>
          </w:p>
        </w:tc>
      </w:tr>
      <w:tr w14:paraId="509A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46F9ED3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691EC66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14、对本项目有效的改进措施和合理化的建议</w:t>
            </w:r>
          </w:p>
        </w:tc>
      </w:tr>
      <w:tr w14:paraId="1E69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2970FD6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02BB9B8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15、服务保障</w:t>
            </w:r>
          </w:p>
        </w:tc>
      </w:tr>
      <w:tr w14:paraId="1866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2200084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731CDA9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16、企业业绩</w:t>
            </w:r>
          </w:p>
        </w:tc>
      </w:tr>
      <w:tr w14:paraId="61DB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7BA43DA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42B3E80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报价部分</w:t>
            </w:r>
          </w:p>
        </w:tc>
      </w:tr>
      <w:tr w14:paraId="4CF8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56D4E23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48DD813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17、投标函</w:t>
            </w:r>
          </w:p>
        </w:tc>
      </w:tr>
      <w:tr w14:paraId="678F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4A57A4F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4E49744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18、投标人认为需要提供的其它资料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34D77BA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36F15AF8">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3680DB26">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7340C8F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2" w:type="pct"/>
            <w:noWrap w:val="0"/>
            <w:vAlign w:val="center"/>
          </w:tcPr>
          <w:p w14:paraId="59EDBA11">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08213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投标人的最终得分=报价得分+技术标得分</w:t>
      </w:r>
    </w:p>
    <w:p w14:paraId="4511DFE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本工程报价总分70分，按以下标准评定。</w:t>
      </w:r>
    </w:p>
    <w:p w14:paraId="4A585A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A签：有效报价的平均值与次低值（所有报价中次高数值）的平均值</w:t>
      </w:r>
    </w:p>
    <w:p w14:paraId="1D76A6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B签：有效报价的平均值与最低值（所有报价中最高数值）的平均值</w:t>
      </w:r>
    </w:p>
    <w:p w14:paraId="6B355A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C签：有效报价的次低值（所有报价中次高数值）</w:t>
      </w:r>
    </w:p>
    <w:p w14:paraId="720D166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D签：有效报价的最低值（所有报价中最高数值）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70AA64C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当K值等于零时，得100分；　　</w:t>
      </w:r>
    </w:p>
    <w:p w14:paraId="5AE2FF2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当K值大于零时，K值每增1%，在总分上扣0.6分；　　</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当K值小于零时，K值每减1%，在总分上扣0.8分；</w:t>
      </w:r>
    </w:p>
    <w:p w14:paraId="41D40F2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bidi="ar"/>
        </w:rPr>
        <w:t>各投标班组最终价格得分=报价得分×</w:t>
      </w:r>
      <w:r>
        <w:rPr>
          <w:rFonts w:hint="eastAsia" w:ascii="仿宋_GB2312" w:hAnsi="仿宋_GB2312" w:eastAsia="仿宋_GB2312" w:cs="仿宋_GB2312"/>
          <w:sz w:val="28"/>
          <w:szCs w:val="28"/>
          <w:lang w:val="en-US" w:eastAsia="zh-CN" w:bidi="ar"/>
        </w:rPr>
        <w:t>7</w:t>
      </w:r>
      <w:r>
        <w:rPr>
          <w:rFonts w:hint="eastAsia" w:ascii="仿宋_GB2312" w:hAnsi="仿宋_GB2312" w:eastAsia="仿宋_GB2312" w:cs="仿宋_GB2312"/>
          <w:sz w:val="28"/>
          <w:szCs w:val="28"/>
          <w:lang w:bidi="ar"/>
        </w:rPr>
        <w:t>0%</w:t>
      </w:r>
      <w:r>
        <w:rPr>
          <w:rFonts w:hint="eastAsia" w:ascii="仿宋_GB2312" w:hAnsi="仿宋_GB2312" w:eastAsia="仿宋_GB2312" w:cs="仿宋_GB2312"/>
          <w:sz w:val="28"/>
          <w:szCs w:val="28"/>
          <w:lang w:eastAsia="zh-CN" w:bidi="ar"/>
        </w:rPr>
        <w:t>。</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43E8581C">
      <w:pPr>
        <w:numPr>
          <w:ilvl w:val="0"/>
          <w:numId w:val="1"/>
        </w:numPr>
        <w:shd w:val="clear"/>
        <w:spacing w:line="40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07F8A70A">
      <w:pPr>
        <w:numPr>
          <w:ilvl w:val="0"/>
          <w:numId w:val="1"/>
        </w:numPr>
        <w:shd w:val="clear"/>
        <w:spacing w:line="40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cyan"/>
          <w:lang w:val="en-US" w:eastAsia="zh-CN"/>
        </w:rPr>
        <w:t>技术标得分。</w:t>
      </w:r>
      <w:r>
        <w:rPr>
          <w:rFonts w:hint="eastAsia" w:ascii="仿宋_GB2312" w:hAnsi="仿宋_GB2312" w:eastAsia="仿宋_GB2312" w:cs="仿宋_GB2312"/>
          <w:sz w:val="28"/>
          <w:szCs w:val="28"/>
          <w:lang w:val="en-US" w:eastAsia="zh-CN"/>
        </w:rPr>
        <w:t>技术标总分100分，按以下标准评定。</w:t>
      </w:r>
    </w:p>
    <w:tbl>
      <w:tblPr>
        <w:tblStyle w:val="14"/>
        <w:tblW w:w="5160"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989"/>
        <w:gridCol w:w="5815"/>
        <w:gridCol w:w="887"/>
      </w:tblGrid>
      <w:tr w14:paraId="2BB4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60" w:type="dxa"/>
            <w:tcBorders>
              <w:bottom w:val="single" w:color="auto" w:sz="4" w:space="0"/>
            </w:tcBorders>
            <w:noWrap w:val="0"/>
            <w:vAlign w:val="center"/>
          </w:tcPr>
          <w:p w14:paraId="19A1A4DC">
            <w:pPr>
              <w:shd w:val="clear"/>
              <w:spacing w:line="500" w:lineRule="exact"/>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序号</w:t>
            </w:r>
          </w:p>
        </w:tc>
        <w:tc>
          <w:tcPr>
            <w:tcW w:w="7804" w:type="dxa"/>
            <w:gridSpan w:val="2"/>
            <w:tcBorders>
              <w:bottom w:val="single" w:color="auto" w:sz="4" w:space="0"/>
            </w:tcBorders>
            <w:noWrap w:val="0"/>
            <w:vAlign w:val="center"/>
          </w:tcPr>
          <w:p w14:paraId="28381825">
            <w:pPr>
              <w:shd w:val="clear"/>
              <w:spacing w:line="500" w:lineRule="exact"/>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评分内容</w:t>
            </w:r>
          </w:p>
        </w:tc>
        <w:tc>
          <w:tcPr>
            <w:tcW w:w="887" w:type="dxa"/>
            <w:tcBorders>
              <w:bottom w:val="single" w:color="auto" w:sz="4" w:space="0"/>
            </w:tcBorders>
            <w:noWrap w:val="0"/>
            <w:vAlign w:val="center"/>
          </w:tcPr>
          <w:p w14:paraId="6C27FB0B">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rPr>
              <w:t>最高</w:t>
            </w:r>
          </w:p>
          <w:p w14:paraId="2A46C51C">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rPr>
              <w:t>得分</w:t>
            </w:r>
          </w:p>
        </w:tc>
      </w:tr>
      <w:tr w14:paraId="5969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660" w:type="dxa"/>
            <w:noWrap w:val="0"/>
            <w:vAlign w:val="center"/>
          </w:tcPr>
          <w:p w14:paraId="4F7FBE0D">
            <w:pPr>
              <w:shd w:val="clea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1</w:t>
            </w:r>
          </w:p>
        </w:tc>
        <w:tc>
          <w:tcPr>
            <w:tcW w:w="1989" w:type="dxa"/>
            <w:noWrap w:val="0"/>
            <w:vAlign w:val="center"/>
          </w:tcPr>
          <w:p w14:paraId="400AB0C1">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服务方案</w:t>
            </w:r>
          </w:p>
        </w:tc>
        <w:tc>
          <w:tcPr>
            <w:tcW w:w="5815" w:type="dxa"/>
            <w:noWrap w:val="0"/>
            <w:vAlign w:val="center"/>
          </w:tcPr>
          <w:p w14:paraId="5752EE1C">
            <w:pPr>
              <w:shd w:val="clear"/>
              <w:spacing w:line="240" w:lineRule="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rPr>
              <w:t>服务方案</w:t>
            </w:r>
            <w:r>
              <w:rPr>
                <w:rFonts w:hint="eastAsia" w:ascii="仿宋" w:hAnsi="仿宋" w:eastAsia="仿宋" w:cs="仿宋"/>
                <w:color w:val="FF0000"/>
                <w:sz w:val="24"/>
                <w:szCs w:val="24"/>
                <w:highlight w:val="none"/>
                <w:lang w:val="en-US" w:eastAsia="zh-CN"/>
              </w:rPr>
              <w:t>从</w:t>
            </w:r>
            <w:r>
              <w:rPr>
                <w:rFonts w:hint="eastAsia" w:ascii="仿宋" w:hAnsi="仿宋" w:eastAsia="仿宋" w:cs="仿宋"/>
                <w:color w:val="FF0000"/>
                <w:sz w:val="24"/>
                <w:szCs w:val="24"/>
                <w:highlight w:val="none"/>
              </w:rPr>
              <w:t>运行管理模式</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实施方案等方面入手，</w:t>
            </w:r>
            <w:r>
              <w:rPr>
                <w:rFonts w:hint="eastAsia" w:ascii="仿宋" w:hAnsi="仿宋" w:eastAsia="仿宋" w:cs="仿宋"/>
                <w:color w:val="FF0000"/>
                <w:sz w:val="24"/>
                <w:szCs w:val="24"/>
                <w:highlight w:val="none"/>
              </w:rPr>
              <w:t>方案合理、详细的</w:t>
            </w:r>
            <w:r>
              <w:rPr>
                <w:rFonts w:hint="eastAsia" w:ascii="仿宋" w:hAnsi="仿宋" w:eastAsia="仿宋" w:cs="仿宋"/>
                <w:color w:val="FF0000"/>
                <w:sz w:val="24"/>
                <w:szCs w:val="24"/>
                <w:highlight w:val="none"/>
                <w:lang w:val="en-US" w:eastAsia="zh-CN"/>
              </w:rPr>
              <w:t>得20分；</w:t>
            </w:r>
            <w:r>
              <w:rPr>
                <w:rFonts w:hint="eastAsia" w:ascii="仿宋" w:hAnsi="仿宋" w:eastAsia="仿宋" w:cs="仿宋"/>
                <w:color w:val="FF0000"/>
                <w:sz w:val="24"/>
                <w:szCs w:val="24"/>
                <w:highlight w:val="none"/>
              </w:rPr>
              <w:t>方案欠缺或不完整的每项扣</w:t>
            </w:r>
            <w:r>
              <w:rPr>
                <w:rFonts w:hint="eastAsia" w:ascii="仿宋" w:hAnsi="仿宋" w:eastAsia="仿宋" w:cs="仿宋"/>
                <w:color w:val="FF0000"/>
                <w:sz w:val="24"/>
                <w:szCs w:val="24"/>
                <w:highlight w:val="none"/>
                <w:lang w:val="en-US" w:eastAsia="zh-CN"/>
              </w:rPr>
              <w:t>5</w:t>
            </w:r>
            <w:r>
              <w:rPr>
                <w:rFonts w:hint="eastAsia" w:ascii="仿宋" w:hAnsi="仿宋" w:eastAsia="仿宋" w:cs="仿宋"/>
                <w:color w:val="FF0000"/>
                <w:sz w:val="24"/>
                <w:szCs w:val="24"/>
                <w:highlight w:val="none"/>
              </w:rPr>
              <w:t>分，扣完为止</w:t>
            </w:r>
            <w:r>
              <w:rPr>
                <w:rFonts w:hint="eastAsia" w:ascii="仿宋" w:hAnsi="仿宋" w:eastAsia="仿宋" w:cs="仿宋"/>
                <w:color w:val="FF0000"/>
                <w:sz w:val="24"/>
                <w:szCs w:val="24"/>
                <w:highlight w:val="none"/>
                <w:lang w:val="en-US" w:eastAsia="zh-CN"/>
              </w:rPr>
              <w:t>.</w:t>
            </w:r>
          </w:p>
        </w:tc>
        <w:tc>
          <w:tcPr>
            <w:tcW w:w="887" w:type="dxa"/>
            <w:noWrap w:val="0"/>
            <w:vAlign w:val="center"/>
          </w:tcPr>
          <w:p w14:paraId="617E1819">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20</w:t>
            </w:r>
            <w:r>
              <w:rPr>
                <w:rFonts w:hint="eastAsia" w:ascii="仿宋" w:hAnsi="仿宋" w:eastAsia="仿宋" w:cs="仿宋"/>
                <w:color w:val="FF0000"/>
                <w:sz w:val="24"/>
                <w:szCs w:val="24"/>
              </w:rPr>
              <w:t>分</w:t>
            </w:r>
          </w:p>
        </w:tc>
      </w:tr>
      <w:tr w14:paraId="2CCA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660" w:type="dxa"/>
            <w:noWrap w:val="0"/>
            <w:vAlign w:val="center"/>
          </w:tcPr>
          <w:p w14:paraId="0B562FA3">
            <w:pPr>
              <w:shd w:val="clea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2</w:t>
            </w:r>
          </w:p>
        </w:tc>
        <w:tc>
          <w:tcPr>
            <w:tcW w:w="1989" w:type="dxa"/>
            <w:noWrap w:val="0"/>
            <w:vAlign w:val="center"/>
          </w:tcPr>
          <w:p w14:paraId="3DA3877C">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重点难点分析</w:t>
            </w:r>
          </w:p>
        </w:tc>
        <w:tc>
          <w:tcPr>
            <w:tcW w:w="5815" w:type="dxa"/>
            <w:noWrap w:val="0"/>
            <w:vAlign w:val="center"/>
          </w:tcPr>
          <w:p w14:paraId="0CF51C8D">
            <w:pPr>
              <w:shd w:val="clear"/>
              <w:spacing w:line="240" w:lineRule="auto"/>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项目重点、难点的分析和解决方案精确、全面，解决方案具有针对性和可操作性的得</w:t>
            </w:r>
            <w:r>
              <w:rPr>
                <w:rFonts w:hint="eastAsia" w:ascii="仿宋" w:hAnsi="仿宋" w:eastAsia="仿宋" w:cs="仿宋"/>
                <w:color w:val="FF0000"/>
                <w:sz w:val="24"/>
                <w:szCs w:val="24"/>
                <w:highlight w:val="none"/>
                <w:lang w:val="en-US" w:eastAsia="zh-CN"/>
              </w:rPr>
              <w:t>10-14</w:t>
            </w:r>
            <w:r>
              <w:rPr>
                <w:rFonts w:hint="eastAsia" w:ascii="仿宋" w:hAnsi="仿宋" w:eastAsia="仿宋" w:cs="仿宋"/>
                <w:color w:val="FF0000"/>
                <w:sz w:val="24"/>
                <w:szCs w:val="24"/>
                <w:highlight w:val="none"/>
              </w:rPr>
              <w:t>分；重点难点分析基本合理但欠缺的得</w:t>
            </w:r>
            <w:r>
              <w:rPr>
                <w:rFonts w:hint="eastAsia" w:ascii="仿宋" w:hAnsi="仿宋" w:eastAsia="仿宋" w:cs="仿宋"/>
                <w:color w:val="FF0000"/>
                <w:sz w:val="24"/>
                <w:szCs w:val="24"/>
                <w:highlight w:val="none"/>
                <w:lang w:val="en-US" w:eastAsia="zh-CN"/>
              </w:rPr>
              <w:t>5-9</w:t>
            </w:r>
            <w:r>
              <w:rPr>
                <w:rFonts w:hint="eastAsia" w:ascii="仿宋" w:hAnsi="仿宋" w:eastAsia="仿宋" w:cs="仿宋"/>
                <w:color w:val="FF0000"/>
                <w:sz w:val="24"/>
                <w:szCs w:val="24"/>
                <w:highlight w:val="none"/>
              </w:rPr>
              <w:t>分；重点难点分析存在明显缺陷的，得0-</w:t>
            </w:r>
            <w:r>
              <w:rPr>
                <w:rFonts w:hint="eastAsia" w:ascii="仿宋" w:hAnsi="仿宋" w:eastAsia="仿宋" w:cs="仿宋"/>
                <w:color w:val="FF0000"/>
                <w:sz w:val="24"/>
                <w:szCs w:val="24"/>
                <w:highlight w:val="none"/>
                <w:lang w:val="en-US" w:eastAsia="zh-CN"/>
              </w:rPr>
              <w:t>4</w:t>
            </w:r>
            <w:r>
              <w:rPr>
                <w:rFonts w:hint="eastAsia" w:ascii="仿宋" w:hAnsi="仿宋" w:eastAsia="仿宋" w:cs="仿宋"/>
                <w:color w:val="FF0000"/>
                <w:sz w:val="24"/>
                <w:szCs w:val="24"/>
                <w:highlight w:val="none"/>
              </w:rPr>
              <w:t>分。</w:t>
            </w:r>
          </w:p>
        </w:tc>
        <w:tc>
          <w:tcPr>
            <w:tcW w:w="887" w:type="dxa"/>
            <w:noWrap w:val="0"/>
            <w:vAlign w:val="center"/>
          </w:tcPr>
          <w:p w14:paraId="1D51AC02">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14</w:t>
            </w:r>
            <w:r>
              <w:rPr>
                <w:rFonts w:hint="eastAsia" w:ascii="仿宋" w:hAnsi="仿宋" w:eastAsia="仿宋" w:cs="仿宋"/>
                <w:color w:val="FF0000"/>
                <w:sz w:val="24"/>
                <w:szCs w:val="24"/>
              </w:rPr>
              <w:t>分</w:t>
            </w:r>
          </w:p>
        </w:tc>
      </w:tr>
      <w:tr w14:paraId="32C4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60" w:type="dxa"/>
            <w:noWrap w:val="0"/>
            <w:vAlign w:val="center"/>
          </w:tcPr>
          <w:p w14:paraId="51858F20">
            <w:pPr>
              <w:shd w:val="clea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3</w:t>
            </w:r>
          </w:p>
        </w:tc>
        <w:tc>
          <w:tcPr>
            <w:tcW w:w="1989" w:type="dxa"/>
            <w:noWrap w:val="0"/>
            <w:vAlign w:val="center"/>
          </w:tcPr>
          <w:p w14:paraId="34256495">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安全文明保障方案</w:t>
            </w:r>
          </w:p>
        </w:tc>
        <w:tc>
          <w:tcPr>
            <w:tcW w:w="5815" w:type="dxa"/>
            <w:noWrap w:val="0"/>
            <w:vAlign w:val="top"/>
          </w:tcPr>
          <w:p w14:paraId="0AF5B27D">
            <w:pPr>
              <w:shd w:val="clear"/>
              <w:spacing w:line="240" w:lineRule="auto"/>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安全、文明施工保障措施是否符合政府部门及本项目要求，人员安全、车辆运输、项目施工过程的中各项安全文明是否均有体现、编制合理、科学、可操作性强</w:t>
            </w:r>
            <w:r>
              <w:rPr>
                <w:rFonts w:hint="eastAsia" w:ascii="仿宋" w:hAnsi="仿宋" w:eastAsia="仿宋" w:cs="仿宋"/>
                <w:color w:val="FF0000"/>
                <w:sz w:val="24"/>
                <w:szCs w:val="24"/>
                <w:highlight w:val="none"/>
                <w:lang w:eastAsia="zh-CN"/>
              </w:rPr>
              <w:t>的得</w:t>
            </w:r>
            <w:r>
              <w:rPr>
                <w:rFonts w:hint="eastAsia" w:ascii="仿宋" w:hAnsi="仿宋" w:eastAsia="仿宋" w:cs="仿宋"/>
                <w:color w:val="FF0000"/>
                <w:sz w:val="24"/>
                <w:szCs w:val="24"/>
                <w:highlight w:val="none"/>
                <w:lang w:val="en-US" w:eastAsia="zh-CN"/>
              </w:rPr>
              <w:t>10-14分</w:t>
            </w:r>
            <w:r>
              <w:rPr>
                <w:rFonts w:hint="eastAsia" w:ascii="仿宋" w:hAnsi="仿宋" w:eastAsia="仿宋" w:cs="仿宋"/>
                <w:color w:val="FF0000"/>
                <w:sz w:val="24"/>
                <w:szCs w:val="24"/>
                <w:highlight w:val="none"/>
              </w:rPr>
              <w:t>，编制合理、科学、可操作性</w:t>
            </w:r>
            <w:r>
              <w:rPr>
                <w:rFonts w:hint="eastAsia" w:ascii="仿宋" w:hAnsi="仿宋" w:eastAsia="仿宋" w:cs="仿宋"/>
                <w:color w:val="FF0000"/>
                <w:sz w:val="24"/>
                <w:szCs w:val="24"/>
                <w:highlight w:val="none"/>
                <w:lang w:eastAsia="zh-CN"/>
              </w:rPr>
              <w:t>一般</w:t>
            </w:r>
            <w:r>
              <w:rPr>
                <w:rFonts w:hint="eastAsia" w:ascii="仿宋" w:hAnsi="仿宋" w:eastAsia="仿宋" w:cs="仿宋"/>
                <w:color w:val="FF0000"/>
                <w:sz w:val="24"/>
                <w:szCs w:val="24"/>
                <w:highlight w:val="none"/>
              </w:rPr>
              <w:t>的得</w:t>
            </w:r>
            <w:r>
              <w:rPr>
                <w:rFonts w:hint="eastAsia" w:ascii="仿宋" w:hAnsi="仿宋" w:eastAsia="仿宋" w:cs="仿宋"/>
                <w:color w:val="FF0000"/>
                <w:sz w:val="24"/>
                <w:szCs w:val="24"/>
                <w:highlight w:val="none"/>
                <w:lang w:val="en-US" w:eastAsia="zh-CN"/>
              </w:rPr>
              <w:t>5-9</w:t>
            </w:r>
            <w:r>
              <w:rPr>
                <w:rFonts w:hint="eastAsia" w:ascii="仿宋" w:hAnsi="仿宋" w:eastAsia="仿宋" w:cs="仿宋"/>
                <w:color w:val="FF0000"/>
                <w:sz w:val="24"/>
                <w:szCs w:val="24"/>
                <w:highlight w:val="none"/>
              </w:rPr>
              <w:t>分，编制合理、科学、可操作性</w:t>
            </w:r>
            <w:r>
              <w:rPr>
                <w:rFonts w:hint="eastAsia" w:ascii="仿宋" w:hAnsi="仿宋" w:eastAsia="仿宋" w:cs="仿宋"/>
                <w:color w:val="FF0000"/>
                <w:sz w:val="24"/>
                <w:szCs w:val="24"/>
                <w:highlight w:val="none"/>
                <w:lang w:val="en-US" w:eastAsia="zh-CN"/>
              </w:rPr>
              <w:t>差</w:t>
            </w:r>
            <w:r>
              <w:rPr>
                <w:rFonts w:hint="eastAsia" w:ascii="仿宋" w:hAnsi="仿宋" w:eastAsia="仿宋" w:cs="仿宋"/>
                <w:color w:val="FF0000"/>
                <w:sz w:val="24"/>
                <w:szCs w:val="24"/>
                <w:highlight w:val="none"/>
              </w:rPr>
              <w:t>的</w:t>
            </w:r>
            <w:r>
              <w:rPr>
                <w:rFonts w:hint="eastAsia" w:ascii="仿宋" w:hAnsi="仿宋" w:eastAsia="仿宋" w:cs="仿宋"/>
                <w:color w:val="FF0000"/>
                <w:sz w:val="24"/>
                <w:szCs w:val="24"/>
                <w:highlight w:val="none"/>
                <w:lang w:val="en-US" w:eastAsia="zh-CN"/>
              </w:rPr>
              <w:t>得</w:t>
            </w:r>
            <w:r>
              <w:rPr>
                <w:rFonts w:hint="eastAsia" w:ascii="仿宋" w:hAnsi="仿宋" w:eastAsia="仿宋" w:cs="仿宋"/>
                <w:color w:val="FF0000"/>
                <w:sz w:val="24"/>
                <w:szCs w:val="24"/>
                <w:highlight w:val="none"/>
              </w:rPr>
              <w:t>0-</w:t>
            </w:r>
            <w:r>
              <w:rPr>
                <w:rFonts w:hint="eastAsia" w:ascii="仿宋" w:hAnsi="仿宋" w:eastAsia="仿宋" w:cs="仿宋"/>
                <w:color w:val="FF0000"/>
                <w:sz w:val="24"/>
                <w:szCs w:val="24"/>
                <w:highlight w:val="none"/>
                <w:lang w:val="en-US" w:eastAsia="zh-CN"/>
              </w:rPr>
              <w:t>4分</w:t>
            </w:r>
          </w:p>
        </w:tc>
        <w:tc>
          <w:tcPr>
            <w:tcW w:w="887" w:type="dxa"/>
            <w:noWrap w:val="0"/>
            <w:vAlign w:val="center"/>
          </w:tcPr>
          <w:p w14:paraId="68B6F9EA">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14</w:t>
            </w:r>
            <w:r>
              <w:rPr>
                <w:rFonts w:hint="eastAsia" w:ascii="仿宋" w:hAnsi="仿宋" w:eastAsia="仿宋" w:cs="仿宋"/>
                <w:color w:val="FF0000"/>
                <w:sz w:val="24"/>
                <w:szCs w:val="24"/>
              </w:rPr>
              <w:t>分</w:t>
            </w:r>
          </w:p>
        </w:tc>
      </w:tr>
      <w:tr w14:paraId="3A97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60" w:type="dxa"/>
            <w:noWrap w:val="0"/>
            <w:vAlign w:val="center"/>
          </w:tcPr>
          <w:p w14:paraId="685C0C23">
            <w:pPr>
              <w:shd w:val="clear"/>
              <w:spacing w:line="500" w:lineRule="exact"/>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1989" w:type="dxa"/>
            <w:noWrap w:val="0"/>
            <w:vAlign w:val="center"/>
          </w:tcPr>
          <w:p w14:paraId="1718EE05">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管理制度</w:t>
            </w:r>
          </w:p>
        </w:tc>
        <w:tc>
          <w:tcPr>
            <w:tcW w:w="5815" w:type="dxa"/>
            <w:noWrap w:val="0"/>
            <w:vAlign w:val="top"/>
          </w:tcPr>
          <w:p w14:paraId="4B5F3B54">
            <w:pPr>
              <w:shd w:val="clear"/>
              <w:spacing w:line="240" w:lineRule="auto"/>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针对本项目制订的各项内部管理制度、考核监督制度等，视其制度的科学性、全面性、针对性及可操作性综合评审，其制度的科学性、全面性、针对性及可操作性</w:t>
            </w:r>
            <w:r>
              <w:rPr>
                <w:rFonts w:hint="eastAsia" w:ascii="仿宋" w:hAnsi="仿宋" w:eastAsia="仿宋" w:cs="仿宋"/>
                <w:color w:val="FF0000"/>
                <w:sz w:val="24"/>
                <w:szCs w:val="24"/>
                <w:highlight w:val="none"/>
                <w:lang w:eastAsia="zh-CN"/>
              </w:rPr>
              <w:t>强的得</w:t>
            </w:r>
            <w:r>
              <w:rPr>
                <w:rFonts w:hint="eastAsia" w:ascii="仿宋" w:hAnsi="仿宋" w:eastAsia="仿宋" w:cs="仿宋"/>
                <w:color w:val="FF0000"/>
                <w:sz w:val="24"/>
                <w:szCs w:val="24"/>
                <w:highlight w:val="none"/>
                <w:lang w:val="en-US" w:eastAsia="zh-CN"/>
              </w:rPr>
              <w:t>10-14分，一般的得5-9分，差的得0-4分</w:t>
            </w:r>
          </w:p>
        </w:tc>
        <w:tc>
          <w:tcPr>
            <w:tcW w:w="887" w:type="dxa"/>
            <w:noWrap w:val="0"/>
            <w:vAlign w:val="center"/>
          </w:tcPr>
          <w:p w14:paraId="0255120A">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14</w:t>
            </w:r>
            <w:r>
              <w:rPr>
                <w:rFonts w:hint="eastAsia" w:ascii="仿宋" w:hAnsi="仿宋" w:eastAsia="仿宋" w:cs="仿宋"/>
                <w:color w:val="FF0000"/>
                <w:sz w:val="24"/>
                <w:szCs w:val="24"/>
              </w:rPr>
              <w:t>分</w:t>
            </w:r>
          </w:p>
        </w:tc>
      </w:tr>
      <w:tr w14:paraId="0884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660" w:type="dxa"/>
            <w:noWrap w:val="0"/>
            <w:vAlign w:val="center"/>
          </w:tcPr>
          <w:p w14:paraId="24020678">
            <w:pPr>
              <w:shd w:val="clea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4</w:t>
            </w:r>
          </w:p>
        </w:tc>
        <w:tc>
          <w:tcPr>
            <w:tcW w:w="1989" w:type="dxa"/>
            <w:noWrap w:val="0"/>
            <w:vAlign w:val="center"/>
          </w:tcPr>
          <w:p w14:paraId="0D713279">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编制措施</w:t>
            </w:r>
          </w:p>
        </w:tc>
        <w:tc>
          <w:tcPr>
            <w:tcW w:w="5815" w:type="dxa"/>
            <w:noWrap w:val="0"/>
            <w:vAlign w:val="center"/>
          </w:tcPr>
          <w:p w14:paraId="1B716848">
            <w:pPr>
              <w:shd w:val="clear"/>
              <w:spacing w:line="240" w:lineRule="auto"/>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有效建议和措施每项得</w:t>
            </w:r>
            <w:r>
              <w:rPr>
                <w:rFonts w:hint="eastAsia" w:ascii="仿宋" w:hAnsi="仿宋" w:eastAsia="仿宋" w:cs="仿宋"/>
                <w:color w:val="FF0000"/>
                <w:sz w:val="24"/>
                <w:szCs w:val="24"/>
                <w:highlight w:val="none"/>
                <w:lang w:val="en-US" w:eastAsia="zh-CN"/>
              </w:rPr>
              <w:t>2</w:t>
            </w:r>
            <w:r>
              <w:rPr>
                <w:rFonts w:hint="eastAsia" w:ascii="仿宋" w:hAnsi="仿宋" w:eastAsia="仿宋" w:cs="仿宋"/>
                <w:color w:val="FF0000"/>
                <w:sz w:val="24"/>
                <w:szCs w:val="24"/>
                <w:highlight w:val="none"/>
              </w:rPr>
              <w:t>分，最高得</w:t>
            </w:r>
            <w:r>
              <w:rPr>
                <w:rFonts w:hint="eastAsia" w:ascii="仿宋" w:hAnsi="仿宋" w:eastAsia="仿宋" w:cs="仿宋"/>
                <w:color w:val="FF0000"/>
                <w:sz w:val="24"/>
                <w:szCs w:val="24"/>
                <w:highlight w:val="none"/>
                <w:lang w:val="en-US" w:eastAsia="zh-CN"/>
              </w:rPr>
              <w:t>6</w:t>
            </w:r>
            <w:r>
              <w:rPr>
                <w:rFonts w:hint="eastAsia" w:ascii="仿宋" w:hAnsi="仿宋" w:eastAsia="仿宋" w:cs="仿宋"/>
                <w:color w:val="FF0000"/>
                <w:sz w:val="24"/>
                <w:szCs w:val="24"/>
                <w:highlight w:val="none"/>
              </w:rPr>
              <w:t>分</w:t>
            </w:r>
          </w:p>
        </w:tc>
        <w:tc>
          <w:tcPr>
            <w:tcW w:w="887" w:type="dxa"/>
            <w:noWrap w:val="0"/>
            <w:vAlign w:val="center"/>
          </w:tcPr>
          <w:p w14:paraId="6DC13442">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6</w:t>
            </w:r>
            <w:r>
              <w:rPr>
                <w:rFonts w:hint="eastAsia" w:ascii="仿宋" w:hAnsi="仿宋" w:eastAsia="仿宋" w:cs="仿宋"/>
                <w:color w:val="FF0000"/>
                <w:sz w:val="24"/>
                <w:szCs w:val="24"/>
              </w:rPr>
              <w:t>分</w:t>
            </w:r>
          </w:p>
        </w:tc>
      </w:tr>
      <w:tr w14:paraId="4E91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660" w:type="dxa"/>
            <w:noWrap w:val="0"/>
            <w:vAlign w:val="center"/>
          </w:tcPr>
          <w:p w14:paraId="039033EC">
            <w:pPr>
              <w:shd w:val="clear"/>
              <w:spacing w:line="500" w:lineRule="exact"/>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1989" w:type="dxa"/>
            <w:noWrap w:val="0"/>
            <w:vAlign w:val="center"/>
          </w:tcPr>
          <w:p w14:paraId="62B54D3A">
            <w:pPr>
              <w:shd w:val="clear"/>
              <w:spacing w:line="500" w:lineRule="exact"/>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服务保障</w:t>
            </w:r>
          </w:p>
        </w:tc>
        <w:tc>
          <w:tcPr>
            <w:tcW w:w="5815" w:type="dxa"/>
            <w:noWrap w:val="0"/>
            <w:vAlign w:val="top"/>
          </w:tcPr>
          <w:p w14:paraId="72927F92">
            <w:pPr>
              <w:keepNext w:val="0"/>
              <w:keepLines w:val="0"/>
              <w:widowControl/>
              <w:suppressLineNumbers w:val="0"/>
              <w:shd w:val="clear"/>
              <w:jc w:val="left"/>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1</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rPr>
              <w:t>服务</w:t>
            </w:r>
            <w:r>
              <w:rPr>
                <w:rFonts w:hint="eastAsia" w:ascii="仿宋" w:hAnsi="仿宋" w:eastAsia="仿宋" w:cs="仿宋"/>
                <w:color w:val="FF0000"/>
                <w:sz w:val="24"/>
                <w:szCs w:val="24"/>
                <w:highlight w:val="none"/>
                <w:lang w:val="en-US" w:eastAsia="zh-CN"/>
              </w:rPr>
              <w:t>保障</w:t>
            </w:r>
            <w:r>
              <w:rPr>
                <w:rFonts w:hint="eastAsia" w:ascii="仿宋" w:hAnsi="仿宋" w:eastAsia="仿宋" w:cs="仿宋"/>
                <w:color w:val="FF0000"/>
                <w:sz w:val="24"/>
                <w:szCs w:val="24"/>
                <w:highlight w:val="none"/>
              </w:rPr>
              <w:t>方案和承诺以及人员到位时间承诺完整、可行，落实保障措施和其他承诺等全面周到的得</w:t>
            </w:r>
            <w:r>
              <w:rPr>
                <w:rFonts w:hint="eastAsia" w:ascii="仿宋" w:hAnsi="仿宋" w:eastAsia="仿宋" w:cs="仿宋"/>
                <w:color w:val="FF0000"/>
                <w:sz w:val="24"/>
                <w:szCs w:val="24"/>
                <w:highlight w:val="none"/>
                <w:lang w:val="en-US" w:eastAsia="zh-CN"/>
              </w:rPr>
              <w:t>10-14</w:t>
            </w:r>
            <w:r>
              <w:rPr>
                <w:rFonts w:hint="eastAsia" w:ascii="仿宋" w:hAnsi="仿宋" w:eastAsia="仿宋" w:cs="仿宋"/>
                <w:color w:val="FF0000"/>
                <w:sz w:val="24"/>
                <w:szCs w:val="24"/>
                <w:highlight w:val="none"/>
              </w:rPr>
              <w:t>分，服务方案不全面，落实保障措施和其他承诺欠缺的得</w:t>
            </w:r>
            <w:r>
              <w:rPr>
                <w:rFonts w:hint="eastAsia" w:ascii="仿宋" w:hAnsi="仿宋" w:eastAsia="仿宋" w:cs="仿宋"/>
                <w:color w:val="FF0000"/>
                <w:sz w:val="24"/>
                <w:szCs w:val="24"/>
                <w:highlight w:val="none"/>
                <w:lang w:val="en-US" w:eastAsia="zh-CN"/>
              </w:rPr>
              <w:t>0-9</w:t>
            </w:r>
            <w:r>
              <w:rPr>
                <w:rFonts w:hint="eastAsia" w:ascii="仿宋" w:hAnsi="仿宋" w:eastAsia="仿宋" w:cs="仿宋"/>
                <w:color w:val="FF0000"/>
                <w:sz w:val="24"/>
                <w:szCs w:val="24"/>
                <w:highlight w:val="none"/>
              </w:rPr>
              <w:t>分，除招标文件规定内容外无其他服务承诺的，该项不得分；</w:t>
            </w:r>
          </w:p>
          <w:p w14:paraId="58313959">
            <w:pPr>
              <w:keepNext w:val="0"/>
              <w:keepLines w:val="0"/>
              <w:widowControl/>
              <w:suppressLineNumbers w:val="0"/>
              <w:shd w:val="clear"/>
              <w:jc w:val="lef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rPr>
              <w:t>2.应急响应时间：在接到招标人通知（电话、电传等）后2小时内现场响应并开展工作的得</w:t>
            </w:r>
            <w:r>
              <w:rPr>
                <w:rFonts w:hint="eastAsia" w:ascii="仿宋" w:hAnsi="仿宋" w:eastAsia="仿宋" w:cs="仿宋"/>
                <w:color w:val="FF0000"/>
                <w:sz w:val="24"/>
                <w:szCs w:val="24"/>
                <w:highlight w:val="none"/>
                <w:lang w:val="en-US" w:eastAsia="zh-CN"/>
              </w:rPr>
              <w:t>6</w:t>
            </w:r>
            <w:r>
              <w:rPr>
                <w:rFonts w:hint="eastAsia" w:ascii="仿宋" w:hAnsi="仿宋" w:eastAsia="仿宋" w:cs="仿宋"/>
                <w:color w:val="FF0000"/>
                <w:sz w:val="24"/>
                <w:szCs w:val="24"/>
                <w:highlight w:val="none"/>
              </w:rPr>
              <w:t>分；</w:t>
            </w:r>
          </w:p>
        </w:tc>
        <w:tc>
          <w:tcPr>
            <w:tcW w:w="887" w:type="dxa"/>
            <w:noWrap w:val="0"/>
            <w:vAlign w:val="center"/>
          </w:tcPr>
          <w:p w14:paraId="22AF254F">
            <w:pPr>
              <w:shd w:val="clear"/>
              <w:spacing w:line="500" w:lineRule="exact"/>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20</w:t>
            </w:r>
            <w:r>
              <w:rPr>
                <w:rFonts w:hint="eastAsia" w:ascii="仿宋" w:hAnsi="仿宋" w:eastAsia="仿宋" w:cs="仿宋"/>
                <w:color w:val="FF0000"/>
                <w:sz w:val="24"/>
                <w:szCs w:val="24"/>
              </w:rPr>
              <w:t>分</w:t>
            </w:r>
          </w:p>
        </w:tc>
      </w:tr>
      <w:tr w14:paraId="7960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660" w:type="dxa"/>
            <w:noWrap w:val="0"/>
            <w:vAlign w:val="center"/>
          </w:tcPr>
          <w:p w14:paraId="616A3B9D">
            <w:pPr>
              <w:shd w:val="clear"/>
              <w:spacing w:line="340" w:lineRule="exact"/>
              <w:jc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7</w:t>
            </w:r>
          </w:p>
        </w:tc>
        <w:tc>
          <w:tcPr>
            <w:tcW w:w="1989" w:type="dxa"/>
            <w:noWrap w:val="0"/>
            <w:vAlign w:val="center"/>
          </w:tcPr>
          <w:p w14:paraId="0BEB91A2">
            <w:pPr>
              <w:shd w:val="clear"/>
              <w:spacing w:line="340" w:lineRule="exact"/>
              <w:jc w:val="center"/>
              <w:rPr>
                <w:rFonts w:hint="eastAsia" w:ascii="仿宋" w:hAnsi="仿宋" w:eastAsia="仿宋" w:cs="仿宋"/>
                <w:color w:val="FF0000"/>
                <w:sz w:val="24"/>
                <w:szCs w:val="24"/>
                <w:highlight w:val="none"/>
              </w:rPr>
            </w:pPr>
            <w:r>
              <w:rPr>
                <w:rFonts w:hint="eastAsia" w:ascii="仿宋" w:hAnsi="仿宋" w:eastAsia="仿宋" w:cs="仿宋"/>
                <w:color w:val="FF0000"/>
                <w:kern w:val="0"/>
                <w:sz w:val="24"/>
                <w:szCs w:val="24"/>
                <w:highlight w:val="none"/>
                <w:lang w:val="en-US" w:eastAsia="zh-CN" w:bidi="ar"/>
              </w:rPr>
              <w:t>应急保障措施</w:t>
            </w:r>
          </w:p>
        </w:tc>
        <w:tc>
          <w:tcPr>
            <w:tcW w:w="5815" w:type="dxa"/>
            <w:noWrap w:val="0"/>
            <w:vAlign w:val="center"/>
          </w:tcPr>
          <w:p w14:paraId="4CBC1DC7">
            <w:pPr>
              <w:keepNext w:val="0"/>
              <w:keepLines w:val="0"/>
              <w:widowControl/>
              <w:suppressLineNumbers w:val="0"/>
              <w:shd w:val="clear"/>
              <w:jc w:val="left"/>
              <w:rPr>
                <w:rFonts w:hint="eastAsia" w:ascii="仿宋" w:hAnsi="仿宋" w:eastAsia="仿宋" w:cs="仿宋"/>
                <w:color w:val="FF0000"/>
                <w:sz w:val="24"/>
                <w:szCs w:val="24"/>
                <w:highlight w:val="none"/>
              </w:rPr>
            </w:pPr>
            <w:r>
              <w:rPr>
                <w:rFonts w:hint="eastAsia" w:ascii="仿宋" w:hAnsi="仿宋" w:eastAsia="仿宋" w:cs="仿宋"/>
                <w:color w:val="FF0000"/>
                <w:kern w:val="0"/>
                <w:sz w:val="24"/>
                <w:szCs w:val="24"/>
                <w:highlight w:val="none"/>
                <w:lang w:val="en-US" w:eastAsia="zh-CN" w:bidi="ar"/>
              </w:rPr>
              <w:t>根据投标人提供的应急保障措施（突发事件应急处理及重大活动保障的人员配置、机械配置、应急处置方案，落实专职人员等内容）,视其方案是否覆盖全面，是否科学合理，是否具有针对性和可操作性等进行综合评审，本项最高得12分。</w:t>
            </w:r>
          </w:p>
        </w:tc>
        <w:tc>
          <w:tcPr>
            <w:tcW w:w="887" w:type="dxa"/>
            <w:noWrap w:val="0"/>
            <w:vAlign w:val="center"/>
          </w:tcPr>
          <w:p w14:paraId="0A617D54">
            <w:pPr>
              <w:shd w:val="clear"/>
              <w:spacing w:line="500" w:lineRule="exact"/>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12分</w:t>
            </w:r>
          </w:p>
        </w:tc>
      </w:tr>
    </w:tbl>
    <w:p w14:paraId="6F3CBAB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bidi="ar"/>
        </w:rPr>
        <w:t>各投标班组最终</w:t>
      </w:r>
      <w:r>
        <w:rPr>
          <w:rFonts w:hint="eastAsia" w:ascii="仿宋_GB2312" w:hAnsi="仿宋_GB2312" w:eastAsia="仿宋_GB2312" w:cs="仿宋_GB2312"/>
          <w:sz w:val="28"/>
          <w:szCs w:val="28"/>
          <w:lang w:val="en-US" w:eastAsia="zh-CN" w:bidi="ar"/>
        </w:rPr>
        <w:t>技术</w:t>
      </w:r>
      <w:r>
        <w:rPr>
          <w:rFonts w:hint="eastAsia" w:ascii="仿宋_GB2312" w:hAnsi="仿宋_GB2312" w:eastAsia="仿宋_GB2312" w:cs="仿宋_GB2312"/>
          <w:sz w:val="28"/>
          <w:szCs w:val="28"/>
          <w:lang w:bidi="ar"/>
        </w:rPr>
        <w:t>得分=</w:t>
      </w:r>
      <w:r>
        <w:rPr>
          <w:rFonts w:hint="eastAsia" w:ascii="仿宋_GB2312" w:hAnsi="仿宋_GB2312" w:eastAsia="仿宋_GB2312" w:cs="仿宋_GB2312"/>
          <w:sz w:val="28"/>
          <w:szCs w:val="28"/>
          <w:lang w:val="en-US" w:eastAsia="zh-CN" w:bidi="ar"/>
        </w:rPr>
        <w:t>技术</w:t>
      </w:r>
      <w:r>
        <w:rPr>
          <w:rFonts w:hint="eastAsia" w:ascii="仿宋_GB2312" w:hAnsi="仿宋_GB2312" w:eastAsia="仿宋_GB2312" w:cs="仿宋_GB2312"/>
          <w:sz w:val="28"/>
          <w:szCs w:val="28"/>
          <w:lang w:bidi="ar"/>
        </w:rPr>
        <w:t>得分×</w:t>
      </w:r>
      <w:r>
        <w:rPr>
          <w:rFonts w:hint="eastAsia" w:ascii="仿宋_GB2312" w:hAnsi="仿宋_GB2312" w:eastAsia="仿宋_GB2312" w:cs="仿宋_GB2312"/>
          <w:sz w:val="28"/>
          <w:szCs w:val="28"/>
          <w:lang w:val="en-US" w:eastAsia="zh-CN" w:bidi="ar"/>
        </w:rPr>
        <w:t>3</w:t>
      </w:r>
      <w:r>
        <w:rPr>
          <w:rFonts w:hint="eastAsia" w:ascii="仿宋_GB2312" w:hAnsi="仿宋_GB2312" w:eastAsia="仿宋_GB2312" w:cs="仿宋_GB2312"/>
          <w:sz w:val="28"/>
          <w:szCs w:val="28"/>
          <w:lang w:bidi="ar"/>
        </w:rPr>
        <w:t>0%</w:t>
      </w:r>
    </w:p>
    <w:p w14:paraId="64A3291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5D1A0A62">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p>
    <w:p w14:paraId="78FC1007">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因此给招标人造成损失的，由投标人承担并赔偿招标人的一切损失。</w:t>
      </w:r>
    </w:p>
    <w:p w14:paraId="1189112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2、因业主单位原因导致本工程工程量增减、合同止或终止等，招标人接受并同意的，本工程中标人一并接受和同意，由此对中标人可能造成的损失由中标人自行承担。</w:t>
      </w:r>
    </w:p>
    <w:p w14:paraId="1F1E05C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6CD3B31D">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附件2：参考预算（以现场实际及最终审计为准）</w:t>
      </w:r>
    </w:p>
    <w:p w14:paraId="015EBFB6">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2"/>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1C48763D">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2"/>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承诺书</w:t>
      </w:r>
    </w:p>
    <w:p w14:paraId="2C3336F0">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2FDD9C9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0566B678">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0F145FE9">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0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2"/>
        <w:keepNext w:val="0"/>
        <w:keepLines w:val="0"/>
        <w:pageBreakBefore w:val="0"/>
        <w:kinsoku/>
        <w:wordWrap/>
        <w:overflowPunct/>
        <w:topLinePunct w:val="0"/>
        <w:bidi w:val="0"/>
        <w:snapToGrid/>
        <w:spacing w:after="0" w:afterLines="0" w:line="50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南浔生态宜居排水系统改造工程-生态酒店体育场设施提升项目--土建劳务</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湖州市南浔区生态酒店旁（招标人指定地点）</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本工程为网球场土建项目，具体施工内容以工程量清单为准，最终以招标人及业主单位要求为准，直至本工程满足功能性要求及设计单位、业主单位要求并竣工验收合格为止。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2"/>
        <w:keepNext w:val="0"/>
        <w:keepLines w:val="0"/>
        <w:pageBreakBefore w:val="0"/>
        <w:numPr>
          <w:ilvl w:val="0"/>
          <w:numId w:val="0"/>
        </w:numPr>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钢筋，混凝土</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0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0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0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0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0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0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0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0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0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w:t>
      </w:r>
    </w:p>
    <w:p w14:paraId="7469886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0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0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0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诉讼费、律师费、财产保全费、因财产保全向保险公司购买保单的保险费等均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w:t>
      </w:r>
      <w:r>
        <w:rPr>
          <w:rFonts w:hint="eastAsia" w:ascii="仿宋_GB2312" w:hAnsi="仿宋_GB2312" w:eastAsia="仿宋_GB2312" w:cs="仿宋_GB2312"/>
          <w:color w:val="auto"/>
          <w:sz w:val="28"/>
          <w:szCs w:val="28"/>
          <w:lang w:val="en-US" w:eastAsia="zh-CN"/>
        </w:rPr>
        <w:t>诉讼</w:t>
      </w:r>
      <w:r>
        <w:rPr>
          <w:rFonts w:hint="eastAsia" w:ascii="仿宋_GB2312" w:hAnsi="仿宋_GB2312" w:eastAsia="仿宋_GB2312" w:cs="仿宋_GB2312"/>
          <w:color w:val="auto"/>
          <w:sz w:val="28"/>
          <w:szCs w:val="28"/>
          <w:lang w:val="zh-CN"/>
        </w:rPr>
        <w:t>过程中，双方应执行争议部分之外的其他合同条款。</w:t>
      </w:r>
    </w:p>
    <w:p w14:paraId="40B44BC1">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2"/>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2"/>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2"/>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8"/>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9"/>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2B2003"/>
    <w:rsid w:val="024D517C"/>
    <w:rsid w:val="02BC3862"/>
    <w:rsid w:val="02BC5875"/>
    <w:rsid w:val="03004097"/>
    <w:rsid w:val="036F73CD"/>
    <w:rsid w:val="055F2BCB"/>
    <w:rsid w:val="05C27936"/>
    <w:rsid w:val="060D2627"/>
    <w:rsid w:val="0664493D"/>
    <w:rsid w:val="07034D03"/>
    <w:rsid w:val="08A300C3"/>
    <w:rsid w:val="08FB4D60"/>
    <w:rsid w:val="096176C5"/>
    <w:rsid w:val="0A2B40C2"/>
    <w:rsid w:val="0A7439FC"/>
    <w:rsid w:val="0ABC39D8"/>
    <w:rsid w:val="0B260413"/>
    <w:rsid w:val="0BD0477F"/>
    <w:rsid w:val="0BFE5400"/>
    <w:rsid w:val="0C380864"/>
    <w:rsid w:val="0D214F69"/>
    <w:rsid w:val="0D435CF0"/>
    <w:rsid w:val="0D5B23CC"/>
    <w:rsid w:val="0D8B3083"/>
    <w:rsid w:val="0DC10698"/>
    <w:rsid w:val="0E213296"/>
    <w:rsid w:val="0FFB54E4"/>
    <w:rsid w:val="109275A9"/>
    <w:rsid w:val="128C4F28"/>
    <w:rsid w:val="130872F3"/>
    <w:rsid w:val="140B4E5D"/>
    <w:rsid w:val="1437301A"/>
    <w:rsid w:val="150838E9"/>
    <w:rsid w:val="160C4FAD"/>
    <w:rsid w:val="16D80B50"/>
    <w:rsid w:val="172401FC"/>
    <w:rsid w:val="175E1271"/>
    <w:rsid w:val="177B16DD"/>
    <w:rsid w:val="17C44811"/>
    <w:rsid w:val="17F90A1F"/>
    <w:rsid w:val="18651DBE"/>
    <w:rsid w:val="188B1748"/>
    <w:rsid w:val="18B37031"/>
    <w:rsid w:val="18FD3554"/>
    <w:rsid w:val="19FC4798"/>
    <w:rsid w:val="1B290206"/>
    <w:rsid w:val="1CA31F60"/>
    <w:rsid w:val="1D8A0AF6"/>
    <w:rsid w:val="1EDA1C32"/>
    <w:rsid w:val="1F4F5857"/>
    <w:rsid w:val="20966027"/>
    <w:rsid w:val="213C72D1"/>
    <w:rsid w:val="21A9704B"/>
    <w:rsid w:val="21E5246C"/>
    <w:rsid w:val="22E25DF4"/>
    <w:rsid w:val="23963804"/>
    <w:rsid w:val="240C6FC1"/>
    <w:rsid w:val="24923529"/>
    <w:rsid w:val="24DC6BA4"/>
    <w:rsid w:val="25AC1A52"/>
    <w:rsid w:val="25AC3ECC"/>
    <w:rsid w:val="25CC4F38"/>
    <w:rsid w:val="268202E5"/>
    <w:rsid w:val="273F34FA"/>
    <w:rsid w:val="27817DA6"/>
    <w:rsid w:val="27A41D46"/>
    <w:rsid w:val="28E8438B"/>
    <w:rsid w:val="29385A89"/>
    <w:rsid w:val="29931E14"/>
    <w:rsid w:val="2A1D189D"/>
    <w:rsid w:val="2A5C1303"/>
    <w:rsid w:val="2A76033E"/>
    <w:rsid w:val="2AB53FDF"/>
    <w:rsid w:val="2BF235E5"/>
    <w:rsid w:val="2BFB6029"/>
    <w:rsid w:val="2C916BA6"/>
    <w:rsid w:val="2C936391"/>
    <w:rsid w:val="2CA46F92"/>
    <w:rsid w:val="2D2E3708"/>
    <w:rsid w:val="2D4C1D3E"/>
    <w:rsid w:val="2D782725"/>
    <w:rsid w:val="2DDD275B"/>
    <w:rsid w:val="2EA60DD6"/>
    <w:rsid w:val="2EE70255"/>
    <w:rsid w:val="2EED2E72"/>
    <w:rsid w:val="2F7B4131"/>
    <w:rsid w:val="2FD47A9D"/>
    <w:rsid w:val="30981779"/>
    <w:rsid w:val="328416F9"/>
    <w:rsid w:val="33BE1F6B"/>
    <w:rsid w:val="34390751"/>
    <w:rsid w:val="343D1E3E"/>
    <w:rsid w:val="34B25A95"/>
    <w:rsid w:val="34C66947"/>
    <w:rsid w:val="35C32B3D"/>
    <w:rsid w:val="37250DEE"/>
    <w:rsid w:val="37855A0B"/>
    <w:rsid w:val="382547CC"/>
    <w:rsid w:val="38871C41"/>
    <w:rsid w:val="38993E43"/>
    <w:rsid w:val="38995E18"/>
    <w:rsid w:val="396D25ED"/>
    <w:rsid w:val="39C872B8"/>
    <w:rsid w:val="3A0B4AF4"/>
    <w:rsid w:val="3A8373E6"/>
    <w:rsid w:val="3B346B06"/>
    <w:rsid w:val="3B790C66"/>
    <w:rsid w:val="3CCF61D5"/>
    <w:rsid w:val="3EE94E91"/>
    <w:rsid w:val="401933BF"/>
    <w:rsid w:val="401B49F1"/>
    <w:rsid w:val="401E5274"/>
    <w:rsid w:val="407C2246"/>
    <w:rsid w:val="40CC5ECD"/>
    <w:rsid w:val="41353B34"/>
    <w:rsid w:val="41B8341B"/>
    <w:rsid w:val="41CA6631"/>
    <w:rsid w:val="41CF1367"/>
    <w:rsid w:val="42875D82"/>
    <w:rsid w:val="42913872"/>
    <w:rsid w:val="42C67AC2"/>
    <w:rsid w:val="42E64203"/>
    <w:rsid w:val="43DB70C2"/>
    <w:rsid w:val="44743BF0"/>
    <w:rsid w:val="448A4217"/>
    <w:rsid w:val="453C0B5F"/>
    <w:rsid w:val="4544519C"/>
    <w:rsid w:val="45466415"/>
    <w:rsid w:val="46606607"/>
    <w:rsid w:val="470D6DB5"/>
    <w:rsid w:val="478443ED"/>
    <w:rsid w:val="48475477"/>
    <w:rsid w:val="48AD296E"/>
    <w:rsid w:val="4933371F"/>
    <w:rsid w:val="49741140"/>
    <w:rsid w:val="49E11794"/>
    <w:rsid w:val="49F45690"/>
    <w:rsid w:val="4A7D1CB1"/>
    <w:rsid w:val="4ACB29B1"/>
    <w:rsid w:val="4AF72C27"/>
    <w:rsid w:val="4C8C20EA"/>
    <w:rsid w:val="4C95730F"/>
    <w:rsid w:val="4CA046F7"/>
    <w:rsid w:val="4CAB10A5"/>
    <w:rsid w:val="4CE76156"/>
    <w:rsid w:val="4D566987"/>
    <w:rsid w:val="4D72579F"/>
    <w:rsid w:val="4EC17644"/>
    <w:rsid w:val="4ED11A10"/>
    <w:rsid w:val="4F2C520F"/>
    <w:rsid w:val="4F3B50DC"/>
    <w:rsid w:val="4F9801E7"/>
    <w:rsid w:val="501723E6"/>
    <w:rsid w:val="50812FC2"/>
    <w:rsid w:val="50DC22A0"/>
    <w:rsid w:val="526B23B2"/>
    <w:rsid w:val="52B64033"/>
    <w:rsid w:val="541A5D36"/>
    <w:rsid w:val="544431D4"/>
    <w:rsid w:val="55B87767"/>
    <w:rsid w:val="57230952"/>
    <w:rsid w:val="57376AD1"/>
    <w:rsid w:val="57522A51"/>
    <w:rsid w:val="580C6F3F"/>
    <w:rsid w:val="596B5715"/>
    <w:rsid w:val="59875B51"/>
    <w:rsid w:val="59DF66FA"/>
    <w:rsid w:val="5A653BEA"/>
    <w:rsid w:val="5B73507F"/>
    <w:rsid w:val="5C1678E0"/>
    <w:rsid w:val="5ED66666"/>
    <w:rsid w:val="5F7E0DDA"/>
    <w:rsid w:val="5FA85AB2"/>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9244882"/>
    <w:rsid w:val="69635503"/>
    <w:rsid w:val="69987A59"/>
    <w:rsid w:val="69DD59B8"/>
    <w:rsid w:val="6AB563C0"/>
    <w:rsid w:val="6ACB5B2B"/>
    <w:rsid w:val="6AD63EF6"/>
    <w:rsid w:val="6B484D6D"/>
    <w:rsid w:val="6B8159D3"/>
    <w:rsid w:val="6B991B92"/>
    <w:rsid w:val="6DFD1A82"/>
    <w:rsid w:val="6E244BCE"/>
    <w:rsid w:val="6E542968"/>
    <w:rsid w:val="6E6E390B"/>
    <w:rsid w:val="6F370F32"/>
    <w:rsid w:val="6FDD7C1E"/>
    <w:rsid w:val="71151DE4"/>
    <w:rsid w:val="71774396"/>
    <w:rsid w:val="71890927"/>
    <w:rsid w:val="71AC4A9F"/>
    <w:rsid w:val="72044E22"/>
    <w:rsid w:val="72841C5F"/>
    <w:rsid w:val="72B70565"/>
    <w:rsid w:val="73D20082"/>
    <w:rsid w:val="74B67236"/>
    <w:rsid w:val="750232A8"/>
    <w:rsid w:val="75F16FE0"/>
    <w:rsid w:val="75F82D28"/>
    <w:rsid w:val="76B348A4"/>
    <w:rsid w:val="77CC339C"/>
    <w:rsid w:val="79FA136A"/>
    <w:rsid w:val="7A1B7966"/>
    <w:rsid w:val="7B65103C"/>
    <w:rsid w:val="7BE57BFA"/>
    <w:rsid w:val="7BF33070"/>
    <w:rsid w:val="7BF548BF"/>
    <w:rsid w:val="7CB1418D"/>
    <w:rsid w:val="7D801077"/>
    <w:rsid w:val="7E623396"/>
    <w:rsid w:val="7ECD35DF"/>
    <w:rsid w:val="7F374D12"/>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annotation text"/>
    <w:basedOn w:val="1"/>
    <w:qFormat/>
    <w:uiPriority w:val="0"/>
    <w:pPr>
      <w:jc w:val="left"/>
    </w:pPr>
  </w:style>
  <w:style w:type="paragraph" w:styleId="6">
    <w:name w:val="Body Text"/>
    <w:basedOn w:val="1"/>
    <w:autoRedefine/>
    <w:unhideWhenUsed/>
    <w:qFormat/>
    <w:uiPriority w:val="99"/>
    <w:pPr>
      <w:spacing w:after="120" w:afterLines="0" w:afterAutospacing="0"/>
    </w:pPr>
  </w:style>
  <w:style w:type="paragraph" w:styleId="7">
    <w:name w:val="Body Text Indent"/>
    <w:basedOn w:val="1"/>
    <w:autoRedefine/>
    <w:qFormat/>
    <w:uiPriority w:val="0"/>
    <w:pPr>
      <w:spacing w:after="120"/>
      <w:ind w:left="420" w:leftChars="200"/>
    </w:pPr>
    <w:rPr>
      <w:kern w:val="0"/>
      <w:sz w:val="20"/>
      <w:szCs w:val="24"/>
    </w:rPr>
  </w:style>
  <w:style w:type="paragraph" w:styleId="8">
    <w:name w:val="footer"/>
    <w:basedOn w:val="1"/>
    <w:autoRedefine/>
    <w:unhideWhenUsed/>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autoRedefine/>
    <w:qFormat/>
    <w:uiPriority w:val="99"/>
    <w:pPr>
      <w:ind w:left="2100" w:leftChars="1000"/>
    </w:pPr>
    <w:rPr>
      <w:rFonts w:ascii="Calibri" w:hAnsi="Calibri"/>
      <w:szCs w:val="22"/>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6"/>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3">
    <w:name w:val="Body Text First Indent 2"/>
    <w:basedOn w:val="7"/>
    <w:autoRedefine/>
    <w:qFormat/>
    <w:uiPriority w:val="0"/>
    <w:pPr>
      <w:tabs>
        <w:tab w:val="left" w:pos="0"/>
        <w:tab w:val="left" w:pos="993"/>
        <w:tab w:val="left" w:pos="1134"/>
        <w:tab w:val="left" w:pos="7060"/>
      </w:tabs>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8">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164</Words>
  <Characters>181</Characters>
  <Lines>0</Lines>
  <Paragraphs>0</Paragraphs>
  <TotalTime>0</TotalTime>
  <ScaleCrop>false</ScaleCrop>
  <LinksUpToDate>false</LinksUpToDate>
  <CharactersWithSpaces>188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湖州市南浔区生态酒店旁（招标人指定地点）</dc:description>
  <cp:keywords>南浔生态宜居排水系统改造工程-生态酒店体育场设施提升项目--土建劳务</cp:keywords>
  <cp:lastModifiedBy>SJ</cp:lastModifiedBy>
  <cp:lastPrinted>2024-10-29T03:11:00Z</cp:lastPrinted>
  <dcterms:modified xsi:type="dcterms:W3CDTF">2024-11-04T06:50:32Z</dcterms:modified>
  <dc:subject>本工程为网球场土建项目，具体施工内容以工程量清单为准，最终以招标人及业主单位要求为准，直至本工程满足功能性要求及设计单位、业主单位要求并竣工验收合格为止。</dc:subject>
  <dc:title>钢筋，混凝土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4694928C8C4545DB99332A903739E6C8_11</vt:lpwstr>
  </property>
</Properties>
</file>