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71C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246996903"/>
      <w:bookmarkStart w:id="2" w:name="_Toc246996160"/>
      <w:bookmarkStart w:id="3" w:name="_Toc179632530"/>
      <w:bookmarkStart w:id="4" w:name="_Toc144974482"/>
      <w:bookmarkStart w:id="5" w:name="_Toc152042290"/>
      <w:bookmarkStart w:id="6" w:name="_Toc152045514"/>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南浔区便民路区块有机更新项目（一期）-湖浔大道两侧（丝绸码头—年丰路）景观提升项目劳务分包工程</w:t>
          </w:r>
        </w:sdtContent>
      </w:sdt>
    </w:p>
    <w:p w14:paraId="3E2A14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65FB3CBF">
      <w:pPr>
        <w:pStyle w:val="13"/>
        <w:numPr>
          <w:ilvl w:val="0"/>
          <w:numId w:val="0"/>
        </w:numPr>
        <w:spacing w:after="0"/>
        <w:jc w:val="both"/>
        <w:rPr>
          <w:rFonts w:hint="eastAsia" w:ascii="仿宋" w:hAnsi="仿宋" w:eastAsia="仿宋" w:cs="仿宋"/>
          <w:sz w:val="32"/>
          <w:szCs w:val="32"/>
          <w:highlight w:val="none"/>
          <w:vertAlign w:val="baseline"/>
          <w:lang w:val="en-US" w:eastAsia="zh-CN"/>
        </w:rPr>
      </w:pPr>
    </w:p>
    <w:p w14:paraId="0D52223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2024-W-113-下01  </w:t>
      </w:r>
    </w:p>
    <w:p w14:paraId="2050030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415AB19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5F9B760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144DDEB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sz w:val="32"/>
          <w:szCs w:val="32"/>
          <w:highlight w:val="none"/>
          <w:u w:val="single"/>
          <w:vertAlign w:val="baseline"/>
          <w:lang w:val="en-US" w:eastAsia="zh-CN"/>
        </w:rPr>
        <w:t>浙江金业管理咨询有限公司</w:t>
      </w:r>
      <w:r>
        <w:rPr>
          <w:rFonts w:hint="eastAsia" w:ascii="仿宋_GB2312" w:hAnsi="仿宋_GB2312" w:eastAsia="仿宋_GB2312" w:cs="仿宋_GB2312"/>
          <w:b w:val="0"/>
          <w:bCs w:val="0"/>
          <w:sz w:val="32"/>
          <w:szCs w:val="32"/>
          <w:highlight w:val="none"/>
          <w:u w:val="single"/>
          <w:vertAlign w:val="baseline"/>
          <w:lang w:val="en-US" w:eastAsia="zh-CN"/>
        </w:rPr>
        <w:t>（盖章）</w:t>
      </w:r>
    </w:p>
    <w:p w14:paraId="60AF92D3">
      <w:pPr>
        <w:pStyle w:val="13"/>
        <w:keepNext w:val="0"/>
        <w:keepLines w:val="0"/>
        <w:pageBreakBefore w:val="0"/>
        <w:widowControl w:val="0"/>
        <w:numPr>
          <w:ilvl w:val="0"/>
          <w:numId w:val="0"/>
        </w:numPr>
        <w:tabs>
          <w:tab w:val="left" w:pos="2388"/>
          <w:tab w:val="clear" w:pos="993"/>
          <w:tab w:val="clear" w:pos="7060"/>
        </w:tabs>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ab/>
      </w:r>
    </w:p>
    <w:p w14:paraId="59782F5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3AF376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C5427D9">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1299035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1958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5FEA9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77D4A37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7744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3115B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719FC6D5">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南浔区便民路区块有机更新项目（一期）-湖浔大道两侧（丝绸码头—年丰路）景观提升项目劳务分包工程</w:t>
                </w:r>
              </w:sdtContent>
            </w:sdt>
            <w:bookmarkEnd w:id="8"/>
          </w:p>
        </w:tc>
      </w:tr>
      <w:tr w14:paraId="402E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960BF1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2F3740D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湖州南浔旅游投资发展集团有限公司 </w:t>
            </w:r>
          </w:p>
        </w:tc>
      </w:tr>
      <w:tr w14:paraId="73F1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73AD00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199DBD1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262A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2D0DB2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0B314AE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0289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4F8A71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233E37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7C827523">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579D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0D225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4A005F0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景观提升</w:t>
            </w:r>
          </w:p>
        </w:tc>
      </w:tr>
      <w:tr w14:paraId="11CA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5D40FF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02C080D4">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2024年12月20日前完工，每逾期一天罚款5万元，绿化养护期一年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232B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5EF73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项目总预算价</w:t>
            </w:r>
          </w:p>
        </w:tc>
        <w:tc>
          <w:tcPr>
            <w:tcW w:w="7144" w:type="dxa"/>
            <w:noWrap w:val="0"/>
            <w:vAlign w:val="center"/>
          </w:tcPr>
          <w:p w14:paraId="106813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9" w:name="OLE_LINK4"/>
            <w:r>
              <w:rPr>
                <w:rFonts w:hint="eastAsia" w:ascii="仿宋_GB2312" w:hAnsi="仿宋_GB2312" w:eastAsia="仿宋_GB2312" w:cs="仿宋_GB2312"/>
                <w:sz w:val="28"/>
                <w:szCs w:val="28"/>
                <w:highlight w:val="yellow"/>
                <w:u w:val="single"/>
                <w:vertAlign w:val="baseline"/>
                <w:lang w:val="en-US" w:eastAsia="zh-CN"/>
              </w:rPr>
              <w:t>约400万</w:t>
            </w:r>
            <w:r>
              <w:rPr>
                <w:rFonts w:hint="eastAsia" w:ascii="仿宋_GB2312" w:hAnsi="仿宋_GB2312" w:eastAsia="仿宋_GB2312" w:cs="仿宋_GB2312"/>
                <w:sz w:val="28"/>
                <w:szCs w:val="28"/>
                <w:highlight w:val="yellow"/>
                <w:vertAlign w:val="baseline"/>
                <w:lang w:val="en-US" w:eastAsia="zh-CN"/>
              </w:rPr>
              <w:t>元</w:t>
            </w:r>
            <w:bookmarkEnd w:id="9"/>
          </w:p>
        </w:tc>
      </w:tr>
      <w:tr w14:paraId="5FA5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9FF7B0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BB5D7C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 xml:space="preserve">湖州市南浔区湖浔大道 </w:t>
                </w:r>
              </w:sdtContent>
            </w:sdt>
            <w:bookmarkEnd w:id="10"/>
          </w:p>
        </w:tc>
      </w:tr>
      <w:tr w14:paraId="271B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2F0ACC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7F70DF95">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建设内容包括但不限于绿化景观提升等工程，详见施工图，最终以招标人及业主单位要求为准，直至本工程满足功能性要求及设计单位、业主单位要求并竣工验收合格为止。</w:t>
                </w:r>
              </w:p>
            </w:tc>
          </w:sdtContent>
        </w:sdt>
      </w:tr>
      <w:tr w14:paraId="3762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EA1B7E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B07FC7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5D69DCBE">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1EEF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9884FA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08464FE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2E61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65E28D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3A8C109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76B5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3B4E7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6505237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0186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C3614F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2B8DC4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05CA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3EE9AD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774AB5F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03F8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43FEDA5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74C6F4F3">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(业主单位确认的结算审计价-甲供材对应的款项)×</w:t>
            </w:r>
            <w:r>
              <w:rPr>
                <w:rFonts w:hint="eastAsia" w:ascii="仿宋_GB2312" w:hAnsi="仿宋_GB2312" w:eastAsia="仿宋_GB2312" w:cs="仿宋_GB2312"/>
                <w:b/>
                <w:bCs/>
                <w:color w:val="0000FF"/>
                <w:sz w:val="28"/>
                <w:szCs w:val="28"/>
                <w:highlight w:val="none"/>
              </w:rPr>
              <w:t>(1-下浮率)</w:t>
            </w:r>
            <w:r>
              <w:rPr>
                <w:rFonts w:hint="eastAsia" w:ascii="仿宋_GB2312" w:hAnsi="仿宋_GB2312" w:eastAsia="仿宋_GB2312" w:cs="仿宋_GB2312"/>
                <w:sz w:val="28"/>
                <w:szCs w:val="28"/>
                <w:highlight w:val="none"/>
              </w:rPr>
              <w:t>-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429371D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B7320B">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2A0175DC">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01DA644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0FBD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220B5F8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76E98BC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0804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46E6B47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4788194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en-US" w:eastAsia="zh-CN"/>
              </w:rPr>
              <w:t>劳务</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分包库内单位。</w:t>
            </w:r>
          </w:p>
          <w:p w14:paraId="2C4FDD3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施工劳务资质 </w:t>
            </w:r>
            <w:r>
              <w:rPr>
                <w:rFonts w:hint="eastAsia" w:ascii="仿宋_GB2312" w:hAnsi="仿宋_GB2312" w:eastAsia="仿宋_GB2312" w:cs="仿宋_GB2312"/>
                <w:sz w:val="28"/>
                <w:szCs w:val="28"/>
                <w:highlight w:val="none"/>
                <w:u w:val="none"/>
                <w:vertAlign w:val="baseline"/>
                <w:lang w:val="en-US" w:eastAsia="zh-CN"/>
              </w:rPr>
              <w:t>。</w:t>
            </w:r>
          </w:p>
          <w:p w14:paraId="7712C50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注：二者满足其一即可。</w:t>
            </w:r>
            <w:r>
              <w:rPr>
                <w:rFonts w:hint="default" w:ascii="仿宋_GB2312" w:hAnsi="仿宋_GB2312" w:eastAsia="仿宋_GB2312" w:cs="仿宋_GB2312"/>
                <w:i w:val="0"/>
                <w:iCs w:val="0"/>
                <w:caps w:val="0"/>
                <w:color w:val="000000"/>
                <w:spacing w:val="0"/>
                <w:sz w:val="28"/>
                <w:szCs w:val="28"/>
                <w:highlight w:val="none"/>
                <w:shd w:val="clear"/>
              </w:rPr>
              <w:t>本</w:t>
            </w:r>
            <w:r>
              <w:rPr>
                <w:rFonts w:hint="default" w:ascii="仿宋_GB2312" w:hAnsi="仿宋_GB2312" w:eastAsia="仿宋_GB2312" w:cs="仿宋_GB2312"/>
                <w:i w:val="0"/>
                <w:iCs w:val="0"/>
                <w:caps w:val="0"/>
                <w:spacing w:val="0"/>
                <w:sz w:val="28"/>
                <w:szCs w:val="28"/>
                <w:highlight w:val="none"/>
                <w:u w:val="none"/>
                <w:shd w:val="clear"/>
              </w:rPr>
              <w:t>项目拒绝接受被录入检察机关行贿犯罪档案的投标人；拒绝被有关行政监管部门通报限制投标且在限制期内的投标人</w:t>
            </w:r>
            <w:r>
              <w:rPr>
                <w:rFonts w:hint="eastAsia" w:ascii="仿宋_GB2312" w:hAnsi="仿宋_GB2312" w:eastAsia="仿宋_GB2312" w:cs="仿宋_GB2312"/>
                <w:i w:val="0"/>
                <w:iCs w:val="0"/>
                <w:caps w:val="0"/>
                <w:spacing w:val="0"/>
                <w:sz w:val="28"/>
                <w:szCs w:val="28"/>
                <w:highlight w:val="none"/>
                <w:u w:val="none"/>
                <w:shd w:val="clear"/>
                <w:lang w:eastAsia="zh-CN"/>
              </w:rPr>
              <w:t>。</w:t>
            </w:r>
          </w:p>
        </w:tc>
      </w:tr>
      <w:tr w14:paraId="6C9A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D7F8C4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3E7898BA">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无</w:t>
            </w:r>
          </w:p>
        </w:tc>
      </w:tr>
      <w:tr w14:paraId="3113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6C6EC86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175CBC4E">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21%-26%</w:t>
            </w:r>
            <w:r>
              <w:rPr>
                <w:rFonts w:hint="eastAsia" w:ascii="仿宋_GB2312" w:hAnsi="仿宋_GB2312" w:eastAsia="仿宋_GB2312" w:cs="仿宋_GB2312"/>
                <w:color w:val="000000"/>
                <w:sz w:val="28"/>
                <w:szCs w:val="28"/>
                <w:highlight w:val="yellow"/>
                <w:u w:val="none"/>
                <w:lang w:val="en-US" w:eastAsia="zh-CN"/>
              </w:rPr>
              <w:t>，（即74%-79%折扣率）</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516D478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val="en-US" w:eastAsia="zh-CN"/>
              </w:rPr>
            </w:pPr>
            <w:r>
              <w:rPr>
                <w:rFonts w:hint="eastAsia" w:ascii="仿宋_GB2312" w:hAnsi="仿宋_GB2312" w:eastAsia="仿宋_GB2312" w:cs="仿宋_GB2312"/>
                <w:color w:val="0000FF"/>
                <w:sz w:val="28"/>
                <w:szCs w:val="28"/>
                <w:highlight w:val="none"/>
                <w:lang w:val="en-US" w:eastAsia="zh-CN"/>
              </w:rPr>
              <w:t>注：投标报价按（1-下浮率）计取，</w:t>
            </w:r>
            <w:r>
              <w:rPr>
                <w:rFonts w:hint="eastAsia" w:ascii="仿宋_GB2312" w:hAnsi="仿宋_GB2312" w:eastAsia="仿宋_GB2312" w:cs="仿宋_GB2312"/>
                <w:color w:val="000000"/>
                <w:sz w:val="28"/>
                <w:szCs w:val="28"/>
                <w:highlight w:val="yellow"/>
                <w:u w:val="none"/>
                <w:lang w:val="en-US" w:eastAsia="zh-CN"/>
              </w:rPr>
              <w:t>（即按折扣率报价）</w:t>
            </w:r>
          </w:p>
          <w:p w14:paraId="6F4AFBC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7E07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85B04E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6A13363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F7DF54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81B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45BCA0E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3591353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15280</w:t>
            </w:r>
            <w:bookmarkStart w:id="12" w:name="_GoBack"/>
            <w:bookmarkEnd w:id="12"/>
            <w:r>
              <w:rPr>
                <w:rFonts w:hint="eastAsia" w:ascii="仿宋_GB2312" w:hAnsi="仿宋_GB2312" w:eastAsia="仿宋_GB2312" w:cs="仿宋_GB2312"/>
                <w:b/>
                <w:bCs/>
                <w:color w:val="auto"/>
                <w:sz w:val="28"/>
                <w:szCs w:val="28"/>
                <w:highlight w:val="none"/>
                <w:lang w:val="en-US" w:eastAsia="zh-CN"/>
              </w:rPr>
              <w:t>元，由中标单位承担。</w:t>
            </w:r>
          </w:p>
        </w:tc>
      </w:tr>
    </w:tbl>
    <w:p w14:paraId="2E14182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4C5E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22883F8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122491A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25E4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3462034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61E67D6A">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36B0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22F15B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970317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2AFD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169DCCE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7F50109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湖州南浔城投城市建设集团有限公司一</w:t>
            </w:r>
            <w:r>
              <w:rPr>
                <w:rFonts w:hint="eastAsia" w:ascii="仿宋_GB2312" w:hAnsi="仿宋_GB2312" w:eastAsia="仿宋_GB2312" w:cs="仿宋_GB2312"/>
                <w:sz w:val="28"/>
                <w:szCs w:val="28"/>
                <w:highlight w:val="none"/>
                <w:u w:val="none"/>
                <w:lang w:eastAsia="zh-CN"/>
              </w:rPr>
              <w:t>楼开标室</w:t>
            </w:r>
            <w:r>
              <w:rPr>
                <w:rFonts w:hint="eastAsia" w:ascii="仿宋_GB2312" w:hAnsi="仿宋_GB2312" w:eastAsia="仿宋_GB2312" w:cs="仿宋_GB2312"/>
                <w:sz w:val="28"/>
                <w:szCs w:val="28"/>
                <w:highlight w:val="none"/>
                <w:u w:val="none"/>
                <w:lang w:val="en-US" w:eastAsia="zh-CN"/>
              </w:rPr>
              <w:t>(101室）</w:t>
            </w:r>
          </w:p>
        </w:tc>
      </w:tr>
      <w:tr w14:paraId="3B8D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60E16B4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6BDE0FC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78EA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1ED9BF7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1D2B172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23DA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BEB0BC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7B8C0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009F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C10A5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707FF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56C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149A80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B8020A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0CA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667CB4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1F02B8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619C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688547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9BF2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6B53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0FC41C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D51BE4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7、《承诺书》</w:t>
            </w:r>
          </w:p>
        </w:tc>
      </w:tr>
      <w:tr w14:paraId="410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E9F9DC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56F202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7964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45B6DC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F3E50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B9D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30140B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B358F8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F25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604167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4CA56C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27FD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105825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4F8D3D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06E7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2DB2C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3A618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6E02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05169A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A0FF04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4AEC5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03D932C1">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tc>
      </w:tr>
      <w:tr w14:paraId="33FC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8B9038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7076DA4B">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ACE101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0ACCDEDB">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3DD1F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5128F23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27FEA1AE">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7F0F63A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8A3E6B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1CFE209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65FA63B3">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20EA977C">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4D76D46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624AE4A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43B322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666147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3A69BD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71BF27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3FF683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投标人的最终得分=报价得分+技术标得分</w:t>
      </w:r>
    </w:p>
    <w:p w14:paraId="7B5A89D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0000FF"/>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报价评定</w:t>
      </w:r>
      <w:r>
        <w:rPr>
          <w:rFonts w:hint="eastAsia" w:ascii="仿宋_GB2312" w:hAnsi="仿宋_GB2312" w:eastAsia="仿宋_GB2312" w:cs="仿宋_GB2312"/>
          <w:b/>
          <w:bCs/>
          <w:color w:val="0000FF"/>
          <w:sz w:val="28"/>
          <w:szCs w:val="28"/>
          <w:highlight w:val="none"/>
          <w:lang w:val="en-US" w:eastAsia="zh-CN"/>
        </w:rPr>
        <w:t>（按折扣率计算）</w:t>
      </w:r>
    </w:p>
    <w:p w14:paraId="2881CA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本工程报价总分70分，按以下标准评定。</w:t>
      </w:r>
    </w:p>
    <w:p w14:paraId="4AE0D0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lang w:val="en-US" w:eastAsia="zh-CN"/>
        </w:rPr>
        <w:t>有效报价</w:t>
      </w:r>
      <w:r>
        <w:rPr>
          <w:rFonts w:hint="eastAsia" w:ascii="仿宋_GB2312" w:hAnsi="仿宋_GB2312" w:eastAsia="仿宋_GB2312" w:cs="仿宋_GB2312"/>
          <w:sz w:val="28"/>
          <w:szCs w:val="28"/>
          <w:highlight w:val="none"/>
          <w:lang w:val="en-US" w:eastAsia="zh-CN"/>
        </w:rPr>
        <w:t>：投标单位的投标折扣大于招标控制价折扣的认定为无效投标报价</w:t>
      </w:r>
    </w:p>
    <w:p w14:paraId="4D5568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lang w:val="en-US" w:eastAsia="zh-CN"/>
        </w:rPr>
        <w:t>最佳报价：</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eastAsia="仿宋_GB2312" w:cs="仿宋_GB2312"/>
          <w:color w:val="auto"/>
          <w:sz w:val="28"/>
          <w:szCs w:val="28"/>
          <w:highlight w:val="none"/>
        </w:rPr>
        <w:t>所有有效合理投标报价</w:t>
      </w:r>
      <w:r>
        <w:rPr>
          <w:rFonts w:hint="eastAsia" w:ascii="仿宋_GB2312" w:hAnsi="仿宋_GB2312" w:eastAsia="仿宋_GB2312" w:cs="仿宋_GB2312"/>
          <w:sz w:val="28"/>
          <w:szCs w:val="28"/>
          <w:lang w:val="en-US" w:eastAsia="zh-CN"/>
        </w:rPr>
        <w:t>中的平均值为最佳报价</w:t>
      </w:r>
    </w:p>
    <w:p w14:paraId="555A89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rPr>
        <w:t>各有效投标报价与最佳报价进行比较，按以下公式求出百分比K值（保留小数点后一位，第二位四舍五入），计算商务标得分</w:t>
      </w:r>
      <w:r>
        <w:rPr>
          <w:rFonts w:hint="eastAsia" w:ascii="仿宋_GB2312" w:hAnsi="仿宋_GB2312" w:eastAsia="仿宋_GB2312" w:cs="仿宋_GB2312"/>
          <w:sz w:val="28"/>
          <w:szCs w:val="28"/>
          <w:lang w:val="en-US" w:eastAsia="zh-CN"/>
        </w:rPr>
        <w:t>：</w:t>
      </w:r>
    </w:p>
    <w:p w14:paraId="2A1AC9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447966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当K值等于零时，得100分；　　</w:t>
      </w:r>
    </w:p>
    <w:p w14:paraId="5FDF80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当K值大于零时，K值每增1%，在总分上扣</w:t>
      </w:r>
      <w:r>
        <w:rPr>
          <w:rFonts w:hint="eastAsia" w:ascii="仿宋_GB2312" w:hAnsi="仿宋_GB2312" w:eastAsia="仿宋_GB2312" w:cs="仿宋_GB2312"/>
          <w:sz w:val="28"/>
          <w:szCs w:val="28"/>
          <w:lang w:val="en-US" w:eastAsia="zh-CN" w:bidi="ar"/>
        </w:rPr>
        <w:t>0.4</w:t>
      </w:r>
      <w:r>
        <w:rPr>
          <w:rFonts w:hint="eastAsia" w:ascii="仿宋_GB2312" w:hAnsi="仿宋_GB2312" w:eastAsia="仿宋_GB2312" w:cs="仿宋_GB2312"/>
          <w:sz w:val="28"/>
          <w:szCs w:val="28"/>
          <w:lang w:bidi="ar"/>
        </w:rPr>
        <w:t>分；　　</w:t>
      </w:r>
    </w:p>
    <w:p w14:paraId="4C5F3D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当K值小于零时，K值每减1%，在总分上扣</w:t>
      </w:r>
      <w:r>
        <w:rPr>
          <w:rFonts w:hint="eastAsia" w:ascii="仿宋_GB2312" w:hAnsi="仿宋_GB2312" w:eastAsia="仿宋_GB2312" w:cs="仿宋_GB2312"/>
          <w:sz w:val="28"/>
          <w:szCs w:val="28"/>
          <w:lang w:val="en-US" w:eastAsia="zh-CN" w:bidi="ar"/>
        </w:rPr>
        <w:t>0.3</w:t>
      </w:r>
      <w:r>
        <w:rPr>
          <w:rFonts w:hint="eastAsia" w:ascii="仿宋_GB2312" w:hAnsi="仿宋_GB2312" w:eastAsia="仿宋_GB2312" w:cs="仿宋_GB2312"/>
          <w:sz w:val="28"/>
          <w:szCs w:val="28"/>
          <w:lang w:bidi="ar"/>
        </w:rPr>
        <w:t>分</w:t>
      </w:r>
      <w:r>
        <w:rPr>
          <w:rFonts w:hint="eastAsia" w:ascii="仿宋_GB2312" w:hAnsi="仿宋_GB2312" w:eastAsia="仿宋_GB2312" w:cs="仿宋_GB2312"/>
          <w:sz w:val="28"/>
          <w:szCs w:val="28"/>
          <w:lang w:val="en-US" w:eastAsia="zh-CN"/>
        </w:rPr>
        <w:t>；</w:t>
      </w:r>
    </w:p>
    <w:p w14:paraId="7C77CF4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各投标班组最终价格得分=报价得分×</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0%</w:t>
      </w:r>
      <w:r>
        <w:rPr>
          <w:rFonts w:hint="eastAsia" w:ascii="仿宋_GB2312" w:hAnsi="仿宋_GB2312" w:eastAsia="仿宋_GB2312" w:cs="仿宋_GB2312"/>
          <w:sz w:val="28"/>
          <w:szCs w:val="28"/>
          <w:lang w:eastAsia="zh-CN" w:bidi="ar"/>
        </w:rPr>
        <w:t>。</w:t>
      </w:r>
    </w:p>
    <w:p w14:paraId="3C3613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3F44A4FB">
      <w:pPr>
        <w:numPr>
          <w:ilvl w:val="0"/>
          <w:numId w:val="1"/>
        </w:numPr>
        <w:shd w:val="clear"/>
        <w:spacing w:line="4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2B8A6D0A">
      <w:pPr>
        <w:numPr>
          <w:ilvl w:val="0"/>
          <w:numId w:val="1"/>
        </w:numPr>
        <w:shd w:val="clear"/>
        <w:spacing w:line="4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cyan"/>
          <w:lang w:val="en-US" w:eastAsia="zh-CN"/>
        </w:rPr>
        <w:t>技术标得分。</w:t>
      </w:r>
      <w:r>
        <w:rPr>
          <w:rFonts w:hint="eastAsia" w:ascii="仿宋_GB2312" w:hAnsi="仿宋_GB2312" w:eastAsia="仿宋_GB2312" w:cs="仿宋_GB2312"/>
          <w:sz w:val="28"/>
          <w:szCs w:val="28"/>
          <w:lang w:val="en-US" w:eastAsia="zh-CN"/>
        </w:rPr>
        <w:t>技术标总分30分，按以下标准评定。</w:t>
      </w:r>
    </w:p>
    <w:tbl>
      <w:tblPr>
        <w:tblStyle w:val="14"/>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89"/>
        <w:gridCol w:w="5815"/>
        <w:gridCol w:w="887"/>
      </w:tblGrid>
      <w:tr w14:paraId="72B0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52" w:type="pct"/>
            <w:tcBorders>
              <w:bottom w:val="single" w:color="auto" w:sz="4" w:space="0"/>
            </w:tcBorders>
            <w:noWrap w:val="0"/>
            <w:vAlign w:val="center"/>
          </w:tcPr>
          <w:p w14:paraId="72B4531E">
            <w:pPr>
              <w:shd w:val="clear"/>
              <w:spacing w:line="500" w:lineRule="exac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序号</w:t>
            </w:r>
          </w:p>
        </w:tc>
        <w:tc>
          <w:tcPr>
            <w:tcW w:w="4172" w:type="pct"/>
            <w:gridSpan w:val="2"/>
            <w:tcBorders>
              <w:bottom w:val="single" w:color="auto" w:sz="4" w:space="0"/>
            </w:tcBorders>
            <w:noWrap w:val="0"/>
            <w:vAlign w:val="center"/>
          </w:tcPr>
          <w:p w14:paraId="3D4E7B0A">
            <w:pPr>
              <w:shd w:val="clea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评分内容</w:t>
            </w:r>
          </w:p>
        </w:tc>
        <w:tc>
          <w:tcPr>
            <w:tcW w:w="474" w:type="pct"/>
            <w:tcBorders>
              <w:bottom w:val="single" w:color="auto" w:sz="4" w:space="0"/>
            </w:tcBorders>
            <w:noWrap w:val="0"/>
            <w:vAlign w:val="center"/>
          </w:tcPr>
          <w:p w14:paraId="1B5FEF1A">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rPr>
              <w:t>最高</w:t>
            </w:r>
          </w:p>
          <w:p w14:paraId="7E7FDEC4">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rPr>
              <w:t>得分</w:t>
            </w:r>
          </w:p>
        </w:tc>
      </w:tr>
      <w:tr w14:paraId="48FC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352" w:type="pct"/>
            <w:noWrap w:val="0"/>
            <w:vAlign w:val="center"/>
          </w:tcPr>
          <w:p w14:paraId="083B21E9">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1</w:t>
            </w:r>
          </w:p>
        </w:tc>
        <w:tc>
          <w:tcPr>
            <w:tcW w:w="1063" w:type="pct"/>
            <w:noWrap w:val="0"/>
            <w:vAlign w:val="center"/>
          </w:tcPr>
          <w:p w14:paraId="26D1FC71">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服务方案</w:t>
            </w:r>
          </w:p>
        </w:tc>
        <w:tc>
          <w:tcPr>
            <w:tcW w:w="3109" w:type="pct"/>
            <w:noWrap w:val="0"/>
            <w:vAlign w:val="center"/>
          </w:tcPr>
          <w:p w14:paraId="498D8B51">
            <w:pPr>
              <w:shd w:val="clear"/>
              <w:spacing w:line="240" w:lineRule="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rPr>
              <w:t>服务方案</w:t>
            </w:r>
            <w:r>
              <w:rPr>
                <w:rFonts w:hint="eastAsia" w:ascii="仿宋" w:hAnsi="仿宋" w:eastAsia="仿宋" w:cs="仿宋"/>
                <w:color w:val="FF0000"/>
                <w:sz w:val="24"/>
                <w:szCs w:val="24"/>
                <w:highlight w:val="none"/>
                <w:lang w:val="en-US" w:eastAsia="zh-CN"/>
              </w:rPr>
              <w:t>从</w:t>
            </w:r>
            <w:r>
              <w:rPr>
                <w:rFonts w:hint="eastAsia" w:ascii="仿宋" w:hAnsi="仿宋" w:eastAsia="仿宋" w:cs="仿宋"/>
                <w:color w:val="FF0000"/>
                <w:sz w:val="24"/>
                <w:szCs w:val="24"/>
                <w:highlight w:val="none"/>
              </w:rPr>
              <w:t>运行管理模式</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实施方案等方面入手，</w:t>
            </w:r>
            <w:r>
              <w:rPr>
                <w:rFonts w:hint="eastAsia" w:ascii="仿宋" w:hAnsi="仿宋" w:eastAsia="仿宋" w:cs="仿宋"/>
                <w:color w:val="FF0000"/>
                <w:sz w:val="24"/>
                <w:szCs w:val="24"/>
                <w:highlight w:val="none"/>
              </w:rPr>
              <w:t>方案合理、详细的</w:t>
            </w:r>
            <w:r>
              <w:rPr>
                <w:rFonts w:hint="eastAsia" w:ascii="仿宋" w:hAnsi="仿宋" w:eastAsia="仿宋" w:cs="仿宋"/>
                <w:color w:val="FF0000"/>
                <w:sz w:val="24"/>
                <w:szCs w:val="24"/>
                <w:highlight w:val="none"/>
                <w:lang w:val="en-US" w:eastAsia="zh-CN"/>
              </w:rPr>
              <w:t>得6分；</w:t>
            </w:r>
            <w:r>
              <w:rPr>
                <w:rFonts w:hint="eastAsia" w:ascii="仿宋" w:hAnsi="仿宋" w:eastAsia="仿宋" w:cs="仿宋"/>
                <w:color w:val="FF0000"/>
                <w:sz w:val="24"/>
                <w:szCs w:val="24"/>
                <w:highlight w:val="none"/>
              </w:rPr>
              <w:t>方案欠缺或不完整的每项扣</w:t>
            </w:r>
            <w:r>
              <w:rPr>
                <w:rFonts w:hint="eastAsia" w:ascii="仿宋" w:hAnsi="仿宋" w:eastAsia="仿宋" w:cs="仿宋"/>
                <w:color w:val="FF0000"/>
                <w:sz w:val="24"/>
                <w:szCs w:val="24"/>
                <w:highlight w:val="none"/>
                <w:lang w:val="en-US" w:eastAsia="zh-CN"/>
              </w:rPr>
              <w:t>1.5</w:t>
            </w:r>
            <w:r>
              <w:rPr>
                <w:rFonts w:hint="eastAsia" w:ascii="仿宋" w:hAnsi="仿宋" w:eastAsia="仿宋" w:cs="仿宋"/>
                <w:color w:val="FF0000"/>
                <w:sz w:val="24"/>
                <w:szCs w:val="24"/>
                <w:highlight w:val="none"/>
              </w:rPr>
              <w:t>分，扣完为止</w:t>
            </w:r>
            <w:r>
              <w:rPr>
                <w:rFonts w:hint="eastAsia" w:ascii="仿宋" w:hAnsi="仿宋" w:eastAsia="仿宋" w:cs="仿宋"/>
                <w:color w:val="FF0000"/>
                <w:sz w:val="24"/>
                <w:szCs w:val="24"/>
                <w:highlight w:val="none"/>
                <w:lang w:val="en-US" w:eastAsia="zh-CN"/>
              </w:rPr>
              <w:t>.</w:t>
            </w:r>
          </w:p>
        </w:tc>
        <w:tc>
          <w:tcPr>
            <w:tcW w:w="474" w:type="pct"/>
            <w:noWrap w:val="0"/>
            <w:vAlign w:val="center"/>
          </w:tcPr>
          <w:p w14:paraId="3504D3FF">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6</w:t>
            </w:r>
            <w:r>
              <w:rPr>
                <w:rFonts w:hint="eastAsia" w:ascii="仿宋" w:hAnsi="仿宋" w:eastAsia="仿宋" w:cs="仿宋"/>
                <w:color w:val="FF0000"/>
                <w:sz w:val="24"/>
                <w:szCs w:val="24"/>
              </w:rPr>
              <w:t>分</w:t>
            </w:r>
          </w:p>
        </w:tc>
      </w:tr>
      <w:tr w14:paraId="7157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352" w:type="pct"/>
            <w:noWrap w:val="0"/>
            <w:vAlign w:val="center"/>
          </w:tcPr>
          <w:p w14:paraId="74B448A1">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2</w:t>
            </w:r>
          </w:p>
        </w:tc>
        <w:tc>
          <w:tcPr>
            <w:tcW w:w="1063" w:type="pct"/>
            <w:noWrap w:val="0"/>
            <w:vAlign w:val="center"/>
          </w:tcPr>
          <w:p w14:paraId="3D4F3AC0">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重点难点分析</w:t>
            </w:r>
          </w:p>
        </w:tc>
        <w:tc>
          <w:tcPr>
            <w:tcW w:w="3109" w:type="pct"/>
            <w:noWrap w:val="0"/>
            <w:vAlign w:val="center"/>
          </w:tcPr>
          <w:p w14:paraId="0507F427">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项目重点、难点的分析和解决方案精确、全面，解决方案具有针对性和可操作性的得</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rPr>
              <w:t>分；重点难点分析基本合理但欠缺的得</w:t>
            </w:r>
            <w:r>
              <w:rPr>
                <w:rFonts w:hint="eastAsia" w:ascii="仿宋" w:hAnsi="仿宋" w:eastAsia="仿宋" w:cs="仿宋"/>
                <w:color w:val="FF0000"/>
                <w:sz w:val="24"/>
                <w:szCs w:val="24"/>
                <w:highlight w:val="none"/>
                <w:lang w:val="en-US" w:eastAsia="zh-CN"/>
              </w:rPr>
              <w:t>2-3</w:t>
            </w:r>
            <w:r>
              <w:rPr>
                <w:rFonts w:hint="eastAsia" w:ascii="仿宋" w:hAnsi="仿宋" w:eastAsia="仿宋" w:cs="仿宋"/>
                <w:color w:val="FF0000"/>
                <w:sz w:val="24"/>
                <w:szCs w:val="24"/>
                <w:highlight w:val="none"/>
              </w:rPr>
              <w:t>分；重点难点分析存在明显缺陷的，得0-</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分。</w:t>
            </w:r>
          </w:p>
        </w:tc>
        <w:tc>
          <w:tcPr>
            <w:tcW w:w="474" w:type="pct"/>
            <w:noWrap w:val="0"/>
            <w:vAlign w:val="center"/>
          </w:tcPr>
          <w:p w14:paraId="5DDE5666">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rPr>
              <w:t>分</w:t>
            </w:r>
          </w:p>
        </w:tc>
      </w:tr>
      <w:tr w14:paraId="3A3C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352" w:type="pct"/>
            <w:noWrap w:val="0"/>
            <w:vAlign w:val="center"/>
          </w:tcPr>
          <w:p w14:paraId="6FAE152D">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3</w:t>
            </w:r>
          </w:p>
        </w:tc>
        <w:tc>
          <w:tcPr>
            <w:tcW w:w="1063" w:type="pct"/>
            <w:noWrap w:val="0"/>
            <w:vAlign w:val="center"/>
          </w:tcPr>
          <w:p w14:paraId="13B6AC36">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拟投入本项目人员</w:t>
            </w:r>
          </w:p>
        </w:tc>
        <w:tc>
          <w:tcPr>
            <w:tcW w:w="3109" w:type="pct"/>
            <w:noWrap w:val="0"/>
            <w:vAlign w:val="top"/>
          </w:tcPr>
          <w:p w14:paraId="5102D7F7">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技术力量和人力资源安排充足得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分，技术力量欠缺扣</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分,人力资源安排不足扣</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分。</w:t>
            </w:r>
          </w:p>
        </w:tc>
        <w:tc>
          <w:tcPr>
            <w:tcW w:w="474" w:type="pct"/>
            <w:noWrap w:val="0"/>
            <w:vAlign w:val="center"/>
          </w:tcPr>
          <w:p w14:paraId="7ACCE06F">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w:t>
            </w:r>
            <w:r>
              <w:rPr>
                <w:rFonts w:hint="eastAsia" w:ascii="仿宋" w:hAnsi="仿宋" w:eastAsia="仿宋" w:cs="仿宋"/>
                <w:color w:val="FF0000"/>
                <w:sz w:val="24"/>
                <w:szCs w:val="24"/>
              </w:rPr>
              <w:t>分</w:t>
            </w:r>
          </w:p>
        </w:tc>
      </w:tr>
      <w:tr w14:paraId="103D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52" w:type="pct"/>
            <w:noWrap w:val="0"/>
            <w:vAlign w:val="center"/>
          </w:tcPr>
          <w:p w14:paraId="261D1A4B">
            <w:pPr>
              <w:shd w:val="clear"/>
              <w:spacing w:line="5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1063" w:type="pct"/>
            <w:noWrap w:val="0"/>
            <w:vAlign w:val="center"/>
          </w:tcPr>
          <w:p w14:paraId="40D4F5D7">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对本项目有效的改进措施和合理化建议</w:t>
            </w:r>
          </w:p>
        </w:tc>
        <w:tc>
          <w:tcPr>
            <w:tcW w:w="3109" w:type="pct"/>
            <w:noWrap w:val="0"/>
            <w:vAlign w:val="center"/>
          </w:tcPr>
          <w:p w14:paraId="5FFD2F16">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有效建议和措施每项得</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分，最高得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w:t>
            </w:r>
          </w:p>
        </w:tc>
        <w:tc>
          <w:tcPr>
            <w:tcW w:w="474" w:type="pct"/>
            <w:noWrap w:val="0"/>
            <w:vAlign w:val="center"/>
          </w:tcPr>
          <w:p w14:paraId="36B56F30">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w:t>
            </w:r>
            <w:r>
              <w:rPr>
                <w:rFonts w:hint="eastAsia" w:ascii="仿宋" w:hAnsi="仿宋" w:eastAsia="仿宋" w:cs="仿宋"/>
                <w:color w:val="FF0000"/>
                <w:sz w:val="24"/>
                <w:szCs w:val="24"/>
              </w:rPr>
              <w:t>分</w:t>
            </w:r>
          </w:p>
        </w:tc>
      </w:tr>
      <w:tr w14:paraId="445E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14:paraId="6D894F3D">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5</w:t>
            </w:r>
          </w:p>
        </w:tc>
        <w:tc>
          <w:tcPr>
            <w:tcW w:w="1063" w:type="pct"/>
            <w:noWrap w:val="0"/>
            <w:vAlign w:val="center"/>
          </w:tcPr>
          <w:p w14:paraId="23927132">
            <w:pPr>
              <w:shd w:val="clea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服务保障</w:t>
            </w:r>
          </w:p>
        </w:tc>
        <w:tc>
          <w:tcPr>
            <w:tcW w:w="3109" w:type="pct"/>
            <w:noWrap w:val="0"/>
            <w:vAlign w:val="top"/>
          </w:tcPr>
          <w:p w14:paraId="4F40C41C">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1</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服务</w:t>
            </w:r>
            <w:r>
              <w:rPr>
                <w:rFonts w:hint="eastAsia" w:ascii="仿宋" w:hAnsi="仿宋" w:eastAsia="仿宋" w:cs="仿宋"/>
                <w:color w:val="FF0000"/>
                <w:sz w:val="24"/>
                <w:szCs w:val="24"/>
                <w:highlight w:val="none"/>
                <w:lang w:val="en-US" w:eastAsia="zh-CN"/>
              </w:rPr>
              <w:t>保障</w:t>
            </w:r>
            <w:r>
              <w:rPr>
                <w:rFonts w:hint="eastAsia" w:ascii="仿宋" w:hAnsi="仿宋" w:eastAsia="仿宋" w:cs="仿宋"/>
                <w:color w:val="FF0000"/>
                <w:sz w:val="24"/>
                <w:szCs w:val="24"/>
                <w:highlight w:val="none"/>
              </w:rPr>
              <w:t>方案和承诺以及人员到位时间承诺完整、可行，落实保障措施和其他承诺等全面周到的得</w:t>
            </w:r>
            <w:r>
              <w:rPr>
                <w:rFonts w:hint="eastAsia" w:ascii="仿宋" w:hAnsi="仿宋" w:eastAsia="仿宋" w:cs="仿宋"/>
                <w:color w:val="FF0000"/>
                <w:sz w:val="24"/>
                <w:szCs w:val="24"/>
                <w:highlight w:val="none"/>
                <w:lang w:val="en-US" w:eastAsia="zh-CN"/>
              </w:rPr>
              <w:t>3-4</w:t>
            </w:r>
            <w:r>
              <w:rPr>
                <w:rFonts w:hint="eastAsia" w:ascii="仿宋" w:hAnsi="仿宋" w:eastAsia="仿宋" w:cs="仿宋"/>
                <w:color w:val="FF0000"/>
                <w:sz w:val="24"/>
                <w:szCs w:val="24"/>
                <w:highlight w:val="none"/>
              </w:rPr>
              <w:t>分，服务方案不全面，落实保障措施和其他承诺欠缺的得</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分，除招标文件规定内容外无其他服务承诺的，该项不得分；</w:t>
            </w:r>
          </w:p>
          <w:p w14:paraId="49C36259">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2.应急响应时间：在接到招标人通知（电话、电传等）后2小时内现场响应并开展工作的得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w:t>
            </w:r>
          </w:p>
        </w:tc>
        <w:tc>
          <w:tcPr>
            <w:tcW w:w="474" w:type="pct"/>
            <w:noWrap w:val="0"/>
            <w:vAlign w:val="center"/>
          </w:tcPr>
          <w:p w14:paraId="6094C388">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6</w:t>
            </w:r>
            <w:r>
              <w:rPr>
                <w:rFonts w:hint="eastAsia" w:ascii="仿宋" w:hAnsi="仿宋" w:eastAsia="仿宋" w:cs="仿宋"/>
                <w:color w:val="FF0000"/>
                <w:sz w:val="24"/>
                <w:szCs w:val="24"/>
              </w:rPr>
              <w:t>分</w:t>
            </w:r>
          </w:p>
        </w:tc>
      </w:tr>
      <w:tr w14:paraId="175A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14:paraId="50BCE27A">
            <w:pPr>
              <w:shd w:val="clear"/>
              <w:spacing w:line="340" w:lineRule="exact"/>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1063" w:type="pct"/>
            <w:noWrap w:val="0"/>
            <w:vAlign w:val="center"/>
          </w:tcPr>
          <w:p w14:paraId="2FEF51A9">
            <w:pPr>
              <w:shd w:val="clear"/>
              <w:spacing w:line="34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eastAsia="zh-CN"/>
              </w:rPr>
              <w:t>企业业绩</w:t>
            </w:r>
          </w:p>
        </w:tc>
        <w:tc>
          <w:tcPr>
            <w:tcW w:w="3109" w:type="pct"/>
            <w:noWrap w:val="0"/>
            <w:vAlign w:val="center"/>
          </w:tcPr>
          <w:p w14:paraId="6E7C9052">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 xml:space="preserve">投标单位自 2021年1月1日起（时间以合同签订时期为准）承接的类似业绩进行评审，每个得3分，本项最高得6分。 </w:t>
            </w:r>
          </w:p>
          <w:p w14:paraId="235ED2DF">
            <w:pPr>
              <w:keepNext w:val="0"/>
              <w:keepLines w:val="0"/>
              <w:widowControl/>
              <w:suppressLineNumbers w:val="0"/>
              <w:shd w:val="clear"/>
              <w:jc w:val="left"/>
              <w:rPr>
                <w:rFonts w:hint="eastAsia" w:ascii="仿宋" w:hAnsi="仿宋" w:eastAsia="仿宋" w:cs="仿宋"/>
                <w:color w:val="FF0000"/>
                <w:sz w:val="24"/>
                <w:szCs w:val="24"/>
                <w:highlight w:val="none"/>
                <w:lang w:eastAsia="zh-CN"/>
              </w:rPr>
            </w:pPr>
            <w:r>
              <w:rPr>
                <w:rFonts w:hint="eastAsia" w:ascii="仿宋" w:hAnsi="仿宋" w:eastAsia="仿宋" w:cs="仿宋"/>
                <w:color w:val="FF0000"/>
                <w:kern w:val="0"/>
                <w:sz w:val="24"/>
                <w:szCs w:val="24"/>
                <w:highlight w:val="none"/>
                <w:lang w:val="en-US" w:eastAsia="zh-CN" w:bidi="ar"/>
              </w:rPr>
              <w:t xml:space="preserve">注：投标人需提供合同并加盖公章(复印件或扫描件或影印件)，否则评分不予认可;时间以合同签订时间为准。 </w:t>
            </w:r>
          </w:p>
        </w:tc>
        <w:tc>
          <w:tcPr>
            <w:tcW w:w="474" w:type="pct"/>
            <w:noWrap w:val="0"/>
            <w:vAlign w:val="center"/>
          </w:tcPr>
          <w:p w14:paraId="3D7F8EFE">
            <w:pPr>
              <w:shd w:val="clea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6分</w:t>
            </w:r>
          </w:p>
        </w:tc>
      </w:tr>
      <w:tr w14:paraId="6227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14:paraId="1472129F">
            <w:pPr>
              <w:shd w:val="clear"/>
              <w:spacing w:line="340" w:lineRule="exact"/>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7</w:t>
            </w:r>
          </w:p>
        </w:tc>
        <w:tc>
          <w:tcPr>
            <w:tcW w:w="1063" w:type="pct"/>
            <w:noWrap w:val="0"/>
            <w:vAlign w:val="center"/>
          </w:tcPr>
          <w:p w14:paraId="681CDE47">
            <w:pPr>
              <w:shd w:val="clear"/>
              <w:spacing w:line="34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应急保障措施</w:t>
            </w:r>
          </w:p>
        </w:tc>
        <w:tc>
          <w:tcPr>
            <w:tcW w:w="3109" w:type="pct"/>
            <w:noWrap w:val="0"/>
            <w:vAlign w:val="center"/>
          </w:tcPr>
          <w:p w14:paraId="31456830">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根据投标人提供的应急保障措施（突发事件应急处理及重大活动保障的人员配置、机械配置、应急处置方案，落实专职人员等内容）,视其方案是否覆盖全面，是否科学合理，是否具有针对性和可操作性等进行综合评审，本项最高得4分。</w:t>
            </w:r>
          </w:p>
        </w:tc>
        <w:tc>
          <w:tcPr>
            <w:tcW w:w="474" w:type="pct"/>
            <w:noWrap w:val="0"/>
            <w:vAlign w:val="center"/>
          </w:tcPr>
          <w:p w14:paraId="58B71846">
            <w:pPr>
              <w:shd w:val="clea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4分</w:t>
            </w:r>
          </w:p>
        </w:tc>
      </w:tr>
    </w:tbl>
    <w:p w14:paraId="6C2230D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39B8A99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70FAA21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2E39567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7132F8B8">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36C217EF">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2FCD72AA">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35680EDD">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3164D563">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2D34A6D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0025650E">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4D3576D4">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3A7D834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0E8E5568">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46F41AF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58ED576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2444E3F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3130CA8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3F8E11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05568F54">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66B88AD7">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3A221B26">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BC59E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73B7738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2A7BD552">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C8E0501">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7C0EF1ED">
      <w:pPr>
        <w:pStyle w:val="4"/>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0AACA331">
      <w:pPr>
        <w:pStyle w:val="4"/>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2E8FC033">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13DD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6BC4732B">
            <w:pPr>
              <w:rPr>
                <w:rFonts w:hint="eastAsia" w:ascii="仿宋_GB2312" w:hAnsi="仿宋_GB2312" w:eastAsia="仿宋_GB2312" w:cs="仿宋_GB2312"/>
                <w:kern w:val="0"/>
                <w:sz w:val="28"/>
                <w:szCs w:val="28"/>
              </w:rPr>
            </w:pPr>
          </w:p>
          <w:p w14:paraId="17E9887C">
            <w:pPr>
              <w:rPr>
                <w:rFonts w:hint="eastAsia" w:ascii="仿宋_GB2312" w:hAnsi="仿宋_GB2312" w:eastAsia="仿宋_GB2312" w:cs="仿宋_GB2312"/>
                <w:kern w:val="0"/>
                <w:sz w:val="28"/>
                <w:szCs w:val="28"/>
              </w:rPr>
            </w:pPr>
          </w:p>
          <w:p w14:paraId="7B9DD139">
            <w:pPr>
              <w:rPr>
                <w:rFonts w:hint="eastAsia" w:ascii="仿宋_GB2312" w:hAnsi="仿宋_GB2312" w:eastAsia="仿宋_GB2312" w:cs="仿宋_GB2312"/>
                <w:kern w:val="0"/>
                <w:sz w:val="28"/>
                <w:szCs w:val="28"/>
              </w:rPr>
            </w:pPr>
          </w:p>
          <w:p w14:paraId="42747371">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141F42E5">
            <w:pPr>
              <w:ind w:firstLine="640" w:firstLineChars="200"/>
              <w:rPr>
                <w:rFonts w:hint="eastAsia" w:ascii="仿宋_GB2312" w:hAnsi="仿宋_GB2312" w:eastAsia="仿宋_GB2312" w:cs="仿宋_GB2312"/>
                <w:kern w:val="0"/>
                <w:sz w:val="32"/>
                <w:szCs w:val="32"/>
                <w:u w:val="single"/>
              </w:rPr>
            </w:pPr>
          </w:p>
          <w:p w14:paraId="092C3063">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44933BBE">
            <w:pPr>
              <w:ind w:firstLine="960" w:firstLineChars="300"/>
              <w:rPr>
                <w:rFonts w:hint="eastAsia" w:ascii="仿宋_GB2312" w:hAnsi="仿宋_GB2312" w:eastAsia="仿宋_GB2312" w:cs="仿宋_GB2312"/>
                <w:kern w:val="0"/>
                <w:sz w:val="32"/>
                <w:szCs w:val="32"/>
                <w:u w:val="single"/>
              </w:rPr>
            </w:pPr>
          </w:p>
          <w:p w14:paraId="2FDF0195">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0C8ECA50">
            <w:pPr>
              <w:ind w:firstLine="960" w:firstLineChars="300"/>
              <w:rPr>
                <w:rFonts w:hint="eastAsia" w:ascii="仿宋_GB2312" w:hAnsi="仿宋_GB2312" w:eastAsia="仿宋_GB2312" w:cs="仿宋_GB2312"/>
                <w:kern w:val="0"/>
                <w:sz w:val="32"/>
                <w:szCs w:val="32"/>
                <w:u w:val="single"/>
              </w:rPr>
            </w:pPr>
          </w:p>
          <w:p w14:paraId="495DD3DF">
            <w:pPr>
              <w:ind w:firstLine="160" w:firstLineChars="50"/>
              <w:rPr>
                <w:rFonts w:hint="eastAsia" w:ascii="仿宋_GB2312" w:hAnsi="仿宋_GB2312" w:eastAsia="仿宋_GB2312" w:cs="仿宋_GB2312"/>
                <w:kern w:val="0"/>
                <w:sz w:val="32"/>
                <w:szCs w:val="32"/>
              </w:rPr>
            </w:pPr>
          </w:p>
          <w:p w14:paraId="312EEE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0DCA1C16">
            <w:pPr>
              <w:rPr>
                <w:rFonts w:hint="eastAsia" w:ascii="仿宋_GB2312" w:hAnsi="仿宋_GB2312" w:eastAsia="仿宋_GB2312" w:cs="仿宋_GB2312"/>
                <w:kern w:val="0"/>
                <w:sz w:val="32"/>
                <w:szCs w:val="32"/>
              </w:rPr>
            </w:pPr>
          </w:p>
          <w:p w14:paraId="499E2910">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7A4B6B30">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2526F8AB">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6B28599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613CEC34">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4ADB8D1D">
            <w:pPr>
              <w:rPr>
                <w:rFonts w:hint="eastAsia" w:ascii="仿宋_GB2312" w:hAnsi="仿宋_GB2312" w:eastAsia="仿宋_GB2312" w:cs="仿宋_GB2312"/>
                <w:kern w:val="0"/>
                <w:sz w:val="28"/>
                <w:szCs w:val="28"/>
              </w:rPr>
            </w:pPr>
          </w:p>
        </w:tc>
      </w:tr>
    </w:tbl>
    <w:p w14:paraId="5D656779">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0AEC215B">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696EDA6B">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190A9268">
      <w:pPr>
        <w:keepNext w:val="0"/>
        <w:keepLines w:val="0"/>
        <w:pageBreakBefore w:val="0"/>
        <w:widowControl w:val="0"/>
        <w:numPr>
          <w:ilvl w:val="0"/>
          <w:numId w:val="2"/>
        </w:numPr>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yellow"/>
          <w:lang w:val="en-US" w:eastAsia="zh-CN"/>
        </w:rPr>
        <w:t>折扣</w:t>
      </w:r>
      <w:r>
        <w:rPr>
          <w:rFonts w:hint="eastAsia" w:ascii="仿宋_GB2312" w:hAnsi="仿宋_GB2312" w:eastAsia="仿宋_GB2312" w:cs="仿宋_GB2312"/>
          <w:sz w:val="28"/>
          <w:szCs w:val="28"/>
          <w:highlight w:val="none"/>
        </w:rPr>
        <w:t>并按招标文件要求承包上述工程的施工、竣工，并承担任何质量缺陷保修责任。</w:t>
      </w:r>
    </w:p>
    <w:p w14:paraId="58DBEBE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6AE3B20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360CD51F">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1E4736E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16016BD6">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555C23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6AC4375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2405D37E">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419FD9C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656B5F">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7E255859">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B98EE8D">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5F8805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49623E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6A7D41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44EC85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2F73A6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04ACCA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550C06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3A530EB9">
      <w:pPr>
        <w:pStyle w:val="12"/>
        <w:rPr>
          <w:rFonts w:hint="eastAsia"/>
          <w:sz w:val="28"/>
          <w:szCs w:val="28"/>
        </w:rPr>
      </w:pPr>
    </w:p>
    <w:p w14:paraId="297FB56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7F91EAA2">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2A1D40AB">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36E3192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021E2C49">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C8A41D5">
      <w:pPr>
        <w:pStyle w:val="2"/>
        <w:rPr>
          <w:rFonts w:hint="eastAsia" w:ascii="仿宋" w:hAnsi="仿宋" w:eastAsia="仿宋" w:cs="仿宋"/>
          <w:sz w:val="28"/>
          <w:szCs w:val="28"/>
        </w:rPr>
      </w:pPr>
    </w:p>
    <w:p w14:paraId="0A0D67CD">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5389BC9C">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15F12B9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04832E0">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26CBBE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6A80A8C">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6D9BAD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2786D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B0F80A7">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10D03F">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34970A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B105CE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A4B2D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D4659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756BFC">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82F3EE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901C9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A7B2A9A">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68BFC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CAA4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D21147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0C899A">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7C4CD4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B5D489">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4A7452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D2865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82060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CD0E81A">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FE884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B0CAC">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C8E0F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97D5FB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B2B89F">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89CDC8">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7174FC">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5BD80008">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5DCA936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F776CA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85700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DF119F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CAB1D7">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CE547B6">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5286341">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3CC3AF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39E1E8D4">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E4A40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EC431B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35273B2">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247EB8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2FE20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1DB9D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844CCE1">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7E4E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4BD71F">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11F8A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5490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152B4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6189D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D4E3DD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D480E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70AD4B5">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4AAC9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2F86F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3B09A95">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ADFB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075BA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2E533C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5B7829">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0BDFD52">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362CD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96D7A5E">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1682B6D">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0DE6A06">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24CE92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539510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8EDBDC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1598A3CF">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27DE0E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C1072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4F6473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A5B344">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2BE91D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C793FE">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A7A6CC">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A52A86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B426BF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B07B17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B13FA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D34D4BF">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E39954">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7DCA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F2710F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452C82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7C048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66522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B02F4C">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8721D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6265E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C5E82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BF8DF1">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F038D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1FC42F7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1A13F41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30A352E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8CDE6F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30956B8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0D51B64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02DD2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620845D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2807010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4753EF6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265BB84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0555E8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585C2C7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5D74EB78">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318F4515">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49A81EE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53E2B18F">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691B8DD0">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1DC1D36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BE6168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48900CDE">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746B4B4">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3CE70F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532092E">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190A14EF">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5E35CA0F">
      <w:pPr>
        <w:pStyle w:val="12"/>
        <w:rPr>
          <w:rFonts w:hint="eastAsia"/>
          <w:sz w:val="28"/>
          <w:szCs w:val="28"/>
          <w:lang w:val="zh-CN"/>
        </w:rPr>
      </w:pPr>
    </w:p>
    <w:p w14:paraId="5D1ADB7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698E40E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04F10BC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C7C8CB1">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EE357F5">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53439935">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3F11A330">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3CAD633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807973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C04D2DC">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14AC7632">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2656C3D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2880042A">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376C6A65">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213ACA21">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06D7731B">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承诺书</w:t>
      </w:r>
    </w:p>
    <w:p w14:paraId="16BB9D18">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47CFB5B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2D759EA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32E966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797D04A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7FB0598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009146E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0B5E62C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3DA26F4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6AA47C4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048F7DE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7E5F3D6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36F19E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678E03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6C6F2AB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5B9BAF2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1E36FD3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2BD035E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0EC4630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239163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6F914B3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36F9690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76E29F7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1DA87E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0C9C56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6698396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09BB906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4B33C60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57172C7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57CE021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178CF3D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120A524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50FDED6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546E26A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7D9E420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0F5CDC4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1FBDECC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06B43F5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550713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D2D4BB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629026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59788A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1295F6E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7E4BCC5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53C824B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A1089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4C6A69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3BF616B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020C262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96951E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38CCB3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33D67E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1C8685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6D6B9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29004D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480018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547944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3B317E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64C8C0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6838E6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3DA3C7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6287EF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61D2AB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0E7F7A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03ED82B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4B036F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2A321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38A412C">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45219B75">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6037A387">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859C059">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2E411F85">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6A53B802">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27C11714">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496A572C">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6BF78D6A">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47DBB049">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16156564">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25371964">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612260F0">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795F68A4">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764CFF89">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223158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36D5565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B8DC3FB">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575725DA">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5A6986F6">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63C6EC6F">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29672CB">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A9D29BF">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76F7D154">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636E557F">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A2BDAD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7EC849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50A8F1D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143474C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4ECBA9F6">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681101">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967B2CB">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F793F8D">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0DF424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70A4E58">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EF8207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A888006">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166D5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AF7BC06">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1DFD445">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1CA508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75E5735">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34C9329">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3F99793E">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7A13E9F">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30D216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15FD54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F94B11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5A5A03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6ED909">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F99F92F">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63D656E">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C97A0A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35889A">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9CA2FA">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C8C2D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1672D80">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41E80A">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325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0C36D">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B2D6A0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395EC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38AAB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3E8F26">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09F2D7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02FF3E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F51544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9618E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FD77D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B190C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A53237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1DFBD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B215D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99708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AC3C24">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403CC3AF">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191D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056A36AE">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06D9D4E7">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735C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5A8E87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0D1BFB3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681D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838EA7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10CB7CF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0F0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70B5A2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B1E20C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35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0BE991A">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41C6C22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91D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53F163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B632EB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DA2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D6552E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782A965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9BD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74D37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C13F2C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5EF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16C0F1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74E66B7C">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627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26A85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03251BC">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940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00E64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B7D80A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A30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DDF6DD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68B19935">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4B48D87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3A6D94E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590DF4">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3DA65C5">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0D1025C4">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2D6E82BA">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9FCBB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27EC0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2F25E4">
      <w:pPr>
        <w:rPr>
          <w:rFonts w:hint="eastAsia"/>
          <w:sz w:val="28"/>
          <w:szCs w:val="28"/>
          <w:lang w:val="en-US" w:eastAsia="zh-CN"/>
        </w:rPr>
      </w:pPr>
    </w:p>
    <w:p w14:paraId="70ACA95C">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5CD746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0C051730">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68004F88">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30CB7D36">
      <w:pPr>
        <w:keepNext w:val="0"/>
        <w:keepLines w:val="0"/>
        <w:pageBreakBefore w:val="0"/>
        <w:kinsoku/>
        <w:wordWrap/>
        <w:overflowPunct/>
        <w:topLinePunct w:val="0"/>
        <w:bidi w:val="0"/>
        <w:snapToGrid/>
        <w:spacing w:line="52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4BD8AAB4">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2C4BD0A8">
      <w:pPr>
        <w:pStyle w:val="12"/>
        <w:keepNext w:val="0"/>
        <w:keepLines w:val="0"/>
        <w:pageBreakBefore w:val="0"/>
        <w:kinsoku/>
        <w:wordWrap/>
        <w:overflowPunct/>
        <w:topLinePunct w:val="0"/>
        <w:bidi w:val="0"/>
        <w:snapToGrid/>
        <w:spacing w:after="0" w:afterLines="0" w:line="52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南浔区便民路区块有机更新项目（一期）-湖浔大道两侧（丝绸码头—年丰路）景观提升项目劳务分包工程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2EAA9E73">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湖州市南浔区湖浔大道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56112189">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建设内容包括但不限于绿化景观提升等工程，详见施工图，最终以招标人及业主单位要求为准，直至本工程满足功能性要求及设计单位、业主单位要求并竣工验收合格为止。</w:t>
          </w:r>
        </w:sdtContent>
      </w:sdt>
    </w:p>
    <w:p w14:paraId="6775967F">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403BE66F">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670AADAA">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180D7B55">
      <w:pPr>
        <w:keepNext w:val="0"/>
        <w:keepLines w:val="0"/>
        <w:pageBreakBefore w:val="0"/>
        <w:kinsoku/>
        <w:wordWrap/>
        <w:overflowPunct/>
        <w:topLinePunct w:val="0"/>
        <w:bidi w:val="0"/>
        <w:snapToGrid/>
        <w:spacing w:line="52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0BF55AED">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0834DA9D">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color w:val="auto"/>
          <w:sz w:val="28"/>
          <w:szCs w:val="28"/>
          <w:u w:val="single"/>
          <w:lang w:val="en-US" w:eastAsia="zh-CN"/>
        </w:rPr>
        <w:t>以甲方确认的工程竣工审计结算价</w:t>
      </w:r>
      <w:r>
        <w:rPr>
          <w:rFonts w:hint="eastAsia" w:ascii="仿宋_GB2312" w:hAnsi="仿宋_GB2312" w:eastAsia="仿宋_GB2312" w:cs="仿宋_GB2312"/>
          <w:sz w:val="28"/>
          <w:szCs w:val="28"/>
          <w:highlight w:val="none"/>
          <w:u w:val="single"/>
          <w:lang w:val="en-US" w:eastAsia="zh-CN"/>
        </w:rPr>
        <w:t>-甲供材料对应款项）</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下浮率）-其他扣款，同时最终结算价不得高于业主单位与甲方确认后出具的本工程竣工结算审计报告对应金额</w:t>
      </w:r>
      <w:r>
        <w:rPr>
          <w:rFonts w:hint="eastAsia" w:ascii="仿宋_GB2312" w:hAnsi="仿宋_GB2312" w:eastAsia="仿宋_GB2312" w:cs="仿宋_GB2312"/>
          <w:sz w:val="28"/>
          <w:szCs w:val="28"/>
          <w:highlight w:val="none"/>
          <w:u w:val="single"/>
          <w:lang w:val="en-US" w:eastAsia="zh-CN"/>
        </w:rPr>
        <w:t>减去甲供材料对应款项后</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下浮率）。</w:t>
      </w:r>
    </w:p>
    <w:p w14:paraId="6F72688E">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6A546354">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2024年12月20日前完工，每逾期一天罚款5万元，绿化养护期一年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5C705106">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5E7F9A39">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024F1482">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24054270">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3F6BF1E6">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408B0A1D">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B3624F7">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w:t>
      </w:r>
      <w:r>
        <w:rPr>
          <w:rFonts w:hint="eastAsia" w:ascii="仿宋_GB2312" w:hAnsi="仿宋_GB2312" w:eastAsia="仿宋_GB2312" w:cs="仿宋_GB2312"/>
          <w:color w:val="auto"/>
          <w:sz w:val="28"/>
          <w:szCs w:val="28"/>
          <w:lang w:val="en-US" w:eastAsia="zh-CN"/>
        </w:rPr>
        <w:t>绿化养护期为一年，其他范围内的</w:t>
      </w:r>
      <w:r>
        <w:rPr>
          <w:rFonts w:hint="eastAsia" w:ascii="仿宋_GB2312" w:hAnsi="仿宋_GB2312" w:eastAsia="仿宋_GB2312" w:cs="仿宋_GB2312"/>
          <w:color w:val="auto"/>
          <w:sz w:val="28"/>
          <w:szCs w:val="28"/>
          <w:lang w:val="zh-CN"/>
        </w:rPr>
        <w:t>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50D7BA80">
      <w:pPr>
        <w:keepNext w:val="0"/>
        <w:keepLines w:val="0"/>
        <w:pageBreakBefore w:val="0"/>
        <w:numPr>
          <w:ilvl w:val="0"/>
          <w:numId w:val="0"/>
        </w:numPr>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136F721B">
      <w:pPr>
        <w:pStyle w:val="12"/>
        <w:keepNext w:val="0"/>
        <w:keepLines w:val="0"/>
        <w:pageBreakBefore w:val="0"/>
        <w:numPr>
          <w:ilvl w:val="0"/>
          <w:numId w:val="0"/>
        </w:numPr>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0EF03A32">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AA510A7">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7C3D7F14">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07296B88">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601799B9">
      <w:pPr>
        <w:keepNext w:val="0"/>
        <w:keepLines w:val="0"/>
        <w:pageBreakBefore w:val="0"/>
        <w:kinsoku/>
        <w:wordWrap/>
        <w:overflowPunct/>
        <w:topLinePunct w:val="0"/>
        <w:bidi w:val="0"/>
        <w:snapToGrid/>
        <w:spacing w:line="52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007707D9">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4C52D9BD">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6284E2C6">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17FDAE17">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395D1282">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642720BA">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9ECCFD8">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45383F12">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2C0BA968">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B4F33FE">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72A6C29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0D3CF97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3FC0847F">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6C6BC7A5">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4EE06C3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5397FCE1">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2FA8DFA9">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3D9E5EA1">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2E86F8BA">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12619F2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60F8101B">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4BCC8D0F">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105BDFE7">
      <w:pPr>
        <w:keepNext w:val="0"/>
        <w:keepLines w:val="0"/>
        <w:pageBreakBefore w:val="0"/>
        <w:widowControl/>
        <w:kinsoku/>
        <w:wordWrap/>
        <w:overflowPunct/>
        <w:topLinePunct w:val="0"/>
        <w:bidi w:val="0"/>
        <w:snapToGrid/>
        <w:spacing w:line="52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C406812">
      <w:pPr>
        <w:keepNext w:val="0"/>
        <w:keepLines w:val="0"/>
        <w:pageBreakBefore w:val="0"/>
        <w:widowControl/>
        <w:kinsoku/>
        <w:wordWrap/>
        <w:overflowPunct/>
        <w:topLinePunct w:val="0"/>
        <w:bidi w:val="0"/>
        <w:snapToGrid/>
        <w:spacing w:line="52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2A150BC0">
      <w:pPr>
        <w:keepNext w:val="0"/>
        <w:keepLines w:val="0"/>
        <w:pageBreakBefore w:val="0"/>
        <w:widowControl/>
        <w:kinsoku/>
        <w:wordWrap/>
        <w:overflowPunct/>
        <w:topLinePunct w:val="0"/>
        <w:bidi w:val="0"/>
        <w:snapToGrid/>
        <w:spacing w:line="52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4A3E4019">
      <w:pPr>
        <w:keepNext w:val="0"/>
        <w:keepLines w:val="0"/>
        <w:pageBreakBefore w:val="0"/>
        <w:widowControl/>
        <w:kinsoku/>
        <w:wordWrap/>
        <w:overflowPunct/>
        <w:topLinePunct w:val="0"/>
        <w:bidi w:val="0"/>
        <w:snapToGrid/>
        <w:spacing w:line="52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F3B197C">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7256B611">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6DF40D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BA1F22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1B9651F">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18FE8173">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36F2DD8B">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20336C2B">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799CE646">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ACF795">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60638662">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277972F">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233CD9D6">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205D338D">
      <w:pPr>
        <w:keepNext w:val="0"/>
        <w:keepLines w:val="0"/>
        <w:pageBreakBefore w:val="0"/>
        <w:widowControl/>
        <w:tabs>
          <w:tab w:val="left" w:pos="0"/>
        </w:tabs>
        <w:kinsoku/>
        <w:wordWrap/>
        <w:overflowPunct/>
        <w:topLinePunct w:val="0"/>
        <w:bidi w:val="0"/>
        <w:snapToGrid/>
        <w:spacing w:line="52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6292365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EAD13FF">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71781A01">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w:t>
      </w:r>
      <w:r>
        <w:rPr>
          <w:rFonts w:hint="eastAsia" w:ascii="仿宋_GB2312" w:hAnsi="仿宋_GB2312" w:eastAsia="仿宋_GB2312" w:cs="仿宋_GB2312"/>
          <w:color w:val="auto"/>
          <w:kern w:val="0"/>
          <w:sz w:val="28"/>
          <w:szCs w:val="28"/>
          <w:lang w:val="en-US" w:eastAsia="zh-CN"/>
        </w:rPr>
        <w:t>每天5万元的金额</w:t>
      </w:r>
      <w:r>
        <w:rPr>
          <w:rFonts w:hint="eastAsia" w:ascii="仿宋_GB2312" w:hAnsi="仿宋_GB2312" w:eastAsia="仿宋_GB2312" w:cs="仿宋_GB2312"/>
          <w:color w:val="auto"/>
          <w:kern w:val="0"/>
          <w:sz w:val="28"/>
          <w:szCs w:val="28"/>
          <w:lang w:val="zh-CN" w:eastAsia="zh-CN"/>
        </w:rPr>
        <w:t>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7E06413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531D57B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77514D2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3ACA171D">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76AE58A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636E0BBA">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73B92815">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289CFC54">
      <w:pPr>
        <w:keepNext w:val="0"/>
        <w:keepLines w:val="0"/>
        <w:pageBreakBefore w:val="0"/>
        <w:widowControl/>
        <w:kinsoku/>
        <w:wordWrap/>
        <w:overflowPunct/>
        <w:topLinePunct w:val="0"/>
        <w:bidi w:val="0"/>
        <w:snapToGrid/>
        <w:spacing w:line="52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3165C27B">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695E299D">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3F31D79">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5DF2E39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48F2838C">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1441797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59873421">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1A2055">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49834F6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08D58E36">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381025D5">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0F22F6D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37D029B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54854E9B">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50E7227F">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30AD8FD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055A0F4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256A7C0D">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BC8B390">
      <w:pPr>
        <w:keepNext w:val="0"/>
        <w:keepLines w:val="0"/>
        <w:pageBreakBefore w:val="0"/>
        <w:widowControl/>
        <w:kinsoku/>
        <w:wordWrap/>
        <w:overflowPunct/>
        <w:topLinePunct w:val="0"/>
        <w:bidi w:val="0"/>
        <w:snapToGrid/>
        <w:spacing w:line="52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02BE3D7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128DDA49">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76F48D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18C306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1E050C4E">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3F80EEAC">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505548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1EB9701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544D17F4">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120A9075">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0C6D22E0">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7F1A43DF">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2F4FB496">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25567CD4">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2811EAE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rPr>
        <w:t>(业主单位确认的结算审计价-甲供材对应的款项)×(1-</w:t>
      </w:r>
      <w:r>
        <w:rPr>
          <w:rFonts w:hint="eastAsia" w:ascii="仿宋_GB2312" w:hAnsi="仿宋_GB2312" w:eastAsia="仿宋_GB2312" w:cs="仿宋_GB2312"/>
          <w:sz w:val="28"/>
          <w:szCs w:val="28"/>
          <w:highlight w:val="none"/>
          <w:lang w:val="en-US" w:eastAsia="zh-CN"/>
        </w:rPr>
        <w:t>下浮率</w:t>
      </w:r>
      <w:r>
        <w:rPr>
          <w:rFonts w:hint="eastAsia" w:ascii="仿宋_GB2312" w:hAnsi="仿宋_GB2312" w:eastAsia="仿宋_GB2312" w:cs="仿宋_GB2312"/>
          <w:sz w:val="28"/>
          <w:szCs w:val="28"/>
          <w:highlight w:val="none"/>
        </w:rPr>
        <w:t>)-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70A01B5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31816E1D">
      <w:pPr>
        <w:keepNext w:val="0"/>
        <w:keepLines w:val="0"/>
        <w:pageBreakBefore w:val="0"/>
        <w:widowControl/>
        <w:kinsoku/>
        <w:wordWrap/>
        <w:overflowPunct/>
        <w:topLinePunct w:val="0"/>
        <w:autoSpaceDE w:val="0"/>
        <w:autoSpaceDN w:val="0"/>
        <w:bidi w:val="0"/>
        <w:snapToGrid/>
        <w:spacing w:line="52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5C6112F5">
      <w:pPr>
        <w:keepNext w:val="0"/>
        <w:keepLines w:val="0"/>
        <w:pageBreakBefore w:val="0"/>
        <w:widowControl/>
        <w:kinsoku/>
        <w:wordWrap/>
        <w:overflowPunct/>
        <w:topLinePunct w:val="0"/>
        <w:autoSpaceDE w:val="0"/>
        <w:autoSpaceDN w:val="0"/>
        <w:bidi w:val="0"/>
        <w:snapToGrid/>
        <w:spacing w:line="52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779DA795">
      <w:pPr>
        <w:keepNext w:val="0"/>
        <w:keepLines w:val="0"/>
        <w:pageBreakBefore w:val="0"/>
        <w:widowControl/>
        <w:kinsoku/>
        <w:wordWrap/>
        <w:overflowPunct/>
        <w:topLinePunct w:val="0"/>
        <w:bidi w:val="0"/>
        <w:snapToGrid/>
        <w:spacing w:line="52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59CF4A09">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5B447CE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1D05A406">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40AAC9CD">
      <w:pPr>
        <w:keepNext w:val="0"/>
        <w:keepLines w:val="0"/>
        <w:pageBreakBefore w:val="0"/>
        <w:widowControl/>
        <w:kinsoku/>
        <w:wordWrap/>
        <w:overflowPunct/>
        <w:topLinePunct w:val="0"/>
        <w:autoSpaceDE w:val="0"/>
        <w:autoSpaceDN w:val="0"/>
        <w:bidi w:val="0"/>
        <w:snapToGrid/>
        <w:spacing w:line="52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111465E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2B84B61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58C6C26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62ED2CA0">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58AB2D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21CFD8BC">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37F1C28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14:paraId="1736DC5D">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0EBC294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264AFE0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416BE58E">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A7433D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720EF21">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37EC2AA9">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739EF8DE">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751E50A3">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7BA16FD">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123E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0410F">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490410F">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3687">
    <w:pPr>
      <w:pStyle w:val="8"/>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CDBF8A">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CDBF8A">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868D">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5F4EB"/>
    <w:multiLevelType w:val="singleLevel"/>
    <w:tmpl w:val="90B5F4EB"/>
    <w:lvl w:ilvl="0" w:tentative="0">
      <w:start w:val="1"/>
      <w:numFmt w:val="decimal"/>
      <w:suff w:val="nothing"/>
      <w:lvlText w:val="%1、"/>
      <w:lvlJc w:val="left"/>
    </w:lvl>
  </w:abstractNum>
  <w:abstractNum w:abstractNumId="1">
    <w:nsid w:val="9FCE44E3"/>
    <w:multiLevelType w:val="singleLevel"/>
    <w:tmpl w:val="9FCE44E3"/>
    <w:lvl w:ilvl="0" w:tentative="0">
      <w:start w:val="1"/>
      <w:numFmt w:val="chineseCounting"/>
      <w:suff w:val="nothing"/>
      <w:lvlText w:val="%1、"/>
      <w:lvlJc w:val="left"/>
      <w:rPr>
        <w:rFonts w:hint="eastAsia"/>
      </w:rPr>
    </w:lvl>
  </w:abstractNum>
  <w:abstractNum w:abstractNumId="2">
    <w:nsid w:val="CCAC7462"/>
    <w:multiLevelType w:val="singleLevel"/>
    <w:tmpl w:val="CCAC7462"/>
    <w:lvl w:ilvl="0" w:tentative="0">
      <w:start w:val="1"/>
      <w:numFmt w:val="decimal"/>
      <w:suff w:val="nothing"/>
      <w:lvlText w:val="%1、"/>
      <w:lvlJc w:val="left"/>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7C8A8F1E"/>
    <w:multiLevelType w:val="singleLevel"/>
    <w:tmpl w:val="7C8A8F1E"/>
    <w:lvl w:ilvl="0" w:tentative="0">
      <w:start w:val="2"/>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657C13"/>
    <w:rsid w:val="01784586"/>
    <w:rsid w:val="024D517C"/>
    <w:rsid w:val="02BC3862"/>
    <w:rsid w:val="02BC5875"/>
    <w:rsid w:val="03004097"/>
    <w:rsid w:val="033A3031"/>
    <w:rsid w:val="036F73CD"/>
    <w:rsid w:val="05C27936"/>
    <w:rsid w:val="060D2627"/>
    <w:rsid w:val="0664493D"/>
    <w:rsid w:val="07034D03"/>
    <w:rsid w:val="0713175F"/>
    <w:rsid w:val="085A0624"/>
    <w:rsid w:val="08A300C3"/>
    <w:rsid w:val="08FB4D60"/>
    <w:rsid w:val="095716CC"/>
    <w:rsid w:val="096176C5"/>
    <w:rsid w:val="0A2B40C2"/>
    <w:rsid w:val="0A7439FC"/>
    <w:rsid w:val="0ABC39D8"/>
    <w:rsid w:val="0B694C76"/>
    <w:rsid w:val="0BD0477F"/>
    <w:rsid w:val="0BF564ED"/>
    <w:rsid w:val="0BFE5400"/>
    <w:rsid w:val="0C380864"/>
    <w:rsid w:val="0D214F69"/>
    <w:rsid w:val="0D435CF0"/>
    <w:rsid w:val="0D5B23CC"/>
    <w:rsid w:val="0D8B3083"/>
    <w:rsid w:val="0DC10698"/>
    <w:rsid w:val="0E213296"/>
    <w:rsid w:val="0FFB54E4"/>
    <w:rsid w:val="109275A9"/>
    <w:rsid w:val="11A91315"/>
    <w:rsid w:val="11BB562D"/>
    <w:rsid w:val="128C4F28"/>
    <w:rsid w:val="130872F3"/>
    <w:rsid w:val="140B4E5D"/>
    <w:rsid w:val="1437301A"/>
    <w:rsid w:val="14D7441E"/>
    <w:rsid w:val="150838E9"/>
    <w:rsid w:val="160C4FAD"/>
    <w:rsid w:val="16CA7145"/>
    <w:rsid w:val="16D80B50"/>
    <w:rsid w:val="172401FC"/>
    <w:rsid w:val="175E1271"/>
    <w:rsid w:val="177B16DD"/>
    <w:rsid w:val="17F90A1F"/>
    <w:rsid w:val="18651DBE"/>
    <w:rsid w:val="187C372F"/>
    <w:rsid w:val="188B1748"/>
    <w:rsid w:val="18A36ECA"/>
    <w:rsid w:val="18F03818"/>
    <w:rsid w:val="18FD3554"/>
    <w:rsid w:val="1A826484"/>
    <w:rsid w:val="1B290206"/>
    <w:rsid w:val="1BA12396"/>
    <w:rsid w:val="1D8A0AF6"/>
    <w:rsid w:val="1EDA1C32"/>
    <w:rsid w:val="1F4F5857"/>
    <w:rsid w:val="20966027"/>
    <w:rsid w:val="213C72D1"/>
    <w:rsid w:val="21A9704B"/>
    <w:rsid w:val="21E5246C"/>
    <w:rsid w:val="2206479B"/>
    <w:rsid w:val="22CA10EE"/>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264351"/>
    <w:rsid w:val="32723FB1"/>
    <w:rsid w:val="328416F9"/>
    <w:rsid w:val="33BE1F6B"/>
    <w:rsid w:val="34390751"/>
    <w:rsid w:val="343D1E3E"/>
    <w:rsid w:val="34B25A95"/>
    <w:rsid w:val="34C66947"/>
    <w:rsid w:val="35753641"/>
    <w:rsid w:val="35A6558D"/>
    <w:rsid w:val="35C32B3D"/>
    <w:rsid w:val="37250DEE"/>
    <w:rsid w:val="37855A0B"/>
    <w:rsid w:val="37D7017A"/>
    <w:rsid w:val="38871C41"/>
    <w:rsid w:val="38993E43"/>
    <w:rsid w:val="38995E18"/>
    <w:rsid w:val="396D25ED"/>
    <w:rsid w:val="39C872B8"/>
    <w:rsid w:val="3A0B4AF4"/>
    <w:rsid w:val="3A8373E6"/>
    <w:rsid w:val="3B346B06"/>
    <w:rsid w:val="3B790C66"/>
    <w:rsid w:val="3CCF61D5"/>
    <w:rsid w:val="3DC049AF"/>
    <w:rsid w:val="3EE94E91"/>
    <w:rsid w:val="3F5F6F4D"/>
    <w:rsid w:val="401933BF"/>
    <w:rsid w:val="401B49F1"/>
    <w:rsid w:val="407C2246"/>
    <w:rsid w:val="40CC5ECD"/>
    <w:rsid w:val="41B8341B"/>
    <w:rsid w:val="41CA6631"/>
    <w:rsid w:val="42913872"/>
    <w:rsid w:val="4298463C"/>
    <w:rsid w:val="42C67AC2"/>
    <w:rsid w:val="42E64203"/>
    <w:rsid w:val="43DB70C2"/>
    <w:rsid w:val="44743BF0"/>
    <w:rsid w:val="448A4217"/>
    <w:rsid w:val="453C0B5F"/>
    <w:rsid w:val="4544519C"/>
    <w:rsid w:val="45466415"/>
    <w:rsid w:val="46606607"/>
    <w:rsid w:val="46EE0CE7"/>
    <w:rsid w:val="477C0DDF"/>
    <w:rsid w:val="478443ED"/>
    <w:rsid w:val="48475477"/>
    <w:rsid w:val="486C6290"/>
    <w:rsid w:val="48AD296E"/>
    <w:rsid w:val="4933371F"/>
    <w:rsid w:val="49F45690"/>
    <w:rsid w:val="49FB423D"/>
    <w:rsid w:val="4A4519BA"/>
    <w:rsid w:val="4A7D1CB1"/>
    <w:rsid w:val="4A943DFB"/>
    <w:rsid w:val="4ACB29B1"/>
    <w:rsid w:val="4AF72C27"/>
    <w:rsid w:val="4BE44F69"/>
    <w:rsid w:val="4C8C20EA"/>
    <w:rsid w:val="4C95730F"/>
    <w:rsid w:val="4CA046F7"/>
    <w:rsid w:val="4D566987"/>
    <w:rsid w:val="4D72579F"/>
    <w:rsid w:val="4EC17644"/>
    <w:rsid w:val="4ED11A10"/>
    <w:rsid w:val="4F200B46"/>
    <w:rsid w:val="4F2C520F"/>
    <w:rsid w:val="4F3B50DC"/>
    <w:rsid w:val="4F9801E7"/>
    <w:rsid w:val="501723E6"/>
    <w:rsid w:val="50812FC2"/>
    <w:rsid w:val="50DC22A0"/>
    <w:rsid w:val="51434989"/>
    <w:rsid w:val="526B23B2"/>
    <w:rsid w:val="52B64033"/>
    <w:rsid w:val="532D3F45"/>
    <w:rsid w:val="541A5D36"/>
    <w:rsid w:val="544431D4"/>
    <w:rsid w:val="55B87767"/>
    <w:rsid w:val="560E77FD"/>
    <w:rsid w:val="56456A74"/>
    <w:rsid w:val="57230952"/>
    <w:rsid w:val="57376AD1"/>
    <w:rsid w:val="57522A51"/>
    <w:rsid w:val="580C6F3F"/>
    <w:rsid w:val="58DC194D"/>
    <w:rsid w:val="59875B51"/>
    <w:rsid w:val="59DF66FA"/>
    <w:rsid w:val="5A653BEA"/>
    <w:rsid w:val="5B73507F"/>
    <w:rsid w:val="5C1678E0"/>
    <w:rsid w:val="5D022039"/>
    <w:rsid w:val="5D485DCD"/>
    <w:rsid w:val="5ED66666"/>
    <w:rsid w:val="5F4F2C53"/>
    <w:rsid w:val="5F7E0DDA"/>
    <w:rsid w:val="609360DE"/>
    <w:rsid w:val="60A87BAD"/>
    <w:rsid w:val="61083DAF"/>
    <w:rsid w:val="617A50C8"/>
    <w:rsid w:val="61990971"/>
    <w:rsid w:val="62086F99"/>
    <w:rsid w:val="63665421"/>
    <w:rsid w:val="63E11AC6"/>
    <w:rsid w:val="64E948B9"/>
    <w:rsid w:val="650E0CA2"/>
    <w:rsid w:val="66221F5E"/>
    <w:rsid w:val="669E0497"/>
    <w:rsid w:val="66D907B5"/>
    <w:rsid w:val="67121B6C"/>
    <w:rsid w:val="67B31BB7"/>
    <w:rsid w:val="680E6F72"/>
    <w:rsid w:val="684A751B"/>
    <w:rsid w:val="689950F9"/>
    <w:rsid w:val="69244882"/>
    <w:rsid w:val="69376C54"/>
    <w:rsid w:val="69DD59B8"/>
    <w:rsid w:val="6AB563C0"/>
    <w:rsid w:val="6ACB5B2B"/>
    <w:rsid w:val="6AD63EF6"/>
    <w:rsid w:val="6B2A0C5C"/>
    <w:rsid w:val="6B8159D3"/>
    <w:rsid w:val="6DE52AA7"/>
    <w:rsid w:val="6E244BCE"/>
    <w:rsid w:val="6E6E390B"/>
    <w:rsid w:val="6F370F32"/>
    <w:rsid w:val="6FDD7C1E"/>
    <w:rsid w:val="71774396"/>
    <w:rsid w:val="71890927"/>
    <w:rsid w:val="71AC4A9F"/>
    <w:rsid w:val="72044E22"/>
    <w:rsid w:val="72841C5F"/>
    <w:rsid w:val="72B969ED"/>
    <w:rsid w:val="73D20082"/>
    <w:rsid w:val="747E250F"/>
    <w:rsid w:val="74B67236"/>
    <w:rsid w:val="750232A8"/>
    <w:rsid w:val="75F16FE0"/>
    <w:rsid w:val="75F82D28"/>
    <w:rsid w:val="76B348A4"/>
    <w:rsid w:val="779D1A5F"/>
    <w:rsid w:val="77CC339C"/>
    <w:rsid w:val="7A1B7966"/>
    <w:rsid w:val="7A401E4C"/>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annotation text"/>
    <w:basedOn w:val="1"/>
    <w:qFormat/>
    <w:uiPriority w:val="0"/>
    <w:pPr>
      <w:jc w:val="left"/>
    </w:pPr>
  </w:style>
  <w:style w:type="paragraph" w:styleId="6">
    <w:name w:val="Body Text"/>
    <w:basedOn w:val="1"/>
    <w:unhideWhenUsed/>
    <w:qFormat/>
    <w:uiPriority w:val="99"/>
    <w:pPr>
      <w:spacing w:after="120" w:afterLines="0" w:afterAutospacing="0"/>
    </w:p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6"/>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3">
    <w:name w:val="Body Text First Indent 2"/>
    <w:basedOn w:val="7"/>
    <w:qFormat/>
    <w:uiPriority w:val="0"/>
    <w:pPr>
      <w:tabs>
        <w:tab w:val="left" w:pos="0"/>
        <w:tab w:val="left" w:pos="993"/>
        <w:tab w:val="left" w:pos="1134"/>
        <w:tab w:val="left" w:pos="7060"/>
      </w:tabs>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8">
    <w:name w:val="普通正文"/>
    <w:basedOn w:val="1"/>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02CA97AE">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03571875">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6E90E196">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1EEA9958">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1B79B281">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47EC1FEF">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728975B7">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0751AF8A">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24D934BE">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29DD14CF">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5B43D300">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7E3E6252">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61ADCD6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25918</Words>
  <Characters>26342</Characters>
  <Lines>0</Lines>
  <Paragraphs>0</Paragraphs>
  <TotalTime>3</TotalTime>
  <ScaleCrop>false</ScaleCrop>
  <LinksUpToDate>false</LinksUpToDate>
  <CharactersWithSpaces>27311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湖州市南浔区湖浔大道 </dc:description>
  <cp:keywords>南浔区便民路区块有机更新项目（一期）-湖浔大道两侧（丝绸码头—年丰路）景观提升项目劳务分包工程</cp:keywords>
  <cp:lastModifiedBy>SJ</cp:lastModifiedBy>
  <cp:lastPrinted>2024-11-01T06:46:00Z</cp:lastPrinted>
  <dcterms:modified xsi:type="dcterms:W3CDTF">2024-11-11T06:21:47Z</dcterms:modified>
  <dc:subject>建设内容包括但不限于绿化景观提升等工程，详见施工图，最终以招标人及业主单位要求为准，直至本工程满足功能性要求及设计单位、业主单位要求并竣工验收合格为止。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4694928C8C4545DB99332A903739E6C8_11</vt:lpwstr>
  </property>
</Properties>
</file>