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724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179632530"/>
      <w:bookmarkStart w:id="1" w:name="_Toc246996903"/>
      <w:bookmarkStart w:id="2" w:name="_Toc247085674"/>
      <w:bookmarkStart w:id="3" w:name="_Toc144974482"/>
      <w:bookmarkStart w:id="4" w:name="_Toc246996160"/>
      <w:bookmarkStart w:id="5" w:name="_Toc152045514"/>
      <w:bookmarkStart w:id="6" w:name="_Toc152042290"/>
      <w:bookmarkStart w:id="7" w:name="_Toc449509649"/>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南浔中心城区环卫河道取水点位配套零星劳务分包工程（重新招标）</w:t>
          </w:r>
        </w:sdtContent>
      </w:sdt>
    </w:p>
    <w:p w14:paraId="685AC1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14:paraId="56D400DA">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14:paraId="6CCD7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2024-W-109-下01  </w:t>
      </w:r>
    </w:p>
    <w:p w14:paraId="1AC5167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0815C3B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14:paraId="02C35C3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14:paraId="37B6AD0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14:paraId="6FE4B2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2BA4AC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2024年11月 </w:t>
      </w:r>
    </w:p>
    <w:p w14:paraId="0A48687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4A60C621">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14:paraId="5914D71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14:paraId="5375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A677CD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14:paraId="269FE7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14:paraId="371C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7B36B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14:paraId="5D99A1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bookmarkStart w:id="8" w:name="OLE_LINK1"/>
            <w:sdt>
              <w:sdtPr>
                <w:rPr>
                  <w:rFonts w:hint="eastAsia" w:ascii="仿宋" w:hAnsi="仿宋" w:eastAsia="仿宋" w:cs="仿宋"/>
                  <w:b w:val="0"/>
                  <w:bCs w:val="0"/>
                  <w:kern w:val="2"/>
                  <w:sz w:val="28"/>
                  <w:szCs w:val="28"/>
                  <w:highlight w:val="none"/>
                  <w:u w:val="none"/>
                  <w:lang w:val="en-US" w:eastAsia="zh-CN" w:bidi="ar-SA"/>
                </w:rPr>
                <w:id w:val="147460761"/>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南浔中心城区环卫河道取水点位配套零星劳务分包工程（重新招标）</w:t>
                </w:r>
              </w:sdtContent>
            </w:sdt>
            <w:bookmarkEnd w:id="8"/>
          </w:p>
        </w:tc>
      </w:tr>
      <w:tr w14:paraId="70B9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B2CF4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14:paraId="353564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yellow"/>
                <w:u w:val="none"/>
                <w:lang w:val="en-US" w:eastAsia="zh-CN" w:bidi="ar-SA"/>
              </w:rPr>
              <w:t>南浔环境卫生管理所</w:t>
            </w:r>
          </w:p>
        </w:tc>
      </w:tr>
      <w:tr w14:paraId="3FBC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2A320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14:paraId="5D34B91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B1E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39F5D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14:paraId="1E10FD5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FC2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E9F21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14:paraId="330933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14:paraId="687476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14:paraId="357B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9C2DC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14:paraId="6086B27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取水点位配套</w:t>
            </w:r>
          </w:p>
        </w:tc>
      </w:tr>
      <w:tr w14:paraId="206A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84A36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14:paraId="7B2368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按招标人要求 </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14:paraId="7DDB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E3CA2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14:paraId="15C33F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bookmarkStart w:id="9" w:name="OLE_LINK4"/>
            <w:r>
              <w:rPr>
                <w:rFonts w:hint="eastAsia" w:ascii="仿宋_GB2312" w:hAnsi="仿宋_GB2312" w:eastAsia="仿宋_GB2312" w:cs="仿宋_GB2312"/>
                <w:sz w:val="28"/>
                <w:szCs w:val="28"/>
                <w:highlight w:val="yellow"/>
                <w:u w:val="single"/>
                <w:vertAlign w:val="baseline"/>
                <w:lang w:val="en-US" w:eastAsia="zh-CN"/>
              </w:rPr>
              <w:t>500000</w:t>
            </w:r>
            <w:r>
              <w:rPr>
                <w:rFonts w:hint="eastAsia" w:ascii="仿宋_GB2312" w:hAnsi="仿宋_GB2312" w:eastAsia="仿宋_GB2312" w:cs="仿宋_GB2312"/>
                <w:sz w:val="28"/>
                <w:szCs w:val="28"/>
                <w:highlight w:val="yellow"/>
                <w:vertAlign w:val="baseline"/>
                <w:lang w:val="en-US" w:eastAsia="zh-CN"/>
              </w:rPr>
              <w:t>元</w:t>
            </w:r>
            <w:bookmarkEnd w:id="9"/>
          </w:p>
        </w:tc>
      </w:tr>
      <w:tr w14:paraId="2326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C49749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14:paraId="249C2D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bookmarkStart w:id="10" w:name="OLE_LINK3"/>
            <w:sdt>
              <w:sdtPr>
                <w:rPr>
                  <w:rFonts w:hint="default" w:ascii="仿宋_GB2312" w:hAnsi="仿宋_GB2312" w:eastAsia="仿宋_GB2312" w:cs="仿宋_GB2312"/>
                  <w:color w:val="auto"/>
                  <w:kern w:val="2"/>
                  <w:sz w:val="28"/>
                  <w:szCs w:val="28"/>
                  <w:lang w:val="en-US"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color w:val="auto"/>
                    <w:kern w:val="2"/>
                    <w:sz w:val="28"/>
                    <w:szCs w:val="28"/>
                    <w:lang w:val="en-US" w:eastAsia="zh-CN" w:bidi="ar-SA"/>
                  </w:rPr>
                  <w:t>湖州市南浔镇</w:t>
                </w:r>
              </w:sdtContent>
            </w:sdt>
            <w:bookmarkEnd w:id="10"/>
          </w:p>
        </w:tc>
      </w:tr>
      <w:tr w14:paraId="07CA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7D6B5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14:paraId="6DB9B7C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建设内容包括但不限于取水点提升改造等工程，最终以招标人及业主单位要求为准，直至本工程满足功能性要求及设计单位、业主单位要求并竣工验收合格为止。</w:t>
                </w:r>
              </w:p>
            </w:tc>
          </w:sdtContent>
        </w:sdt>
      </w:tr>
      <w:tr w14:paraId="717C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F11C9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14:paraId="6F0C04A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主材</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14:paraId="4EB9840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14:paraId="04AC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886BD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14:paraId="7E7969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14:paraId="6ED4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0B2CA6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14:paraId="691729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14:paraId="648D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416EF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14:paraId="7EFE4B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14:paraId="7604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9E125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14:paraId="44BEA85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14:paraId="727D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E5D0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14:paraId="22EB71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val="en-US" w:eastAsia="zh-CN"/>
                  </w:rPr>
                  <w:t>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w:t>
                </w:r>
              </w:p>
            </w:tc>
          </w:sdtContent>
        </w:sdt>
      </w:tr>
      <w:tr w14:paraId="643D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14:paraId="57B27E3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14:paraId="5B2F746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eastAsia="zh-CN"/>
              </w:rPr>
              <w:t>(业主单位确认的结算审计价-甲供材对应的款项)×(1-中标下浮率)-其他款项，其他款项包括但不限于投标费用、保险费、审计追加费、审计罚款、工程管理过程中的罚款、工程资料编制费、结算资料（结算书）编制费、甲供材超额领用罚款、对方依法维权的费用（包括但不限于律师费、诉讼费、财产保全需要购买保单的保险费等）等，以及中标人应承担的其他一切费用。中标人在工程款结清前提供应付工程款足额的9%增值税税额专用发票，不足部分从应付工程款中进行扣除。</w:t>
            </w:r>
            <w:r>
              <w:rPr>
                <w:rFonts w:hint="eastAsia" w:ascii="仿宋_GB2312" w:hAnsi="仿宋_GB2312" w:eastAsia="仿宋_GB2312" w:cs="仿宋_GB2312"/>
                <w:sz w:val="28"/>
                <w:szCs w:val="28"/>
                <w:highlight w:val="yellow"/>
                <w:lang w:eastAsia="zh-CN"/>
              </w:rPr>
              <w:t>招标人与业主单位的合同下浮率在业主单位确认的结算审计价中体现</w:t>
            </w:r>
            <w:r>
              <w:rPr>
                <w:rFonts w:hint="eastAsia" w:ascii="仿宋_GB2312" w:hAnsi="仿宋_GB2312" w:eastAsia="仿宋_GB2312" w:cs="仿宋_GB2312"/>
                <w:color w:val="auto"/>
                <w:sz w:val="28"/>
                <w:szCs w:val="28"/>
                <w:highlight w:val="yellow"/>
                <w:lang w:val="en-US" w:eastAsia="zh-CN"/>
              </w:rPr>
              <w:t>。</w:t>
            </w:r>
          </w:p>
          <w:p w14:paraId="08F2CC1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14:paraId="634C887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14:paraId="0E3BF69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14:paraId="72CE88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14:paraId="6709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7E12EC6">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14:paraId="42CB11D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14:paraId="43C6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5A343F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14:paraId="7DE411FB">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市政</w:t>
            </w:r>
            <w:bookmarkStart w:id="12" w:name="_GoBack"/>
            <w:bookmarkEnd w:id="12"/>
            <w:r>
              <w:rPr>
                <w:rFonts w:hint="eastAsia" w:ascii="仿宋_GB2312" w:hAnsi="仿宋_GB2312" w:eastAsia="仿宋_GB2312" w:cs="仿宋_GB2312"/>
                <w:sz w:val="28"/>
                <w:szCs w:val="28"/>
                <w:highlight w:val="yellow"/>
                <w:u w:val="single"/>
                <w:vertAlign w:val="baseline"/>
                <w:lang w:val="en-US" w:eastAsia="zh-CN"/>
              </w:rPr>
              <w:t xml:space="preserve">劳务 </w:t>
            </w:r>
            <w:r>
              <w:rPr>
                <w:rFonts w:hint="eastAsia" w:ascii="仿宋_GB2312" w:hAnsi="仿宋_GB2312" w:eastAsia="仿宋_GB2312" w:cs="仿宋_GB2312"/>
                <w:sz w:val="28"/>
                <w:szCs w:val="28"/>
                <w:highlight w:val="none"/>
                <w:vertAlign w:val="baseline"/>
                <w:lang w:val="en-US" w:eastAsia="zh-CN"/>
              </w:rPr>
              <w:t>分包库内单位。</w:t>
            </w:r>
          </w:p>
          <w:p w14:paraId="2E20B29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default"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14:paraId="289E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3F6816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14:paraId="572B67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14:paraId="7633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7202CA8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14:paraId="293CDD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17</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0</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14:paraId="134A3CD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14:paraId="0E18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0D58C1C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14:paraId="5569876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14:paraId="320F44F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14:paraId="671A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67B772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14:paraId="1198CB7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14:paraId="7DB1605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14:paraId="1BF4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8" w:type="pct"/>
            <w:noWrap w:val="0"/>
            <w:vAlign w:val="top"/>
          </w:tcPr>
          <w:p w14:paraId="745C67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14:paraId="287BB62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14:paraId="56FF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C29D8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14:paraId="484E9FF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bookmarkStart w:id="11" w:name="OLE_LINK5"/>
            <w:r>
              <w:rPr>
                <w:rFonts w:hint="eastAsia" w:ascii="仿宋_GB2312" w:hAnsi="仿宋_GB2312" w:eastAsia="仿宋_GB2312" w:cs="仿宋_GB2312"/>
                <w:sz w:val="28"/>
                <w:szCs w:val="28"/>
                <w:highlight w:val="yellow"/>
                <w:u w:val="single"/>
                <w:lang w:eastAsia="zh-CN"/>
              </w:rPr>
              <w:t>2024年</w:t>
            </w:r>
            <w:r>
              <w:rPr>
                <w:rFonts w:hint="eastAsia" w:ascii="仿宋_GB2312" w:hAnsi="仿宋_GB2312" w:eastAsia="仿宋_GB2312" w:cs="仿宋_GB2312"/>
                <w:sz w:val="28"/>
                <w:szCs w:val="28"/>
                <w:highlight w:val="yellow"/>
                <w:u w:val="single"/>
                <w:lang w:val="en-US" w:eastAsia="zh-CN"/>
              </w:rPr>
              <w:t>11</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15</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10</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r>
              <w:rPr>
                <w:rFonts w:hint="eastAsia" w:ascii="仿宋_GB2312" w:hAnsi="仿宋_GB2312" w:eastAsia="仿宋_GB2312" w:cs="仿宋_GB2312"/>
                <w:sz w:val="28"/>
                <w:szCs w:val="28"/>
                <w:highlight w:val="yellow"/>
                <w:u w:val="single"/>
                <w:lang w:eastAsia="zh-CN"/>
              </w:rPr>
              <w:t>分</w:t>
            </w:r>
            <w:bookmarkEnd w:id="11"/>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14:paraId="6EF5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706B1A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14:paraId="6621AB7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14:paraId="5C7E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575DF94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14:paraId="649399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14:paraId="40FD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A7CDA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14:paraId="7BAE2F8C">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14:paraId="44C1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14:paraId="015A07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14:paraId="098CA5A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14:paraId="7350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F52FD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7F1A57C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14:paraId="44D7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8" w:type="pct"/>
            <w:vMerge w:val="continue"/>
            <w:noWrap w:val="0"/>
            <w:vAlign w:val="top"/>
          </w:tcPr>
          <w:p w14:paraId="2ED72C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09CE72C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14:paraId="2764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73E8CA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8267AB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14:paraId="73B7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A48946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100E52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14:paraId="50CE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475927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21460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14:paraId="4C98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6BBD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CB0067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14:paraId="5D6D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8" w:type="pct"/>
            <w:vMerge w:val="continue"/>
            <w:noWrap w:val="0"/>
            <w:vAlign w:val="top"/>
          </w:tcPr>
          <w:p w14:paraId="051628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E8AF8D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14:paraId="5365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8" w:type="pct"/>
            <w:vMerge w:val="continue"/>
            <w:noWrap w:val="0"/>
            <w:vAlign w:val="top"/>
          </w:tcPr>
          <w:p w14:paraId="65FE5DF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EBAD3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14:paraId="2677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74305A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B35C3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14:paraId="43ED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944400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B33177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14:paraId="75D5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B0A78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4CDE64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14:paraId="69FD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94DE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CD553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14:paraId="7812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4D77BA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6F15AF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14:paraId="178AE94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14:paraId="6E771C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14:paraId="3680DB2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14:paraId="531A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340C8F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14:paraId="59EDBA1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14:paraId="1D61C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14:paraId="294289DE">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14:paraId="627020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14:paraId="302A65B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14:paraId="5B617A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14:paraId="28BE34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14:paraId="4DD653E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14:paraId="635E64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14:paraId="4C8B4B1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14:paraId="067BCF9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14:paraId="5C5D27F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14:paraId="5D9D752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14:paraId="0FEBF17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14:paraId="76A7A5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14:paraId="43F1EE6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14:paraId="69472E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14:paraId="5576E1B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14:paraId="65E1421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14:paraId="434C188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14:paraId="50CD82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14:paraId="2319B7A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14:paraId="51F86F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14:paraId="4901F0F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14:paraId="28B03D8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14:paraId="04ADC32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14:paraId="6ED4527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14:paraId="49160D2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14:paraId="77A4F79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14:paraId="1CD712C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14:paraId="2B1C8AE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14:paraId="64A329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14:paraId="74659F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14:paraId="1104A9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14:paraId="0333F4F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14:paraId="007E771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78FC100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若唯一授权委托人不知情的该投标做废标处理。</w:t>
      </w:r>
    </w:p>
    <w:p w14:paraId="710BD7FC">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14:paraId="6161FB6A">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14:paraId="5FAB5F5B">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14:paraId="6D298056">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14:paraId="030A265F">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14:paraId="45F5B843">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14:paraId="7187335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14:paraId="6D4B7B25">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14:paraId="3C8C99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14:paraId="626034EA">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14:paraId="30B19580">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118911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14:paraId="31C19429">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14:paraId="554306B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14:paraId="1F1E05C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14:paraId="789AC5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14:paraId="44055C1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南浔区国有投资项目价款结算复审管理办法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14:paraId="70B2F1B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14:paraId="1964AF6D">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14:paraId="421BAB4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14:paraId="67AD665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5282F26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14:paraId="074256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14:paraId="17F9BB8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14:paraId="79D6FDFC">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附件2：清单（以现场实际及最终审计为准）</w:t>
      </w:r>
    </w:p>
    <w:p w14:paraId="015EBFB6">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14:paraId="092653CA">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14:paraId="1584B2D0">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14:paraId="17B8340A">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14:paraId="7FBC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14:paraId="0F311F0F">
            <w:pPr>
              <w:rPr>
                <w:rFonts w:hint="eastAsia" w:ascii="仿宋_GB2312" w:hAnsi="仿宋_GB2312" w:eastAsia="仿宋_GB2312" w:cs="仿宋_GB2312"/>
                <w:kern w:val="0"/>
                <w:sz w:val="28"/>
                <w:szCs w:val="28"/>
              </w:rPr>
            </w:pPr>
          </w:p>
          <w:p w14:paraId="4BE486E8">
            <w:pPr>
              <w:rPr>
                <w:rFonts w:hint="eastAsia" w:ascii="仿宋_GB2312" w:hAnsi="仿宋_GB2312" w:eastAsia="仿宋_GB2312" w:cs="仿宋_GB2312"/>
                <w:kern w:val="0"/>
                <w:sz w:val="28"/>
                <w:szCs w:val="28"/>
              </w:rPr>
            </w:pPr>
          </w:p>
          <w:p w14:paraId="761025F6">
            <w:pPr>
              <w:rPr>
                <w:rFonts w:hint="eastAsia" w:ascii="仿宋_GB2312" w:hAnsi="仿宋_GB2312" w:eastAsia="仿宋_GB2312" w:cs="仿宋_GB2312"/>
                <w:kern w:val="0"/>
                <w:sz w:val="28"/>
                <w:szCs w:val="28"/>
              </w:rPr>
            </w:pPr>
          </w:p>
          <w:p w14:paraId="5A073B2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14:paraId="65A4DB57">
            <w:pPr>
              <w:ind w:firstLine="640" w:firstLineChars="200"/>
              <w:rPr>
                <w:rFonts w:hint="eastAsia" w:ascii="仿宋_GB2312" w:hAnsi="仿宋_GB2312" w:eastAsia="仿宋_GB2312" w:cs="仿宋_GB2312"/>
                <w:kern w:val="0"/>
                <w:sz w:val="32"/>
                <w:szCs w:val="32"/>
                <w:u w:val="single"/>
              </w:rPr>
            </w:pPr>
          </w:p>
          <w:p w14:paraId="4A85D04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14:paraId="0F717B96">
            <w:pPr>
              <w:ind w:firstLine="960" w:firstLineChars="300"/>
              <w:rPr>
                <w:rFonts w:hint="eastAsia" w:ascii="仿宋_GB2312" w:hAnsi="仿宋_GB2312" w:eastAsia="仿宋_GB2312" w:cs="仿宋_GB2312"/>
                <w:kern w:val="0"/>
                <w:sz w:val="32"/>
                <w:szCs w:val="32"/>
                <w:u w:val="single"/>
              </w:rPr>
            </w:pPr>
          </w:p>
          <w:p w14:paraId="27AF7409">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14:paraId="69360A0E">
            <w:pPr>
              <w:ind w:firstLine="960" w:firstLineChars="300"/>
              <w:rPr>
                <w:rFonts w:hint="eastAsia" w:ascii="仿宋_GB2312" w:hAnsi="仿宋_GB2312" w:eastAsia="仿宋_GB2312" w:cs="仿宋_GB2312"/>
                <w:kern w:val="0"/>
                <w:sz w:val="32"/>
                <w:szCs w:val="32"/>
                <w:u w:val="single"/>
              </w:rPr>
            </w:pPr>
          </w:p>
          <w:p w14:paraId="0A2106BB">
            <w:pPr>
              <w:ind w:firstLine="160" w:firstLineChars="50"/>
              <w:rPr>
                <w:rFonts w:hint="eastAsia" w:ascii="仿宋_GB2312" w:hAnsi="仿宋_GB2312" w:eastAsia="仿宋_GB2312" w:cs="仿宋_GB2312"/>
                <w:kern w:val="0"/>
                <w:sz w:val="32"/>
                <w:szCs w:val="32"/>
              </w:rPr>
            </w:pPr>
          </w:p>
          <w:p w14:paraId="18919D64">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14:paraId="1E91BA37">
            <w:pPr>
              <w:rPr>
                <w:rFonts w:hint="eastAsia" w:ascii="仿宋_GB2312" w:hAnsi="仿宋_GB2312" w:eastAsia="仿宋_GB2312" w:cs="仿宋_GB2312"/>
                <w:kern w:val="0"/>
                <w:sz w:val="32"/>
                <w:szCs w:val="32"/>
              </w:rPr>
            </w:pPr>
          </w:p>
          <w:p w14:paraId="557991F2">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14:paraId="6C8F7A27">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14:paraId="3BD3D536">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14:paraId="0D3BA3E5">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14:paraId="3E2B10A9">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14:paraId="20D2953E">
            <w:pPr>
              <w:rPr>
                <w:rFonts w:hint="eastAsia" w:ascii="仿宋_GB2312" w:hAnsi="仿宋_GB2312" w:eastAsia="仿宋_GB2312" w:cs="仿宋_GB2312"/>
                <w:kern w:val="0"/>
                <w:sz w:val="28"/>
                <w:szCs w:val="28"/>
              </w:rPr>
            </w:pPr>
          </w:p>
        </w:tc>
      </w:tr>
    </w:tbl>
    <w:p w14:paraId="6114B390">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14:paraId="42C1E36D">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14:paraId="356716D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14:paraId="6FCC96BD">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14:paraId="05F679C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14:paraId="421AC96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14:paraId="69D5BD1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14:paraId="6979E57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14:paraId="4501A9FD">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14:paraId="29F3E762">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14:paraId="41ECC460">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14:paraId="4355A5BD">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14:paraId="36B61375">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14:paraId="418B5FA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14:paraId="1F403827">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14:paraId="12DCD801">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14:paraId="2871CF3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14:paraId="5E503E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14:paraId="78827C0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14:paraId="0C893C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14:paraId="725142B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14:paraId="566B8E6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14:paraId="63D685B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14:paraId="2A56130C">
      <w:pPr>
        <w:pStyle w:val="11"/>
        <w:rPr>
          <w:rFonts w:hint="eastAsia"/>
          <w:sz w:val="28"/>
          <w:szCs w:val="28"/>
        </w:rPr>
      </w:pPr>
    </w:p>
    <w:p w14:paraId="71BCC7A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14:paraId="1BDC6C53">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14:paraId="6ADC26C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14:paraId="2295101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14:paraId="670B1473">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13F3B47A">
      <w:pPr>
        <w:pStyle w:val="4"/>
        <w:rPr>
          <w:rFonts w:hint="eastAsia" w:ascii="仿宋" w:hAnsi="仿宋" w:eastAsia="仿宋" w:cs="仿宋"/>
          <w:sz w:val="28"/>
          <w:szCs w:val="28"/>
        </w:rPr>
      </w:pPr>
    </w:p>
    <w:p w14:paraId="6BB7073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14:paraId="6F89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14:paraId="58D49EFA">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E1572A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DE7D83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DCFC2E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C1AF81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F0362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A04117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C4876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754986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3BCEED2">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2BCE4D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67DF82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EF2EF7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1BC75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194763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FA2945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E9557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6899B0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0E9AC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04AD42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4CCA5E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30B6FB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7A77E06">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06E66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60480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395B0D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69FA35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4CBCE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A559B6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EFAE4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986B9F">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06EB98">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2F0A78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14:paraId="231CA77D">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14:paraId="76A1F9C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CE327C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0B365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0B8BB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624860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43AA47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7E53F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8411FD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ED9BD9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8EA90F">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E24F51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425FEC">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AB5E9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D5903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37612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2FE41AB">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7CEEB2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0E749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EF4D5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899B7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C81DF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C8D02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55388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2EBBF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738AF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E6E49B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5EBC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5B6DE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FB8508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A6A1B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0A8B3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517B121">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14:paraId="1EFA641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3677CF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A73EC87">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5C91B1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4313E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186E2C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1883BB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E8DAD4C">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29D0CDF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4DD1714">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74B0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9D2AA7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F7123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BE8FA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4A655B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563CC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4EF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15E70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9CC1F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25AC65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E3B4AE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C7F76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1233D2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A7BA9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57D3F3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1D5B0E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B21CE7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EA0A3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7664B2">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00BB16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FC1835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857F60">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14:paraId="42EC78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14:paraId="68A0C13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3438E706">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14:paraId="76850D8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14:paraId="04B58B9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1C0FE35C">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14:paraId="28C34F75">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14:paraId="387714C2">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14:paraId="5711BE23">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14:paraId="195A114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8411668">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14:paraId="72758AF1">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F58347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14:paraId="7FABA7A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14:paraId="006156D1">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14:paraId="5BCBE66C">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14:paraId="70D24BE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14:paraId="152E4F94">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088850AA">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2805C2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495EA9B6">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6E41E264">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2AA4D811">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14:paraId="14F52F39">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12A06522">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14:paraId="712CB1A1">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14:paraId="06C57CDC">
      <w:pPr>
        <w:pStyle w:val="11"/>
        <w:rPr>
          <w:rFonts w:hint="eastAsia"/>
          <w:sz w:val="28"/>
          <w:szCs w:val="28"/>
          <w:lang w:val="zh-CN"/>
        </w:rPr>
      </w:pPr>
    </w:p>
    <w:p w14:paraId="42EB06B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14:paraId="058D578A">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14:paraId="424C73E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14:paraId="01AC207F">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14:paraId="755A6762">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407C2626">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5E10E2BE">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14:paraId="1687E33B">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16A01647">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06CD43B6">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14:paraId="06E0C4B4">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14:paraId="3BF8D76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14:paraId="7CB2F3F6">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14:paraId="7F3924FA">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B1A920F">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14:paraId="5684EBEB">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14:paraId="2C3336F0">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E29375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14:paraId="67D0850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14:paraId="28A7E54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14:paraId="0E45424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14:paraId="0CDF4B2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14:paraId="5B5CBBB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14:paraId="5EA4968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14:paraId="1AF5A41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14:paraId="23B7635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14:paraId="170750B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14:paraId="068BE2DE">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14:paraId="29F91320">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14:paraId="7868570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14:paraId="14DB97A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14:paraId="6C3F00E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14:paraId="624905F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14:paraId="5F9314B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14:paraId="722699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14:paraId="30ED8F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14:paraId="081F7E4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14:paraId="032405C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14:paraId="110D572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14:paraId="73FB267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14:paraId="31B306E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14:paraId="4B6B0BC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14:paraId="2A83590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14:paraId="1BB375C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14:paraId="6EB62C5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14:paraId="1C5A236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14:paraId="463F7AC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14:paraId="6A602EC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14:paraId="6ECDF2D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14:paraId="36347FEA">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14:paraId="2251602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14:paraId="1603499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14:paraId="61A2492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14:paraId="65624C7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14:paraId="0A8007B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14:paraId="33331A6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14:paraId="07739A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14:paraId="4A28B05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14:paraId="2C80D54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14:paraId="0B1CC65D">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14:paraId="1B75D5FC">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14:paraId="39BD93A0">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14:paraId="7542F7B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14:paraId="7849610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14:paraId="5FB7CED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14:paraId="43B685AA">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14:paraId="1F93BE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14:paraId="4BBC4E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14:paraId="47B4C5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14:paraId="1FD5AF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14:paraId="4D49F1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14:paraId="7F7383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14:paraId="0B1AFF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14:paraId="634E13B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14:paraId="159353A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14:paraId="3AA7C6D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14:paraId="11C259D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14:paraId="135F676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14:paraId="17B4B82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14:paraId="5C80C20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14:paraId="3A1F385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14:paraId="092F342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419F02E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3F4D5227">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2EEA1E96">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14:paraId="7609D257">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4C24D2B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14:paraId="65C1FD89">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14:paraId="3E57C860">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14:paraId="69370D5B">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14:paraId="563AAB5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14:paraId="278E0DE6">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14:paraId="65C252AC">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14:paraId="4C890D8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14:paraId="4DBF463F">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14:paraId="2BA0BD6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14:paraId="4662C96E">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30CCEA72">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613DBC2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059614E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22356D07">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75147C80">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14:paraId="6CF35D29">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3250479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14:paraId="1037870E">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14:paraId="7BA82259">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14:paraId="30A685C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14:paraId="536C54BC">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49AB441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6D85B0C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7D9F583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14:paraId="7C9A10E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14:paraId="58473BC4">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B074DD9">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9AB1CC8">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065383F">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29580D0">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E1BA9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94305D">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4315863">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A9AD31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45D5183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CCB29D7">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0F61F5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37DAF3E">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7E83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14:paraId="2769C74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6DDB33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3682DF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DDE346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E8E40D6">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082F89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C6035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95E67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6A27E1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78465EF">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99260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DD0B0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DED89E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3838CFE">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7F4FD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5972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92567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02B728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2E0EE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BD7B84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586208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386FC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B7C2F6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060DD2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5ECDA6">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5D7E7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C0D79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6FB725">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62CFBD">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89D4A9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FA04FF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5BB8A">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14:paraId="5DCAC6E6">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14:paraId="569D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14:paraId="47287061">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14:paraId="1CAF11A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14:paraId="25AB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40E9E2B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14:paraId="313852E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14:paraId="42A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8553091">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14:paraId="679BCB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94A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9CA7E8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14:paraId="179200A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47B3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362B40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14:paraId="2B157E0E">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1839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121171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14:paraId="188F0AE5">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A5F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F1672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14:paraId="6D2A3AD0">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0BD3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7A68C1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0ADF53D7">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85C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C53E76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CA479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F34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999B9D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3FC46E9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7118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BF80A7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5D49531F">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C4D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6B79C17D">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14:paraId="266EE48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14:paraId="1BF3C39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14:paraId="5830E6A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F6E847D">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4FFB680C">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119AD62E">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5224C5F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6AB81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077CB0">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A1F966F">
      <w:pPr>
        <w:rPr>
          <w:rFonts w:hint="eastAsia"/>
          <w:sz w:val="28"/>
          <w:szCs w:val="28"/>
          <w:lang w:val="en-US" w:eastAsia="zh-CN"/>
        </w:rPr>
      </w:pPr>
    </w:p>
    <w:p w14:paraId="172177C0">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14:paraId="2FDB6CFA">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14:paraId="5DF0A35B">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14:paraId="727B323E">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14:paraId="173222FD">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14:paraId="567E0563">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14:paraId="7A2F7C94">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62798"/>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南浔中心城区环卫河道取水点位配套零星劳务分包工程（重新招标）</w:t>
          </w:r>
        </w:sdtContent>
      </w:sdt>
      <w:r>
        <w:rPr>
          <w:rFonts w:hint="eastAsia" w:ascii="仿宋_GB2312" w:hAnsi="仿宋_GB2312" w:eastAsia="仿宋_GB2312" w:cs="仿宋_GB2312"/>
          <w:b w:val="0"/>
          <w:color w:val="auto"/>
          <w:kern w:val="2"/>
          <w:sz w:val="28"/>
          <w:szCs w:val="28"/>
          <w:u w:val="single"/>
          <w:lang w:val="en-US" w:eastAsia="zh-CN"/>
        </w:rPr>
        <w:t xml:space="preserve"> </w:t>
      </w:r>
    </w:p>
    <w:p w14:paraId="45C996C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82481"/>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湖州市南浔镇</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14:paraId="3B5ACF1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69140"/>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建设内容包括但不限于取水点提升改造等工程，最终以招标人及业主单位要求为准，直至本工程满足功能性要求及设计单位、业主单位要求并竣工验收合格为止。</w:t>
          </w:r>
        </w:sdtContent>
      </w:sdt>
    </w:p>
    <w:p w14:paraId="0E0F941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劳务承包                                            </w:t>
      </w:r>
    </w:p>
    <w:p w14:paraId="740816B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14:paraId="444B3F01">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14:paraId="03ED52A6">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14:paraId="75C234B0">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14:paraId="1E0CDA0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14:paraId="68EE13E5">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14:paraId="19D2F2D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7915"/>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按招标人要求 </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14:paraId="139183F7">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14:paraId="49DB445A">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14:paraId="4E56D59F">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14:paraId="087CC716">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14:paraId="03DCF55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14:paraId="655909F3">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14:paraId="0063DDD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14:paraId="44D5EB8C">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14:paraId="34CFD7D4">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3473"/>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主材</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14:paraId="749C3197">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14:paraId="65A677C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14:paraId="0AB5A3B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14:paraId="5863EB4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14:paraId="575B1A0D">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14:paraId="5FE995F0">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w:t>
          </w:r>
        </w:sdtContent>
      </w:sdt>
    </w:p>
    <w:p w14:paraId="2869B0BA">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14:paraId="4A33BA9C">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14:paraId="03CC5D8A">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0C20F3D0">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14:paraId="7806843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14:paraId="168336D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14:paraId="0FA7402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14:paraId="7B6D2A6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14:paraId="15DCFC97">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113FD1B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14:paraId="1A54F15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14:paraId="53E4A24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14:paraId="5523B2C1">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14:paraId="1078ADD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14:paraId="175224B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14:paraId="7C6F3D8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14:paraId="6E7FA2E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14:paraId="6B4F28A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14:paraId="09675A6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14:paraId="5D7570D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14:paraId="042ED67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14:paraId="45E329C7">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14:paraId="2A22D96C">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14:paraId="69641836">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14:paraId="5930814F">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14:paraId="3486B2D2">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14:paraId="68A3BE44">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14:paraId="597DAC9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14:paraId="0E7E670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44B9F7EF">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14:paraId="7DA02226">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14:paraId="729395FC">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14:paraId="091D2EB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14:paraId="68BC4EA0">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14:paraId="7125032A">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14:paraId="564F5D9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14:paraId="15338CB5">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14:paraId="003C6700">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62F48A2D">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14:paraId="2D427D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14:paraId="3BE81D9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14:paraId="50AFC306">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14:paraId="4FFBFB1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14:paraId="45B886B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14:paraId="4E004A6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14:paraId="7831FDB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14:paraId="46DBEF6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14:paraId="7856E4B2">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14:paraId="4B367B6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13D6B20C">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14:paraId="7882A88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270799D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14:paraId="1B734D5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0C5B119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14:paraId="62D62D7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14:paraId="01F1CE05">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0D8C663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14:paraId="707B21B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14:paraId="6751629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14:paraId="18D456A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14:paraId="7572117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14:paraId="57A8943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14:paraId="682B469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14:paraId="09C6685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14:paraId="088FFFA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4E9BB0A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14:paraId="64A21F6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14:paraId="58FBD95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14:paraId="4CAE50AB">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14:paraId="7096EA1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14:paraId="0522FB6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14:paraId="4A1428D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14:paraId="7BFDE83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14:paraId="7DCB0D7D">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14:paraId="0D81FE1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14:paraId="1A079E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14:paraId="0C9623E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14:paraId="08E81AF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14:paraId="3A1999ED">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14:paraId="1E38C53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14:paraId="2D6E6CC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14:paraId="5BE667B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14:paraId="177E3214">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14:paraId="45B18AA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业主单位确认的结算审计价</w:t>
      </w:r>
      <w:r>
        <w:rPr>
          <w:rFonts w:hint="eastAsia" w:ascii="仿宋_GB2312" w:hAnsi="仿宋_GB2312" w:eastAsia="仿宋_GB2312" w:cs="仿宋_GB2312"/>
          <w:sz w:val="28"/>
          <w:szCs w:val="28"/>
          <w:highlight w:val="none"/>
          <w:lang w:val="en-US" w:eastAsia="zh-CN"/>
        </w:rPr>
        <w:t>-甲供材料对应款项）</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中标下浮率</w:t>
      </w:r>
      <w:r>
        <w:rPr>
          <w:rFonts w:hint="eastAsia" w:ascii="仿宋_GB2312" w:hAnsi="仿宋_GB2312" w:eastAsia="仿宋_GB2312" w:cs="仿宋_GB2312"/>
          <w:color w:val="auto"/>
          <w:sz w:val="28"/>
          <w:szCs w:val="28"/>
          <w:highlight w:val="none"/>
        </w:rPr>
        <w:t>）-其他扣款</w:t>
      </w:r>
      <w:r>
        <w:rPr>
          <w:rFonts w:hint="eastAsia" w:ascii="仿宋_GB2312" w:hAnsi="仿宋_GB2312" w:eastAsia="仿宋_GB2312" w:cs="仿宋_GB2312"/>
          <w:color w:val="auto"/>
          <w:kern w:val="2"/>
          <w:sz w:val="28"/>
          <w:szCs w:val="28"/>
          <w:lang w:val="zh-CN" w:eastAsia="zh-CN" w:bidi="ar-SA"/>
        </w:rPr>
        <w:t>，</w:t>
      </w:r>
      <w:r>
        <w:rPr>
          <w:rFonts w:hint="eastAsia" w:ascii="仿宋_GB2312" w:hAnsi="仿宋_GB2312" w:eastAsia="仿宋_GB2312" w:cs="仿宋_GB2312"/>
          <w:color w:val="auto"/>
          <w:kern w:val="2"/>
          <w:sz w:val="28"/>
          <w:szCs w:val="28"/>
          <w:lang w:val="en-US" w:eastAsia="zh-CN" w:bidi="ar-SA"/>
        </w:rPr>
        <w:t>中标人在</w:t>
      </w:r>
      <w:r>
        <w:rPr>
          <w:rFonts w:hint="eastAsia" w:ascii="仿宋_GB2312" w:hAnsi="仿宋_GB2312" w:eastAsia="仿宋_GB2312" w:cs="仿宋_GB2312"/>
          <w:color w:val="auto"/>
          <w:kern w:val="2"/>
          <w:sz w:val="28"/>
          <w:szCs w:val="28"/>
          <w:lang w:val="zh-CN" w:eastAsia="zh-CN" w:bidi="ar-SA"/>
        </w:rPr>
        <w:t>工程款结清前提供</w:t>
      </w:r>
      <w:r>
        <w:rPr>
          <w:rFonts w:hint="eastAsia" w:ascii="仿宋_GB2312" w:hAnsi="仿宋_GB2312" w:eastAsia="仿宋_GB2312" w:cs="仿宋_GB2312"/>
          <w:color w:val="auto"/>
          <w:kern w:val="2"/>
          <w:sz w:val="28"/>
          <w:szCs w:val="28"/>
          <w:lang w:val="en-US" w:eastAsia="zh-CN" w:bidi="ar-SA"/>
        </w:rPr>
        <w:t>应付工程款足额的9%增值税税额专用发票，不足部分从应付工程款中进行扣除。</w:t>
      </w:r>
      <w:r>
        <w:rPr>
          <w:rFonts w:hint="eastAsia" w:ascii="仿宋_GB2312" w:hAnsi="仿宋_GB2312" w:eastAsia="仿宋_GB2312" w:cs="仿宋_GB2312"/>
          <w:color w:val="000000"/>
          <w:sz w:val="28"/>
          <w:szCs w:val="28"/>
          <w:highlight w:val="yellow"/>
          <w:lang w:val="en-US" w:eastAsia="zh-CN"/>
        </w:rPr>
        <w:t>招标人与业主单位的合同下浮率在</w:t>
      </w:r>
      <w:r>
        <w:rPr>
          <w:rFonts w:hint="eastAsia" w:ascii="仿宋_GB2312" w:hAnsi="仿宋_GB2312" w:eastAsia="仿宋_GB2312" w:cs="仿宋_GB2312"/>
          <w:sz w:val="28"/>
          <w:szCs w:val="28"/>
          <w:highlight w:val="yellow"/>
        </w:rPr>
        <w:t>业主单位确认的结算审计价</w:t>
      </w:r>
      <w:r>
        <w:rPr>
          <w:rFonts w:hint="eastAsia" w:ascii="仿宋_GB2312" w:hAnsi="仿宋_GB2312" w:eastAsia="仿宋_GB2312" w:cs="仿宋_GB2312"/>
          <w:color w:val="000000"/>
          <w:sz w:val="28"/>
          <w:szCs w:val="28"/>
          <w:highlight w:val="yellow"/>
          <w:lang w:val="en-US" w:eastAsia="zh-CN"/>
        </w:rPr>
        <w:t>中体现</w:t>
      </w:r>
      <w:r>
        <w:rPr>
          <w:rFonts w:hint="eastAsia" w:ascii="仿宋_GB2312" w:hAnsi="仿宋_GB2312" w:eastAsia="仿宋_GB2312" w:cs="仿宋_GB2312"/>
          <w:color w:val="auto"/>
          <w:sz w:val="28"/>
          <w:szCs w:val="28"/>
          <w:highlight w:val="none"/>
          <w:lang w:val="en-US" w:eastAsia="zh-CN"/>
        </w:rPr>
        <w:t>。</w:t>
      </w:r>
    </w:p>
    <w:p w14:paraId="7469886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14:paraId="45C0362E">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14:paraId="4CB0D7EB">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14:paraId="68DF8F4E">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14:paraId="0991C323">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14:paraId="74D1BD9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14:paraId="787B034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14:paraId="35DFBE4D">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14:paraId="0D54C31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14:paraId="4EC0132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14:paraId="3099E4F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14:paraId="41448AEB">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14:paraId="582919B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14:paraId="4E122F8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14:paraId="2FAE588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14:paraId="40B44BC1">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14:paraId="5C99FCE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14:paraId="62CBFAE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14:paraId="0D38BB9D">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14:paraId="3765FC4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14:paraId="132C95F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408A13F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6BA93EE8">
      <w:pPr>
        <w:pStyle w:val="11"/>
        <w:keepNext w:val="0"/>
        <w:keepLines w:val="0"/>
        <w:pageBreakBefore w:val="0"/>
        <w:widowControl/>
        <w:kinsoku/>
        <w:wordWrap/>
        <w:overflowPunct/>
        <w:topLinePunct w:val="0"/>
        <w:autoSpaceDE/>
        <w:autoSpaceDN/>
        <w:bidi w:val="0"/>
        <w:adjustRightInd/>
        <w:snapToGrid/>
        <w:spacing w:after="0" w:afterLines="0" w:line="72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14:paraId="3278E16A">
      <w:pPr>
        <w:pStyle w:val="11"/>
        <w:keepNext w:val="0"/>
        <w:keepLines w:val="0"/>
        <w:pageBreakBefore w:val="0"/>
        <w:widowControl/>
        <w:kinsoku/>
        <w:wordWrap/>
        <w:overflowPunct/>
        <w:topLinePunct w:val="0"/>
        <w:autoSpaceDE/>
        <w:autoSpaceDN/>
        <w:bidi w:val="0"/>
        <w:adjustRightInd/>
        <w:snapToGrid/>
        <w:spacing w:after="0" w:afterLines="0" w:line="72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14:paraId="3C2C4744">
      <w:pPr>
        <w:pStyle w:val="11"/>
        <w:keepNext w:val="0"/>
        <w:keepLines w:val="0"/>
        <w:pageBreakBefore w:val="0"/>
        <w:widowControl/>
        <w:kinsoku/>
        <w:wordWrap/>
        <w:overflowPunct/>
        <w:topLinePunct w:val="0"/>
        <w:autoSpaceDE/>
        <w:autoSpaceDN/>
        <w:bidi w:val="0"/>
        <w:adjustRightInd/>
        <w:snapToGrid/>
        <w:spacing w:after="0" w:afterLines="0" w:line="72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707E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4897F">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9CA04">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1784586"/>
    <w:rsid w:val="024D517C"/>
    <w:rsid w:val="02BC3862"/>
    <w:rsid w:val="02BC5875"/>
    <w:rsid w:val="03004097"/>
    <w:rsid w:val="036F73CD"/>
    <w:rsid w:val="05C27936"/>
    <w:rsid w:val="060D2627"/>
    <w:rsid w:val="0664493D"/>
    <w:rsid w:val="07034D03"/>
    <w:rsid w:val="08A300C3"/>
    <w:rsid w:val="08FB4D60"/>
    <w:rsid w:val="096176C5"/>
    <w:rsid w:val="09FF2830"/>
    <w:rsid w:val="0A2B40C2"/>
    <w:rsid w:val="0A7439FC"/>
    <w:rsid w:val="0ABC39D8"/>
    <w:rsid w:val="0BD0477F"/>
    <w:rsid w:val="0BFE5400"/>
    <w:rsid w:val="0C380864"/>
    <w:rsid w:val="0D214F69"/>
    <w:rsid w:val="0D435CF0"/>
    <w:rsid w:val="0D5B23CC"/>
    <w:rsid w:val="0D8B3083"/>
    <w:rsid w:val="0DC10698"/>
    <w:rsid w:val="0E213296"/>
    <w:rsid w:val="0FFB54E4"/>
    <w:rsid w:val="109275A9"/>
    <w:rsid w:val="1147606A"/>
    <w:rsid w:val="116146C6"/>
    <w:rsid w:val="128C4F28"/>
    <w:rsid w:val="130872F3"/>
    <w:rsid w:val="140B4E5D"/>
    <w:rsid w:val="1437301A"/>
    <w:rsid w:val="150838E9"/>
    <w:rsid w:val="15FA7F52"/>
    <w:rsid w:val="160C4FAD"/>
    <w:rsid w:val="16D80B50"/>
    <w:rsid w:val="172401FC"/>
    <w:rsid w:val="175E1271"/>
    <w:rsid w:val="177B16DD"/>
    <w:rsid w:val="17F90A1F"/>
    <w:rsid w:val="18651DBE"/>
    <w:rsid w:val="188B1748"/>
    <w:rsid w:val="18FD3554"/>
    <w:rsid w:val="1A5F1B09"/>
    <w:rsid w:val="1B290206"/>
    <w:rsid w:val="1D8A0AF6"/>
    <w:rsid w:val="1EDA1C32"/>
    <w:rsid w:val="1F4F5857"/>
    <w:rsid w:val="1F56428E"/>
    <w:rsid w:val="20966027"/>
    <w:rsid w:val="213C72D1"/>
    <w:rsid w:val="21A9704B"/>
    <w:rsid w:val="21E5246C"/>
    <w:rsid w:val="23963804"/>
    <w:rsid w:val="240C6FC1"/>
    <w:rsid w:val="24923529"/>
    <w:rsid w:val="24DC6BA4"/>
    <w:rsid w:val="25AC1A52"/>
    <w:rsid w:val="25AC3ECC"/>
    <w:rsid w:val="25CC4F38"/>
    <w:rsid w:val="268202E5"/>
    <w:rsid w:val="273F34FA"/>
    <w:rsid w:val="27817DA6"/>
    <w:rsid w:val="28E8438B"/>
    <w:rsid w:val="29385A89"/>
    <w:rsid w:val="29931E14"/>
    <w:rsid w:val="2A1D189D"/>
    <w:rsid w:val="2A5C1303"/>
    <w:rsid w:val="2A76033E"/>
    <w:rsid w:val="2AB53FDF"/>
    <w:rsid w:val="2BF235E5"/>
    <w:rsid w:val="2BFB6029"/>
    <w:rsid w:val="2C936391"/>
    <w:rsid w:val="2CA46F92"/>
    <w:rsid w:val="2D2E3708"/>
    <w:rsid w:val="2D4C1D3E"/>
    <w:rsid w:val="2DDD275B"/>
    <w:rsid w:val="2EA60DD6"/>
    <w:rsid w:val="2EE70255"/>
    <w:rsid w:val="2EED2E72"/>
    <w:rsid w:val="2F7B4131"/>
    <w:rsid w:val="2FD47A9D"/>
    <w:rsid w:val="30981779"/>
    <w:rsid w:val="328416F9"/>
    <w:rsid w:val="33994AB4"/>
    <w:rsid w:val="33BE1F6B"/>
    <w:rsid w:val="34390751"/>
    <w:rsid w:val="343D1E3E"/>
    <w:rsid w:val="34B25A95"/>
    <w:rsid w:val="34C66947"/>
    <w:rsid w:val="35C32B3D"/>
    <w:rsid w:val="37250DEE"/>
    <w:rsid w:val="37855A0B"/>
    <w:rsid w:val="38871C41"/>
    <w:rsid w:val="38993E43"/>
    <w:rsid w:val="38995E18"/>
    <w:rsid w:val="396D25ED"/>
    <w:rsid w:val="39C872B8"/>
    <w:rsid w:val="3A0B4AF4"/>
    <w:rsid w:val="3A8373E6"/>
    <w:rsid w:val="3B346B06"/>
    <w:rsid w:val="3B790C66"/>
    <w:rsid w:val="3CCF61D5"/>
    <w:rsid w:val="3EE94E91"/>
    <w:rsid w:val="401933BF"/>
    <w:rsid w:val="401B49F1"/>
    <w:rsid w:val="407C2246"/>
    <w:rsid w:val="40CC5ECD"/>
    <w:rsid w:val="41B8341B"/>
    <w:rsid w:val="41CA6631"/>
    <w:rsid w:val="42913872"/>
    <w:rsid w:val="42C67AC2"/>
    <w:rsid w:val="42E64203"/>
    <w:rsid w:val="43DB70C2"/>
    <w:rsid w:val="44743BF0"/>
    <w:rsid w:val="448A4217"/>
    <w:rsid w:val="453C0B5F"/>
    <w:rsid w:val="4544519C"/>
    <w:rsid w:val="45466415"/>
    <w:rsid w:val="46606607"/>
    <w:rsid w:val="478443ED"/>
    <w:rsid w:val="48475477"/>
    <w:rsid w:val="48AD296E"/>
    <w:rsid w:val="48FE6CB9"/>
    <w:rsid w:val="4933371F"/>
    <w:rsid w:val="49F45690"/>
    <w:rsid w:val="4A7D1CB1"/>
    <w:rsid w:val="4ACB29B1"/>
    <w:rsid w:val="4AF72C27"/>
    <w:rsid w:val="4C254B5F"/>
    <w:rsid w:val="4C8C20EA"/>
    <w:rsid w:val="4C95730F"/>
    <w:rsid w:val="4CA046F7"/>
    <w:rsid w:val="4D566987"/>
    <w:rsid w:val="4D72579F"/>
    <w:rsid w:val="4EC17644"/>
    <w:rsid w:val="4ED11A10"/>
    <w:rsid w:val="4F2C520F"/>
    <w:rsid w:val="4F3B50DC"/>
    <w:rsid w:val="4F9801E7"/>
    <w:rsid w:val="501723E6"/>
    <w:rsid w:val="50812FC2"/>
    <w:rsid w:val="50DC22A0"/>
    <w:rsid w:val="517B3EB5"/>
    <w:rsid w:val="526B23B2"/>
    <w:rsid w:val="52B64033"/>
    <w:rsid w:val="541A5D36"/>
    <w:rsid w:val="544431D4"/>
    <w:rsid w:val="55B87767"/>
    <w:rsid w:val="57230952"/>
    <w:rsid w:val="57376AD1"/>
    <w:rsid w:val="57522A51"/>
    <w:rsid w:val="580C6F3F"/>
    <w:rsid w:val="581C0AE5"/>
    <w:rsid w:val="59875B51"/>
    <w:rsid w:val="59DF66FA"/>
    <w:rsid w:val="5A590627"/>
    <w:rsid w:val="5A653BEA"/>
    <w:rsid w:val="5B73507F"/>
    <w:rsid w:val="5C1678E0"/>
    <w:rsid w:val="5C207127"/>
    <w:rsid w:val="5CB03F66"/>
    <w:rsid w:val="5ED66666"/>
    <w:rsid w:val="5F7E0DDA"/>
    <w:rsid w:val="609360DE"/>
    <w:rsid w:val="60A87BAD"/>
    <w:rsid w:val="61083DAF"/>
    <w:rsid w:val="617A50C8"/>
    <w:rsid w:val="61990971"/>
    <w:rsid w:val="62086F99"/>
    <w:rsid w:val="63665421"/>
    <w:rsid w:val="63E11AC6"/>
    <w:rsid w:val="650E0CA2"/>
    <w:rsid w:val="66221F5E"/>
    <w:rsid w:val="669E0497"/>
    <w:rsid w:val="66D907B5"/>
    <w:rsid w:val="67121B6C"/>
    <w:rsid w:val="67B31BB7"/>
    <w:rsid w:val="680E6F72"/>
    <w:rsid w:val="689950F9"/>
    <w:rsid w:val="68D91796"/>
    <w:rsid w:val="69244882"/>
    <w:rsid w:val="69DD59B8"/>
    <w:rsid w:val="6AB563C0"/>
    <w:rsid w:val="6ACB5B2B"/>
    <w:rsid w:val="6AD63EF6"/>
    <w:rsid w:val="6B8159D3"/>
    <w:rsid w:val="6CE93B00"/>
    <w:rsid w:val="6E244BCE"/>
    <w:rsid w:val="6E6E390B"/>
    <w:rsid w:val="6F370F32"/>
    <w:rsid w:val="6FDD7C1E"/>
    <w:rsid w:val="7133646D"/>
    <w:rsid w:val="71774396"/>
    <w:rsid w:val="71890927"/>
    <w:rsid w:val="71AC4A9F"/>
    <w:rsid w:val="72044E22"/>
    <w:rsid w:val="72841C5F"/>
    <w:rsid w:val="72A815A9"/>
    <w:rsid w:val="73D20082"/>
    <w:rsid w:val="74B67236"/>
    <w:rsid w:val="750232A8"/>
    <w:rsid w:val="75F16FE0"/>
    <w:rsid w:val="75F82D28"/>
    <w:rsid w:val="76B348A4"/>
    <w:rsid w:val="77CC339C"/>
    <w:rsid w:val="7A1B7966"/>
    <w:rsid w:val="7B65103C"/>
    <w:rsid w:val="7BE57BFA"/>
    <w:rsid w:val="7BF33070"/>
    <w:rsid w:val="7BF548BF"/>
    <w:rsid w:val="7CB1418D"/>
    <w:rsid w:val="7E623396"/>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14:paraId="694F5C91">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14:paraId="43925598">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14:paraId="28393810">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14:paraId="302D2EAF">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14:paraId="0A0BCB70">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14:paraId="19AC5706">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14:paraId="2474DB53">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14:paraId="2DCA7032">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14:paraId="77D0A942">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14:paraId="479218B2">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14:paraId="3865356E">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14:paraId="570B1228">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14:paraId="21C0C0C3">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6203</Words>
  <Characters>6311</Characters>
  <Lines>0</Lines>
  <Paragraphs>0</Paragraphs>
  <TotalTime>0</TotalTime>
  <ScaleCrop>false</ScaleCrop>
  <LinksUpToDate>false</LinksUpToDate>
  <CharactersWithSpaces>6386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dc:creator>
  <dc:description>湖州市南浔镇</dc:description>
  <cp:keywords>南浔中心城区环卫河道取水点位配套零星劳务分包工程（重新招标）</cp:keywords>
  <cp:lastModifiedBy>SJ</cp:lastModifiedBy>
  <cp:lastPrinted>2024-11-12T03:06:30Z</cp:lastPrinted>
  <dcterms:modified xsi:type="dcterms:W3CDTF">2024-11-12T03:06:33Z</dcterms:modified>
  <dc:subject>建设内容包括但不限于取水点提升改造等工程，最终以招标人及业主单位要求为准，直至本工程满足功能性要求及设计单位、业主单位要求并竣工验收合格为止。</dc:subject>
  <dc:title>主材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4694928C8C4545DB99332A903739E6C8_11</vt:lpwstr>
  </property>
</Properties>
</file>